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19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719D9" w:rsidRDefault="00D71843" w:rsidP="0010095E">
            <w:pPr>
              <w:pStyle w:val="EPName"/>
            </w:pPr>
            <w:r w:rsidRPr="00B719D9">
              <w:t>Európai Parlament</w:t>
            </w:r>
          </w:p>
          <w:p w:rsidR="00751A4A" w:rsidRPr="00B719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19D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719D9" w:rsidRDefault="00187494" w:rsidP="0010095E">
            <w:pPr>
              <w:pStyle w:val="EPLogo"/>
            </w:pPr>
            <w:r w:rsidRPr="00B719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719D9" w:rsidRDefault="00D058B8" w:rsidP="004C5D52">
      <w:pPr>
        <w:pStyle w:val="LineTop"/>
      </w:pPr>
    </w:p>
    <w:p w:rsidR="00680577" w:rsidRPr="00B719D9" w:rsidRDefault="00D71843" w:rsidP="00680577">
      <w:pPr>
        <w:pStyle w:val="EPBodyTA1"/>
      </w:pPr>
      <w:r w:rsidRPr="00B719D9">
        <w:t>ELFOGADOTT SZÖVEGEK</w:t>
      </w:r>
    </w:p>
    <w:p w:rsidR="00D058B8" w:rsidRPr="00B719D9" w:rsidRDefault="00D058B8" w:rsidP="00D058B8">
      <w:pPr>
        <w:pStyle w:val="LineBottom"/>
      </w:pPr>
    </w:p>
    <w:p w:rsidR="00D71843" w:rsidRPr="00DE21B2" w:rsidRDefault="00D71843" w:rsidP="00D71843">
      <w:pPr>
        <w:pStyle w:val="ATHeading1"/>
      </w:pPr>
      <w:bookmarkStart w:id="0" w:name="TANumber"/>
      <w:r w:rsidRPr="00DE21B2">
        <w:t>P9_TA(2024)0</w:t>
      </w:r>
      <w:r w:rsidR="00DE21B2" w:rsidRPr="00DE21B2">
        <w:t>304</w:t>
      </w:r>
      <w:bookmarkEnd w:id="0"/>
    </w:p>
    <w:p w:rsidR="00D71843" w:rsidRPr="00DE21B2" w:rsidRDefault="00E16C38" w:rsidP="00D71843">
      <w:pPr>
        <w:pStyle w:val="ATHeading2"/>
      </w:pPr>
      <w:bookmarkStart w:id="1" w:name="title"/>
      <w:r w:rsidRPr="00DE21B2">
        <w:t>Az EU/Euratom/Ukrajna társulási megállapodás értelmében az ukrán termékekre alkalmazandó kereskedelmi engedményeket kiegészítő, ideiglenes kereskedelemliberalizációs intézkedések</w:t>
      </w:r>
      <w:bookmarkEnd w:id="1"/>
    </w:p>
    <w:p w:rsidR="00D71843" w:rsidRPr="00DE21B2" w:rsidRDefault="00D71843" w:rsidP="00D71843">
      <w:pPr>
        <w:rPr>
          <w:i/>
          <w:vanish/>
        </w:rPr>
      </w:pPr>
      <w:r w:rsidRPr="00DE21B2">
        <w:rPr>
          <w:i/>
        </w:rPr>
        <w:fldChar w:fldCharType="begin"/>
      </w:r>
      <w:r w:rsidRPr="00DE21B2">
        <w:rPr>
          <w:i/>
        </w:rPr>
        <w:instrText xml:space="preserve"> TC"(</w:instrText>
      </w:r>
      <w:bookmarkStart w:id="2" w:name="DocNumber"/>
      <w:r w:rsidRPr="00DE21B2">
        <w:rPr>
          <w:i/>
        </w:rPr>
        <w:instrText>A9-0077/2024</w:instrText>
      </w:r>
      <w:bookmarkEnd w:id="2"/>
      <w:r w:rsidRPr="00DE21B2">
        <w:rPr>
          <w:i/>
        </w:rPr>
        <w:instrText xml:space="preserve"> - Előadó: Sandra Kalniete)"\l3 \n&gt; \* MERGEFORMAT </w:instrText>
      </w:r>
      <w:r w:rsidRPr="00DE21B2">
        <w:rPr>
          <w:i/>
        </w:rPr>
        <w:fldChar w:fldCharType="end"/>
      </w:r>
    </w:p>
    <w:p w:rsidR="00D71843" w:rsidRPr="00DE21B2" w:rsidRDefault="00D71843" w:rsidP="00D71843">
      <w:pPr>
        <w:rPr>
          <w:vanish/>
        </w:rPr>
      </w:pPr>
      <w:bookmarkStart w:id="3" w:name="Commission"/>
      <w:r w:rsidRPr="00DE21B2">
        <w:rPr>
          <w:vanish/>
        </w:rPr>
        <w:t>Nemzetközi Kereskedelmi Bizottság</w:t>
      </w:r>
      <w:bookmarkEnd w:id="3"/>
    </w:p>
    <w:p w:rsidR="00D71843" w:rsidRPr="00DE21B2" w:rsidRDefault="00D71843" w:rsidP="00D71843">
      <w:pPr>
        <w:rPr>
          <w:vanish/>
        </w:rPr>
      </w:pPr>
      <w:bookmarkStart w:id="4" w:name="PE"/>
      <w:r w:rsidRPr="00DE21B2">
        <w:rPr>
          <w:vanish/>
        </w:rPr>
        <w:t>PE758.861</w:t>
      </w:r>
      <w:bookmarkEnd w:id="4"/>
    </w:p>
    <w:p w:rsidR="00D71843" w:rsidRPr="00DE21B2" w:rsidRDefault="00D71843" w:rsidP="00D71843">
      <w:pPr>
        <w:pStyle w:val="ATHeading3"/>
      </w:pPr>
      <w:bookmarkStart w:id="5" w:name="Sujet"/>
      <w:r w:rsidRPr="00DE21B2">
        <w:t xml:space="preserve">Az Európai Parlament 2024. </w:t>
      </w:r>
      <w:r w:rsidR="007D7F70" w:rsidRPr="00DE21B2">
        <w:t xml:space="preserve">április </w:t>
      </w:r>
      <w:r w:rsidR="00E16C38" w:rsidRPr="00DE21B2">
        <w:t>23-</w:t>
      </w:r>
      <w:r w:rsidRPr="00DE21B2">
        <w:t>i jogalkotási állásfoglalása egyrészről az Európai Unió, az Európai Atomenergia-közösség és tagállamaik, másrészről Ukrajna közötti társulási megállapodás értelmében az ukrán termékekre alkalmazandó kereskedelmi engedményeket kiegészítő ideiglenes kereskedelemliberalizációs intézkedésekről szóló, Bizottság által előterjesztett, európai parlamenti és tanácsi rendeletre irányuló javaslatról</w:t>
      </w:r>
      <w:bookmarkEnd w:id="5"/>
      <w:r w:rsidRPr="00DE21B2">
        <w:t xml:space="preserve"> </w:t>
      </w:r>
      <w:bookmarkStart w:id="6" w:name="References"/>
      <w:r w:rsidRPr="00DE21B2">
        <w:t>(COM(2024)0050 – C9-0021/2024 – 2024/0028(COD))</w:t>
      </w:r>
      <w:bookmarkEnd w:id="6"/>
    </w:p>
    <w:p w:rsidR="00DF11B3" w:rsidRPr="00B719D9" w:rsidRDefault="00DF11B3" w:rsidP="00DF11B3">
      <w:pPr>
        <w:pStyle w:val="NormalBold"/>
      </w:pPr>
      <w:bookmarkStart w:id="7" w:name="TextBodyBegin"/>
      <w:bookmarkEnd w:id="7"/>
      <w:r w:rsidRPr="00DE21B2">
        <w:t>(Rendes jogalkotási eljárás: első olvasat)</w:t>
      </w:r>
    </w:p>
    <w:p w:rsidR="00DF11B3" w:rsidRPr="00B719D9" w:rsidRDefault="00DF11B3" w:rsidP="00DF11B3">
      <w:pPr>
        <w:pStyle w:val="EPComma"/>
      </w:pPr>
      <w:r w:rsidRPr="00B719D9">
        <w:rPr>
          <w:i/>
        </w:rPr>
        <w:t>Az Európai Parlament,</w:t>
      </w:r>
    </w:p>
    <w:p w:rsidR="00DF11B3" w:rsidRPr="00B719D9" w:rsidRDefault="00DF11B3" w:rsidP="00826C25">
      <w:pPr>
        <w:pStyle w:val="NormalHanging12a"/>
        <w:widowControl/>
      </w:pPr>
      <w:r w:rsidRPr="00B719D9">
        <w:t>–</w:t>
      </w:r>
      <w:r w:rsidRPr="00B719D9">
        <w:tab/>
        <w:t>tekintettel a Bizottság Parlamenthez és Tanácshoz intézett javaslatára (COM(2024)0050),</w:t>
      </w:r>
    </w:p>
    <w:p w:rsidR="00DF11B3" w:rsidRPr="00B719D9" w:rsidRDefault="00DF11B3" w:rsidP="00826C25">
      <w:pPr>
        <w:pStyle w:val="NormalHanging12a"/>
        <w:widowControl/>
      </w:pPr>
      <w:r w:rsidRPr="00B719D9">
        <w:t>–</w:t>
      </w:r>
      <w:r w:rsidRPr="00B719D9">
        <w:tab/>
        <w:t>tekintettel az Európai Unió működéséről szóló szerződés 294. cikkének (2) bekezdésére és 207. cikkének (2) bekezdésére, amelyek alapján a Bizottság javaslatát benyújtotta a Parlamenthez (C9</w:t>
      </w:r>
      <w:r w:rsidRPr="00B719D9">
        <w:noBreakHyphen/>
        <w:t>0021/2024),</w:t>
      </w:r>
    </w:p>
    <w:p w:rsidR="00DF11B3" w:rsidRDefault="00DF11B3" w:rsidP="00826C25">
      <w:pPr>
        <w:pStyle w:val="NormalHanging12a"/>
        <w:widowControl/>
      </w:pPr>
      <w:r w:rsidRPr="00B719D9">
        <w:t>–</w:t>
      </w:r>
      <w:r w:rsidRPr="00B719D9">
        <w:tab/>
        <w:t>tekintettel az Európai Unió működéséről szóló szerződés 294. cikkének (3) bekezdésére,</w:t>
      </w:r>
    </w:p>
    <w:p w:rsidR="00503BDA" w:rsidRPr="00B719D9" w:rsidRDefault="00503BDA" w:rsidP="00826C25">
      <w:pPr>
        <w:pStyle w:val="NormalHanging12a"/>
        <w:widowControl/>
      </w:pPr>
      <w:r>
        <w:t>–</w:t>
      </w:r>
      <w:r>
        <w:tab/>
      </w:r>
      <w:r w:rsidRPr="00503BDA">
        <w:t xml:space="preserve">tekintettel az illetékes bizottság által az eljárási szabályzat 74. cikkének (4) bekezdése alapján jóváhagyott ideiglenes megállapodásra és a Tanács képviselőjének </w:t>
      </w:r>
      <w:r>
        <w:t>2024</w:t>
      </w:r>
      <w:r w:rsidRPr="00503BDA">
        <w:t xml:space="preserve">. </w:t>
      </w:r>
      <w:r>
        <w:t>április 8</w:t>
      </w:r>
      <w:r w:rsidRPr="00503BDA">
        <w:t>-i írásbeli kötelezettségvállalására, amely szerint egyetért a Parlament álláspontjával, az Európai Unió működéséről szóló szerződés 294. cikkének (4) bekezdésével összhangban</w:t>
      </w:r>
    </w:p>
    <w:p w:rsidR="00DF11B3" w:rsidRPr="00B719D9" w:rsidRDefault="00DF11B3" w:rsidP="00826C25">
      <w:pPr>
        <w:pStyle w:val="NormalHanging12a"/>
        <w:widowControl/>
      </w:pPr>
      <w:r w:rsidRPr="00B719D9">
        <w:t>–</w:t>
      </w:r>
      <w:r w:rsidRPr="00B719D9">
        <w:tab/>
        <w:t>tekintettel eljárási szabályzata 59. cikkére,</w:t>
      </w:r>
    </w:p>
    <w:p w:rsidR="00DF11B3" w:rsidRPr="00B719D9" w:rsidRDefault="00DF11B3" w:rsidP="00826C25">
      <w:pPr>
        <w:pStyle w:val="NormalHanging12a"/>
        <w:widowControl/>
      </w:pPr>
      <w:r w:rsidRPr="00B719D9">
        <w:t>–</w:t>
      </w:r>
      <w:r w:rsidRPr="00B719D9">
        <w:tab/>
        <w:t>tekintettel a Mezőgazdasági és Vidékfejlesztési Bizottság véleményére,</w:t>
      </w:r>
    </w:p>
    <w:p w:rsidR="00DF11B3" w:rsidRPr="00B719D9" w:rsidRDefault="00DF11B3" w:rsidP="00826C25">
      <w:pPr>
        <w:pStyle w:val="NormalHanging12a"/>
        <w:widowControl/>
      </w:pPr>
      <w:r w:rsidRPr="00B719D9">
        <w:t>–</w:t>
      </w:r>
      <w:r w:rsidRPr="00B719D9">
        <w:tab/>
        <w:t>tekintettel a Nemzetközi Kereskedelmi Bizottság jelentésére (A9-0077/2024),</w:t>
      </w:r>
    </w:p>
    <w:p w:rsidR="00DF11B3" w:rsidRPr="00B719D9" w:rsidRDefault="00DF11B3" w:rsidP="00826C25">
      <w:pPr>
        <w:pStyle w:val="NormalHanging12a"/>
        <w:widowControl/>
      </w:pPr>
      <w:r w:rsidRPr="00B719D9">
        <w:t>1.</w:t>
      </w:r>
      <w:r w:rsidRPr="00B719D9">
        <w:tab/>
      </w:r>
      <w:r w:rsidR="00503BDA" w:rsidRPr="00503BDA">
        <w:t>elfogadja első olvasatban az alábbi álláspontot</w:t>
      </w:r>
      <w:r w:rsidRPr="00B719D9">
        <w:t>;</w:t>
      </w:r>
    </w:p>
    <w:p w:rsidR="00CB67BB" w:rsidRDefault="00CB67BB" w:rsidP="00826C25">
      <w:pPr>
        <w:pStyle w:val="NormalHanging12a"/>
        <w:widowControl/>
      </w:pPr>
      <w:r>
        <w:lastRenderedPageBreak/>
        <w:t>2</w:t>
      </w:r>
      <w:r w:rsidRPr="00CB67BB">
        <w:t>.</w:t>
      </w:r>
      <w:r w:rsidRPr="00CB67BB">
        <w:tab/>
        <w:t>tudomásul veszi a Bizottság ezen állásfoglaláshoz csatolt nyilatkozat</w:t>
      </w:r>
      <w:r w:rsidR="00503BDA">
        <w:t>ait</w:t>
      </w:r>
      <w:r w:rsidRPr="00CB67BB">
        <w:t>, amelye</w:t>
      </w:r>
      <w:r w:rsidR="00503BDA">
        <w:t>ke</w:t>
      </w:r>
      <w:r w:rsidRPr="00CB67BB">
        <w:t xml:space="preserve">t az </w:t>
      </w:r>
      <w:r w:rsidRPr="00DE21B2">
        <w:rPr>
          <w:i/>
        </w:rPr>
        <w:t>Európai Unió Hivatalos Lapjának</w:t>
      </w:r>
      <w:r w:rsidRPr="00CB67BB">
        <w:t xml:space="preserve"> C sorozatában tesznek majd közzé;</w:t>
      </w:r>
    </w:p>
    <w:p w:rsidR="00DF11B3" w:rsidRPr="00B719D9" w:rsidRDefault="00CB67BB" w:rsidP="00826C25">
      <w:pPr>
        <w:pStyle w:val="NormalHanging12a"/>
        <w:widowControl/>
      </w:pPr>
      <w:r>
        <w:t>3</w:t>
      </w:r>
      <w:r w:rsidR="00DF11B3" w:rsidRPr="00B719D9">
        <w:t>.</w:t>
      </w:r>
      <w:r w:rsidR="00DF11B3" w:rsidRPr="00B719D9">
        <w:tab/>
        <w:t>felkéri a Bizottságot, hogy utalja az ügyet újból a Parlamenthez, ha javaslatát másik szöveggel váltja fel, lényegesen módosítja vagy lényegesen módosítani kívánja;</w:t>
      </w:r>
    </w:p>
    <w:p w:rsidR="00DF11B3" w:rsidRDefault="00CB67BB" w:rsidP="00826C25">
      <w:pPr>
        <w:pStyle w:val="NormalHanging12a"/>
        <w:widowControl/>
      </w:pPr>
      <w:r>
        <w:t>4</w:t>
      </w:r>
      <w:r w:rsidR="00DF11B3" w:rsidRPr="00B719D9">
        <w:t>.</w:t>
      </w:r>
      <w:r w:rsidR="00DF11B3" w:rsidRPr="00B719D9">
        <w:tab/>
        <w:t>utasítja elnökét, hogy továbbítsa a Parlament álláspontját a Tanácsnak és a Bizottságnak, valamint a nemzeti parlamenteknek.</w:t>
      </w:r>
    </w:p>
    <w:p w:rsidR="007D7F70" w:rsidRDefault="007D7F70" w:rsidP="00826C25">
      <w:pPr>
        <w:pStyle w:val="NormalHanging12a"/>
        <w:widowControl/>
        <w:sectPr w:rsidR="007D7F70" w:rsidSect="00B719D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D7F70" w:rsidRPr="007D7F70" w:rsidRDefault="007D7F70" w:rsidP="007D7F70">
      <w:pPr>
        <w:widowControl/>
        <w:spacing w:after="240"/>
        <w:rPr>
          <w:b/>
          <w:bCs/>
        </w:rPr>
      </w:pPr>
      <w:r w:rsidRPr="007D7F70">
        <w:rPr>
          <w:b/>
          <w:bCs/>
        </w:rPr>
        <w:lastRenderedPageBreak/>
        <w:t>P9_TC1-COD(</w:t>
      </w:r>
      <w:r w:rsidRPr="00FF7BDC">
        <w:rPr>
          <w:b/>
          <w:bCs/>
        </w:rPr>
        <w:t>2024)</w:t>
      </w:r>
      <w:r w:rsidRPr="007D7F70">
        <w:rPr>
          <w:b/>
          <w:bCs/>
        </w:rPr>
        <w:t>0028</w:t>
      </w:r>
    </w:p>
    <w:p w:rsidR="007D7F70" w:rsidRDefault="007D7F70" w:rsidP="007D7F70">
      <w:pPr>
        <w:pStyle w:val="NormalHanging12a"/>
        <w:widowControl/>
        <w:ind w:left="0" w:firstLine="0"/>
        <w:rPr>
          <w:b/>
        </w:rPr>
      </w:pPr>
      <w:r w:rsidRPr="007D7F70">
        <w:rPr>
          <w:b/>
        </w:rPr>
        <w:t xml:space="preserve">Az Európai Parlament álláspontja, amely első olvasatban </w:t>
      </w:r>
      <w:r w:rsidRPr="00FF7BDC">
        <w:rPr>
          <w:b/>
        </w:rPr>
        <w:t>2024. április</w:t>
      </w:r>
      <w:r w:rsidR="00CB67BB">
        <w:rPr>
          <w:b/>
        </w:rPr>
        <w:t xml:space="preserve"> 23-á</w:t>
      </w:r>
      <w:r w:rsidRPr="00FF7BDC">
        <w:rPr>
          <w:b/>
        </w:rPr>
        <w:t>n</w:t>
      </w:r>
      <w:r w:rsidRPr="007D7F70">
        <w:rPr>
          <w:b/>
        </w:rPr>
        <w:t xml:space="preserve"> került elfogadásra </w:t>
      </w:r>
      <w:r w:rsidR="00CB67BB" w:rsidRPr="00CB67BB">
        <w:rPr>
          <w:rFonts w:eastAsia="Calibri"/>
          <w:b/>
          <w:noProof/>
          <w:szCs w:val="22"/>
          <w:lang w:eastAsia="en-US"/>
        </w:rPr>
        <w:t>az egyrészről az Európai Unió, az Európai Atomenergia-közösség és tagállamaik, másrészről Ukrajna közötti társulási megállapodás értelmében az ukrán termékekre alkalmazandó kereskedelmi engedményeket kiegészítő ideiglenes kereskedelemliberalizációs intézkedésekről</w:t>
      </w:r>
      <w:r w:rsidR="00CB67BB">
        <w:rPr>
          <w:rFonts w:eastAsia="Calibri"/>
          <w:b/>
          <w:noProof/>
          <w:szCs w:val="22"/>
          <w:lang w:eastAsia="en-US"/>
        </w:rPr>
        <w:t xml:space="preserve"> </w:t>
      </w:r>
      <w:r w:rsidRPr="007D7F70">
        <w:rPr>
          <w:b/>
        </w:rPr>
        <w:t xml:space="preserve">szóló (EU) </w:t>
      </w:r>
      <w:r w:rsidRPr="00FF7BDC">
        <w:rPr>
          <w:b/>
        </w:rPr>
        <w:t>2024</w:t>
      </w:r>
      <w:r w:rsidRPr="007D7F70">
        <w:rPr>
          <w:b/>
        </w:rPr>
        <w:t xml:space="preserve">/... európai parlamenti és tanácsi </w:t>
      </w:r>
      <w:r w:rsidRPr="00FF7BDC">
        <w:rPr>
          <w:b/>
        </w:rPr>
        <w:t>rendelet</w:t>
      </w:r>
      <w:r w:rsidRPr="007D7F70">
        <w:rPr>
          <w:b/>
        </w:rPr>
        <w:t xml:space="preserve"> elfogadására tekintettel</w:t>
      </w:r>
    </w:p>
    <w:p w:rsidR="00986FE0" w:rsidRPr="000C3003" w:rsidRDefault="000C3003" w:rsidP="000C3003">
      <w:pPr>
        <w:widowControl/>
        <w:tabs>
          <w:tab w:val="left" w:pos="4252"/>
        </w:tabs>
        <w:rPr>
          <w:rFonts w:eastAsia="Calibri"/>
          <w:i/>
          <w:noProof/>
          <w:szCs w:val="22"/>
          <w:lang w:eastAsia="en-US"/>
        </w:rPr>
        <w:sectPr w:rsidR="00986FE0" w:rsidRPr="000C3003" w:rsidSect="00B719D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C3003">
        <w:rPr>
          <w:rFonts w:eastAsia="Calibri"/>
          <w:i/>
          <w:noProof/>
          <w:szCs w:val="22"/>
          <w:lang w:eastAsia="en-US"/>
        </w:rPr>
        <w:t>(A Parlament és a Tanács megállapodása következtében a Parlament álláspontja megegyezik a végleges jogalkotási aktussal, az (EU) 2024</w:t>
      </w:r>
      <w:r>
        <w:rPr>
          <w:rFonts w:eastAsia="Calibri"/>
          <w:i/>
          <w:noProof/>
          <w:szCs w:val="22"/>
          <w:lang w:eastAsia="en-US"/>
        </w:rPr>
        <w:t>/1392</w:t>
      </w:r>
      <w:r w:rsidRPr="000C3003">
        <w:rPr>
          <w:rFonts w:eastAsia="Calibri"/>
          <w:i/>
          <w:noProof/>
          <w:szCs w:val="22"/>
          <w:lang w:eastAsia="en-US"/>
        </w:rPr>
        <w:t xml:space="preserve"> </w:t>
      </w:r>
      <w:r>
        <w:rPr>
          <w:rFonts w:eastAsia="Calibri"/>
          <w:i/>
          <w:noProof/>
          <w:szCs w:val="22"/>
          <w:lang w:eastAsia="en-US"/>
        </w:rPr>
        <w:t>regulation</w:t>
      </w:r>
      <w:r w:rsidRPr="000C3003">
        <w:rPr>
          <w:rFonts w:eastAsia="Calibri"/>
          <w:i/>
          <w:noProof/>
          <w:szCs w:val="22"/>
          <w:lang w:eastAsia="en-US"/>
        </w:rPr>
        <w:t>.)</w:t>
      </w:r>
    </w:p>
    <w:p w:rsidR="007D7F70" w:rsidRDefault="00CB67BB" w:rsidP="00DE21B2">
      <w:pPr>
        <w:pStyle w:val="NormalHanging12a"/>
        <w:widowControl/>
        <w:jc w:val="right"/>
      </w:pPr>
      <w:r>
        <w:lastRenderedPageBreak/>
        <w:t>MELLÉKLET A JOGALKOTÁSI ÁLLÁSFOGLALÁSHOZ</w:t>
      </w:r>
    </w:p>
    <w:p w:rsidR="00914FA7" w:rsidRPr="00D95CC8" w:rsidRDefault="00914FA7" w:rsidP="00914FA7">
      <w:pPr>
        <w:widowControl/>
        <w:spacing w:after="240"/>
        <w:jc w:val="center"/>
        <w:rPr>
          <w:b/>
          <w:bCs/>
          <w:szCs w:val="24"/>
        </w:rPr>
      </w:pPr>
      <w:r w:rsidRPr="00D95CC8">
        <w:rPr>
          <w:b/>
          <w:szCs w:val="24"/>
        </w:rPr>
        <w:t>Elfogadták az (EU) 2024/</w:t>
      </w:r>
      <w:r w:rsidR="000C3003">
        <w:rPr>
          <w:b/>
          <w:szCs w:val="24"/>
        </w:rPr>
        <w:t xml:space="preserve">1392 </w:t>
      </w:r>
      <w:r w:rsidRPr="00D95CC8">
        <w:rPr>
          <w:b/>
          <w:szCs w:val="24"/>
        </w:rPr>
        <w:t>rendelete</w:t>
      </w:r>
      <w:r w:rsidR="000C3003">
        <w:rPr>
          <w:b/>
          <w:szCs w:val="24"/>
        </w:rPr>
        <w:t>t</w:t>
      </w:r>
      <w:r w:rsidRPr="00D95CC8">
        <w:rPr>
          <w:b/>
          <w:szCs w:val="24"/>
        </w:rPr>
        <w:t>– A Bizottság nyilatkozata az Ukrajnából származó gabona behozatalának nyomon követéséről</w:t>
      </w:r>
    </w:p>
    <w:p w:rsidR="00914FA7" w:rsidRPr="00D95CC8" w:rsidRDefault="00914FA7" w:rsidP="00914FA7">
      <w:pPr>
        <w:widowControl/>
        <w:spacing w:after="240"/>
        <w:rPr>
          <w:szCs w:val="24"/>
        </w:rPr>
      </w:pPr>
      <w:r w:rsidRPr="00D95CC8">
        <w:rPr>
          <w:szCs w:val="24"/>
        </w:rPr>
        <w:t>Az Ukrajna elleni orosz agressziós háború zavart okozott a korábbi ellátási láncok működésében. Az EU támogatást nyújt Ukrajnának a gabona és más áruk rendes áramlásának elsősorban a szolidaritási folyosókon keresztül történő újraindításához, valamint annak biztosításához, hogy a globális élelmezésbiztonság támogatása érdekében a gabonaexport eljusson rendeltetési helyére, konkrétabban a harmadik országok piacaira is.</w:t>
      </w:r>
    </w:p>
    <w:p w:rsidR="00914FA7" w:rsidRPr="00D95CC8" w:rsidRDefault="00914FA7" w:rsidP="00914FA7">
      <w:pPr>
        <w:widowControl/>
        <w:spacing w:after="240"/>
        <w:rPr>
          <w:szCs w:val="24"/>
        </w:rPr>
      </w:pPr>
      <w:r w:rsidRPr="00D95CC8">
        <w:rPr>
          <w:szCs w:val="24"/>
        </w:rPr>
        <w:t>A Bizottság elkötelezett amellett, hogy támogassa Ukrajnát, ugyanakkor védje az uniós gabonatermelők érdekeit, és biztosítsa az uniós gabonapiac megfelelő működését.</w:t>
      </w:r>
    </w:p>
    <w:p w:rsidR="00914FA7" w:rsidRPr="00D95CC8" w:rsidRDefault="00914FA7" w:rsidP="00914FA7">
      <w:pPr>
        <w:widowControl/>
        <w:spacing w:after="240"/>
        <w:rPr>
          <w:szCs w:val="24"/>
        </w:rPr>
      </w:pPr>
      <w:r w:rsidRPr="00D95CC8">
        <w:rPr>
          <w:szCs w:val="24"/>
        </w:rPr>
        <w:t>Tekintettel a gabonatermelés és a gabonapiacok fontosságára, a Bizottság különös figyelmet fog fordítani a gabona – különösen a búza – behozatalának nyomon követésére, és különösen arra, hogy e behozatal milyen mértékben koncentrálódik az Ukrajnával szomszédos tagállamokban. Az Ukrajnával folytatott rendszeres párbeszéd során a Bizottság foglalkozni fog a nyomon követés során felmerülő kérdésekkel. A Bizottság emlékeztet arra, hogy az Ukrajnából származó behozatalt a behozatalra vonatkozó közös szabályokról szóló, 2015.</w:t>
      </w:r>
      <w:r w:rsidRPr="00D95CC8">
        <w:rPr>
          <w:color w:val="000000"/>
          <w:szCs w:val="24"/>
        </w:rPr>
        <w:t> </w:t>
      </w:r>
      <w:r w:rsidRPr="00D95CC8">
        <w:rPr>
          <w:szCs w:val="24"/>
        </w:rPr>
        <w:t>március 11-i (EU)</w:t>
      </w:r>
      <w:r w:rsidRPr="00D95CC8">
        <w:rPr>
          <w:color w:val="000000"/>
          <w:szCs w:val="24"/>
        </w:rPr>
        <w:t> </w:t>
      </w:r>
      <w:r w:rsidRPr="00D95CC8">
        <w:rPr>
          <w:szCs w:val="24"/>
        </w:rPr>
        <w:t>2015/478 európai parlamenti és tanácsi rendelet IV. fejezete szerint importengedélyezés formájában felügyelni lehet, amennyiben a behozatal tendenciája az uniós gyártóknak kárt okozhat, és ha az Unió érdekei úgy kívánják. E tekintetben a Bizottság szükség szerint élni fog a rendelkezésére álló eszközökkel. A Bizottság továbbra is rendszeresen jelentést tesz a tagállamoknak az Ukrajnával folytatott rendszeres párbeszéd során elért eredményekről.</w:t>
      </w:r>
    </w:p>
    <w:p w:rsidR="00914FA7" w:rsidRPr="00D95CC8" w:rsidRDefault="00914FA7" w:rsidP="00914FA7">
      <w:pPr>
        <w:widowControl/>
        <w:spacing w:after="240"/>
        <w:rPr>
          <w:szCs w:val="24"/>
        </w:rPr>
      </w:pPr>
      <w:r w:rsidRPr="00D95CC8">
        <w:rPr>
          <w:szCs w:val="24"/>
        </w:rPr>
        <w:t>Az autonóm kereskedelmi intézkedések hatálya alá tartozó termékek tekintetében a Bizottság emlékeztet arra, hogy a rendelet megerősített biztosítéki mechanizmusról is rendelkezik. A Bizottság most először vezette be ezt a lehetőséget, és készen áll arra, hogy aktiválja ezt a mechanizmust nem csupán az uniós piac egészét érintő, hanem csak egy vagy több tagállam piacára gyakorolt káros hatás esetén is. E tekintetben a Bizottság teljes mértékben ki fogja használni hatáskörét, és hivatalból kezdeményezni fogja a megerősített védintézkedési mechanizmus alkalmazását az Ukrajnából származó búza behozatalára.</w:t>
      </w:r>
    </w:p>
    <w:p w:rsidR="00914FA7" w:rsidRPr="00D95CC8" w:rsidRDefault="00914FA7" w:rsidP="00914FA7">
      <w:pPr>
        <w:widowControl/>
        <w:spacing w:after="240"/>
        <w:rPr>
          <w:szCs w:val="24"/>
        </w:rPr>
      </w:pPr>
      <w:r w:rsidRPr="00D95CC8">
        <w:rPr>
          <w:szCs w:val="24"/>
        </w:rPr>
        <w:t>A Bizottság emlékeztet arra, hogy 2022-ben és 2023-ban intézkedéseket fogadott el az európai mezőgazdasági termelők támogatására valamennyi tagállamban, különösen az Ukrajnával szomszédos tagállamokban.</w:t>
      </w:r>
    </w:p>
    <w:p w:rsidR="00914FA7" w:rsidRDefault="00914FA7" w:rsidP="00914FA7">
      <w:pPr>
        <w:widowControl/>
        <w:rPr>
          <w:szCs w:val="24"/>
        </w:rPr>
      </w:pPr>
      <w:r>
        <w:rPr>
          <w:szCs w:val="24"/>
        </w:rPr>
        <w:br w:type="page"/>
      </w:r>
    </w:p>
    <w:p w:rsidR="00914FA7" w:rsidRPr="00D95CC8" w:rsidRDefault="00914FA7" w:rsidP="00914FA7">
      <w:pPr>
        <w:widowControl/>
        <w:spacing w:after="240"/>
        <w:jc w:val="center"/>
        <w:rPr>
          <w:b/>
          <w:bCs/>
          <w:szCs w:val="24"/>
        </w:rPr>
      </w:pPr>
      <w:r w:rsidRPr="00D95CC8">
        <w:rPr>
          <w:b/>
          <w:szCs w:val="24"/>
        </w:rPr>
        <w:lastRenderedPageBreak/>
        <w:t>Elfogadták az (EU) 2024/</w:t>
      </w:r>
      <w:r w:rsidR="000C3003">
        <w:rPr>
          <w:b/>
          <w:szCs w:val="24"/>
        </w:rPr>
        <w:t>1392</w:t>
      </w:r>
      <w:r w:rsidRPr="00D95CC8">
        <w:rPr>
          <w:b/>
          <w:szCs w:val="24"/>
        </w:rPr>
        <w:t xml:space="preserve"> rendeletet – A Bizottság nyilatkozata a társulási megállapodás 29. cikke alapján lefolytatandó felülvizsgálati eljárásról</w:t>
      </w:r>
    </w:p>
    <w:p w:rsidR="00914FA7" w:rsidRPr="00D95CC8" w:rsidRDefault="00914FA7" w:rsidP="00914FA7">
      <w:pPr>
        <w:widowControl/>
        <w:spacing w:after="240"/>
        <w:rPr>
          <w:szCs w:val="24"/>
        </w:rPr>
      </w:pPr>
      <w:r w:rsidRPr="00D95CC8">
        <w:rPr>
          <w:szCs w:val="24"/>
        </w:rPr>
        <w:t>A Bizottság megerősíti, hogy amint a társjogalkotók elfogadják az új autonóm kereskedelmi intézkedéseket, megteszi a társulási megállapodás 29. cikke szerinti szükséges lépéseket annak érdekében, hogy az Ukrajnával folytatott konzultációk révén folytassa a kölcsönös vámliberalizáció folyamatát.</w:t>
      </w:r>
    </w:p>
    <w:p w:rsidR="00914FA7" w:rsidRPr="00D95CC8" w:rsidRDefault="00914FA7" w:rsidP="00914FA7">
      <w:pPr>
        <w:widowControl/>
        <w:spacing w:after="240"/>
        <w:rPr>
          <w:szCs w:val="24"/>
        </w:rPr>
      </w:pPr>
      <w:r w:rsidRPr="00D95CC8">
        <w:rPr>
          <w:szCs w:val="24"/>
        </w:rPr>
        <w:t>A Bizottság szorosan bevonja az Európai Parlamentet ebbe a fol</w:t>
      </w:r>
      <w:bookmarkStart w:id="8" w:name="_GoBack"/>
      <w:bookmarkEnd w:id="8"/>
      <w:r w:rsidRPr="00D95CC8">
        <w:rPr>
          <w:szCs w:val="24"/>
        </w:rPr>
        <w:t>yamatba: folyamatosan tájékoztatni fogja az Ukrajnával folytatott konzultációk előrehaladásáról, és a lehető legnagyobb mértékben figyelembe veszi majd az Európai Parlament észrevételeit.</w:t>
      </w:r>
    </w:p>
    <w:p w:rsidR="00914FA7" w:rsidRPr="00D95CC8" w:rsidRDefault="00914FA7" w:rsidP="00914FA7">
      <w:pPr>
        <w:widowControl/>
        <w:spacing w:after="240"/>
        <w:rPr>
          <w:szCs w:val="24"/>
        </w:rPr>
      </w:pPr>
      <w:r w:rsidRPr="00D95CC8">
        <w:rPr>
          <w:szCs w:val="24"/>
        </w:rPr>
        <w:t>A Bizottság emlékeztet arra, hogy ezek a munkamódszerek nem teremtenek precedenst más megállapodások felülvizsgálati záradékai vonatkozásában, és nem térnek el az EUMSZ 218. cikkétől.</w:t>
      </w:r>
    </w:p>
    <w:p w:rsidR="00914FA7" w:rsidRPr="00B719D9" w:rsidRDefault="00914FA7" w:rsidP="00DE21B2">
      <w:pPr>
        <w:pStyle w:val="NormalHanging12a"/>
        <w:widowControl/>
        <w:ind w:left="0" w:firstLine="0"/>
      </w:pPr>
      <w:bookmarkStart w:id="9" w:name="_Hlk162345814"/>
      <w:r w:rsidRPr="00D95CC8">
        <w:rPr>
          <w:szCs w:val="24"/>
        </w:rPr>
        <w:t>A folyamat eredménye gazdasági biztonságot és stabil kereskedelmet biztosít majd mind Ukrajna, mind az EU, valamint a mezőgazdasági termelők és a vállalkozások számára. Ez fontos lépés lesz Ukrajna újjáépítésében és az országnak EU belső piacába való további integrációjában is – ez pedig elengedhetetlen az Unióhoz való jövőbeli csatlakozáshoz.</w:t>
      </w:r>
      <w:bookmarkEnd w:id="9"/>
    </w:p>
    <w:sectPr w:rsidR="00914FA7" w:rsidRPr="00B719D9" w:rsidSect="00B719D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843" w:rsidRPr="00B719D9" w:rsidRDefault="00D71843">
      <w:r w:rsidRPr="00B719D9">
        <w:separator/>
      </w:r>
    </w:p>
  </w:endnote>
  <w:endnote w:type="continuationSeparator" w:id="0">
    <w:p w:rsidR="00D71843" w:rsidRPr="00B719D9" w:rsidRDefault="00D71843">
      <w:r w:rsidRPr="00B719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843" w:rsidRPr="00B719D9" w:rsidRDefault="00D71843">
      <w:r w:rsidRPr="00B719D9">
        <w:separator/>
      </w:r>
    </w:p>
  </w:footnote>
  <w:footnote w:type="continuationSeparator" w:id="0">
    <w:p w:rsidR="00D71843" w:rsidRPr="00B719D9" w:rsidRDefault="00D71843">
      <w:r w:rsidRPr="00B719D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HU"/>
    <w:docVar w:name="dvnumam" w:val="26"/>
    <w:docVar w:name="dvpe" w:val="758.861"/>
    <w:docVar w:name="dvrapporteur" w:val="Előadó: "/>
    <w:docVar w:name="dvstar" w:val="***I"/>
    <w:docVar w:name="dvtitre" w:val="Az Európai Parlament 2024.  ...-i jogalkotási állásfoglalása egyrészről az Európai Unió, az Európai Atomenergia-közösség és tagállamaik, másrészről Ukrajna közötti társulási megállapodás értelmében az ukrán termékekre alkalmazandó kereskedelmi engedményeket kiegészítő ideiglenes kereskedelemliberalizációs intézkedésekről szóló, Bizottság által előterjesztett, európai parlamenti és tanácsi rendeletre irányuló javaslatról(COM(2024)0050 – C9-0021/2024 – 2024/0028(COD))"/>
  </w:docVars>
  <w:rsids>
    <w:rsidRoot w:val="00D71843"/>
    <w:rsid w:val="00002272"/>
    <w:rsid w:val="00064002"/>
    <w:rsid w:val="000677B9"/>
    <w:rsid w:val="000831BA"/>
    <w:rsid w:val="000A42CC"/>
    <w:rsid w:val="000C300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E42"/>
    <w:rsid w:val="004C0004"/>
    <w:rsid w:val="004C5D52"/>
    <w:rsid w:val="00503BDA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F70"/>
    <w:rsid w:val="007E22AD"/>
    <w:rsid w:val="00817416"/>
    <w:rsid w:val="00826C25"/>
    <w:rsid w:val="00842779"/>
    <w:rsid w:val="00865F67"/>
    <w:rsid w:val="00881A7B"/>
    <w:rsid w:val="008840E5"/>
    <w:rsid w:val="00887B3E"/>
    <w:rsid w:val="008C2AC6"/>
    <w:rsid w:val="00914FA7"/>
    <w:rsid w:val="00930C23"/>
    <w:rsid w:val="0093193B"/>
    <w:rsid w:val="009509D8"/>
    <w:rsid w:val="00950B64"/>
    <w:rsid w:val="00981893"/>
    <w:rsid w:val="00986FE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9D9"/>
    <w:rsid w:val="00BD48FE"/>
    <w:rsid w:val="00BD7BD8"/>
    <w:rsid w:val="00BE6ADC"/>
    <w:rsid w:val="00C05BFE"/>
    <w:rsid w:val="00C23CD4"/>
    <w:rsid w:val="00C61C0C"/>
    <w:rsid w:val="00C941CB"/>
    <w:rsid w:val="00CB67BB"/>
    <w:rsid w:val="00CC2357"/>
    <w:rsid w:val="00CF071A"/>
    <w:rsid w:val="00D058B8"/>
    <w:rsid w:val="00D56C11"/>
    <w:rsid w:val="00D71843"/>
    <w:rsid w:val="00D834A0"/>
    <w:rsid w:val="00D872DF"/>
    <w:rsid w:val="00D91E21"/>
    <w:rsid w:val="00DA7FCD"/>
    <w:rsid w:val="00DE21B2"/>
    <w:rsid w:val="00DF11B3"/>
    <w:rsid w:val="00E16C3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6EBE3"/>
  <w15:chartTrackingRefBased/>
  <w15:docId w15:val="{58CC9EA0-2B85-4789-9065-4FCA030E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F11B3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DF11B3"/>
    <w:rPr>
      <w:b/>
    </w:rPr>
  </w:style>
  <w:style w:type="paragraph" w:customStyle="1" w:styleId="NormalHanging12a">
    <w:name w:val="NormalHanging12a"/>
    <w:basedOn w:val="Normal"/>
    <w:rsid w:val="00DF11B3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DF11B3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7D7F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D7F70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20411-3602-4C6E-ADBB-BFCBA7E75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793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2024-09-05T13:52:00Z</dcterms:created>
  <dcterms:modified xsi:type="dcterms:W3CDTF">2024-09-05T13:52:00Z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P9_TA(2024)0304_</vt:lpwstr>
  </property>
  <property fmtid="{D5CDD505-2E9C-101B-9397-08002B2CF9AE}" pid="4" name="&lt;Type&gt;">
    <vt:lpwstr>RR</vt:lpwstr>
  </property>
</Properties>
</file>