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7E2A" w:rsidTr="0010095E">
        <w:trPr>
          <w:trHeight w:hRule="exact" w:val="1418"/>
        </w:trPr>
        <w:tc>
          <w:tcPr>
            <w:tcW w:w="6804" w:type="dxa"/>
            <w:shd w:val="clear" w:color="auto" w:fill="auto"/>
            <w:vAlign w:val="center"/>
          </w:tcPr>
          <w:p w:rsidR="00751A4A" w:rsidRPr="00317E2A" w:rsidRDefault="00654A03" w:rsidP="0010095E">
            <w:pPr>
              <w:pStyle w:val="EPName"/>
            </w:pPr>
            <w:r w:rsidRPr="00317E2A">
              <w:t>Europos Parlamentas</w:t>
            </w:r>
          </w:p>
          <w:p w:rsidR="00751A4A" w:rsidRPr="00317E2A" w:rsidRDefault="00817416" w:rsidP="00756632">
            <w:pPr>
              <w:pStyle w:val="EPTerm"/>
              <w:rPr>
                <w:rStyle w:val="HideTWBExt"/>
                <w:noProof w:val="0"/>
                <w:vanish w:val="0"/>
                <w:color w:val="auto"/>
              </w:rPr>
            </w:pPr>
            <w:r w:rsidRPr="00317E2A">
              <w:t>2019-2024</w:t>
            </w:r>
          </w:p>
        </w:tc>
        <w:tc>
          <w:tcPr>
            <w:tcW w:w="2268" w:type="dxa"/>
            <w:shd w:val="clear" w:color="auto" w:fill="auto"/>
          </w:tcPr>
          <w:p w:rsidR="00751A4A" w:rsidRPr="00317E2A" w:rsidRDefault="00187494" w:rsidP="0010095E">
            <w:pPr>
              <w:pStyle w:val="EPLogo"/>
            </w:pPr>
            <w:r w:rsidRPr="00317E2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7E2A" w:rsidRDefault="00D058B8" w:rsidP="004C5D52">
      <w:pPr>
        <w:pStyle w:val="LineTop"/>
      </w:pPr>
    </w:p>
    <w:p w:rsidR="00680577" w:rsidRPr="00317E2A" w:rsidRDefault="00654A03" w:rsidP="00680577">
      <w:pPr>
        <w:pStyle w:val="EPBodyTA1"/>
      </w:pPr>
      <w:r w:rsidRPr="00317E2A">
        <w:t>PRIIMTI TEKSTAI</w:t>
      </w:r>
    </w:p>
    <w:p w:rsidR="00D058B8" w:rsidRPr="00317E2A" w:rsidRDefault="00D058B8" w:rsidP="00D058B8">
      <w:pPr>
        <w:pStyle w:val="LineBottom"/>
      </w:pPr>
    </w:p>
    <w:p w:rsidR="00654A03" w:rsidRPr="00317E2A" w:rsidRDefault="00654A03" w:rsidP="00654A03">
      <w:pPr>
        <w:pStyle w:val="ATHeading1"/>
      </w:pPr>
      <w:bookmarkStart w:id="0" w:name="TANumber"/>
      <w:r w:rsidRPr="00317E2A">
        <w:t>P9_TA(2024)0</w:t>
      </w:r>
      <w:r w:rsidR="005249E7">
        <w:t>3</w:t>
      </w:r>
      <w:r w:rsidRPr="00317E2A">
        <w:t>0</w:t>
      </w:r>
      <w:r w:rsidR="005249E7">
        <w:t>4</w:t>
      </w:r>
      <w:bookmarkEnd w:id="0"/>
    </w:p>
    <w:p w:rsidR="00654A03" w:rsidRPr="00317E2A" w:rsidRDefault="00654A03" w:rsidP="00654A03">
      <w:pPr>
        <w:pStyle w:val="ATHeading2"/>
      </w:pPr>
      <w:bookmarkStart w:id="1" w:name="title"/>
      <w:r w:rsidRPr="00317E2A">
        <w:t xml:space="preserve">Laikinos prekybos liberalizavimo priemonės, papildančios prekybos lengvatas, taikomas Ukrainos produktams pagal </w:t>
      </w:r>
      <w:r w:rsidR="00E70A47">
        <w:t>ES, Euratomo</w:t>
      </w:r>
      <w:r w:rsidRPr="00317E2A">
        <w:t xml:space="preserve"> ir Ukrainos asociacijos susitarimą</w:t>
      </w:r>
      <w:bookmarkEnd w:id="1"/>
    </w:p>
    <w:p w:rsidR="00654A03" w:rsidRPr="00317E2A" w:rsidRDefault="00654A03" w:rsidP="00654A03">
      <w:pPr>
        <w:rPr>
          <w:i/>
          <w:vanish/>
        </w:rPr>
      </w:pPr>
      <w:r w:rsidRPr="00317E2A">
        <w:rPr>
          <w:i/>
        </w:rPr>
        <w:fldChar w:fldCharType="begin"/>
      </w:r>
      <w:r w:rsidRPr="00317E2A">
        <w:rPr>
          <w:i/>
        </w:rPr>
        <w:instrText xml:space="preserve"> TC"(</w:instrText>
      </w:r>
      <w:bookmarkStart w:id="2" w:name="DocNumber"/>
      <w:r w:rsidRPr="00317E2A">
        <w:rPr>
          <w:i/>
        </w:rPr>
        <w:instrText>A9-0077/2024</w:instrText>
      </w:r>
      <w:bookmarkEnd w:id="2"/>
      <w:r w:rsidRPr="00317E2A">
        <w:rPr>
          <w:i/>
        </w:rPr>
        <w:instrText xml:space="preserve"> - Pranešėja: Sandra Kalnietė)"\l3 \n&gt; \* MERGEFORMAT </w:instrText>
      </w:r>
      <w:r w:rsidRPr="00317E2A">
        <w:rPr>
          <w:i/>
        </w:rPr>
        <w:fldChar w:fldCharType="end"/>
      </w:r>
    </w:p>
    <w:p w:rsidR="00654A03" w:rsidRPr="00317E2A" w:rsidRDefault="00654A03" w:rsidP="00654A03">
      <w:pPr>
        <w:rPr>
          <w:vanish/>
        </w:rPr>
      </w:pPr>
      <w:bookmarkStart w:id="3" w:name="Commission"/>
      <w:r w:rsidRPr="00317E2A">
        <w:rPr>
          <w:vanish/>
        </w:rPr>
        <w:t>Tarptautinės prekybos komitetas</w:t>
      </w:r>
      <w:bookmarkEnd w:id="3"/>
    </w:p>
    <w:p w:rsidR="00654A03" w:rsidRPr="00317E2A" w:rsidRDefault="00654A03" w:rsidP="00654A03">
      <w:pPr>
        <w:rPr>
          <w:vanish/>
        </w:rPr>
      </w:pPr>
      <w:bookmarkStart w:id="4" w:name="PE"/>
      <w:r w:rsidRPr="00317E2A">
        <w:rPr>
          <w:vanish/>
        </w:rPr>
        <w:t>PE758.861</w:t>
      </w:r>
      <w:bookmarkEnd w:id="4"/>
    </w:p>
    <w:p w:rsidR="00654A03" w:rsidRPr="00317E2A" w:rsidRDefault="006111B0" w:rsidP="00654A03">
      <w:pPr>
        <w:pStyle w:val="ATHeading3"/>
      </w:pPr>
      <w:bookmarkStart w:id="5" w:name="Sujet"/>
      <w:r>
        <w:t>2024 m. bal</w:t>
      </w:r>
      <w:r w:rsidRPr="00317E2A">
        <w:t>andžio</w:t>
      </w:r>
      <w:r w:rsidR="00654A03" w:rsidRPr="00317E2A">
        <w:t xml:space="preserve"> </w:t>
      </w:r>
      <w:r w:rsidR="001E040D">
        <w:t>23</w:t>
      </w:r>
      <w:r w:rsidR="00654A03" w:rsidRPr="00317E2A">
        <w:t xml:space="preserve"> d. Europos Parlamento teisėkūros rezoliucija dėl pasiūlymo dėl Europos Parlamento ir Tarybos reglamento dėl laikinų prekybos liberalizavimo priemonių, papildančių prekybos lengvatas, taikomas Ukrainos produktams pagal Europos Sąjungos ir Europos atominės energijos bendrijos bei jų valstybių narių ir Ukrainos asociacijos susitarimą</w:t>
      </w:r>
      <w:bookmarkEnd w:id="5"/>
      <w:r w:rsidR="00654A03" w:rsidRPr="00317E2A">
        <w:t xml:space="preserve"> </w:t>
      </w:r>
      <w:bookmarkStart w:id="6" w:name="References"/>
      <w:r w:rsidR="00654A03" w:rsidRPr="00317E2A">
        <w:t>(COM(2024)0050 – C9-0021/2024 – 2024/0028(COD))</w:t>
      </w:r>
      <w:bookmarkEnd w:id="6"/>
    </w:p>
    <w:p w:rsidR="0016568C" w:rsidRPr="00317E2A" w:rsidRDefault="0016568C" w:rsidP="0016568C">
      <w:pPr>
        <w:pStyle w:val="NormalBold"/>
      </w:pPr>
      <w:bookmarkStart w:id="7" w:name="TextBodyBegin"/>
      <w:bookmarkEnd w:id="7"/>
      <w:r w:rsidRPr="00317E2A">
        <w:t>(Įprasta teisėkūros procedūra: pirmasis svarstymas)</w:t>
      </w:r>
    </w:p>
    <w:p w:rsidR="0016568C" w:rsidRPr="00317E2A" w:rsidRDefault="0016568C" w:rsidP="0016568C">
      <w:pPr>
        <w:pStyle w:val="EPComma"/>
      </w:pPr>
      <w:r w:rsidRPr="00317E2A">
        <w:rPr>
          <w:i/>
          <w:iCs/>
        </w:rPr>
        <w:t>Europos Parlamentas</w:t>
      </w:r>
      <w:r w:rsidRPr="00317E2A">
        <w:t>,</w:t>
      </w:r>
    </w:p>
    <w:p w:rsidR="0016568C" w:rsidRPr="00317E2A" w:rsidRDefault="0016568C" w:rsidP="0016568C">
      <w:pPr>
        <w:pStyle w:val="NormalHanging12a"/>
      </w:pPr>
      <w:r w:rsidRPr="00317E2A">
        <w:t>–</w:t>
      </w:r>
      <w:r w:rsidRPr="00317E2A">
        <w:tab/>
        <w:t>atsižvelgdamas į Komisijos pasiūlymą Europos Parlamentui ir Tarybai (COM(2024)0050),</w:t>
      </w:r>
    </w:p>
    <w:p w:rsidR="0016568C" w:rsidRPr="00317E2A" w:rsidRDefault="0016568C" w:rsidP="0016568C">
      <w:pPr>
        <w:pStyle w:val="NormalHanging12a"/>
      </w:pPr>
      <w:r w:rsidRPr="00317E2A">
        <w:t>–</w:t>
      </w:r>
      <w:r w:rsidRPr="00317E2A">
        <w:tab/>
        <w:t>atsižvelgdamas į Sutarties dėl Europos Sąjungos veikimo 294 straipsnio 2 dalį ir 207 straipsnio 2 dalį, pagal kurias Komisija pateikė pasiūlymą Parlamentui (C9</w:t>
      </w:r>
      <w:r w:rsidRPr="00317E2A">
        <w:noBreakHyphen/>
        <w:t>0021/2024),</w:t>
      </w:r>
    </w:p>
    <w:p w:rsidR="0016568C" w:rsidRDefault="0016568C" w:rsidP="0016568C">
      <w:pPr>
        <w:pStyle w:val="NormalHanging12a"/>
      </w:pPr>
      <w:r w:rsidRPr="00317E2A">
        <w:t>–</w:t>
      </w:r>
      <w:r w:rsidRPr="00317E2A">
        <w:tab/>
        <w:t>atsižvelgdamas į Sutarties dėl Europos Sąjungos veikimo 294 straipsnio 3 dalį,</w:t>
      </w:r>
    </w:p>
    <w:p w:rsidR="00E72092" w:rsidRPr="00317E2A" w:rsidRDefault="00E72092" w:rsidP="0016568C">
      <w:pPr>
        <w:pStyle w:val="NormalHanging12a"/>
      </w:pPr>
      <w:r w:rsidRPr="006F4A90">
        <w:t>–</w:t>
      </w:r>
      <w:r w:rsidRPr="006F4A90">
        <w:tab/>
      </w:r>
      <w:r w:rsidRPr="008A311C">
        <w:t xml:space="preserve">atsižvelgdamas į preliminarų susitarimą, kurį atsakingas komitetas patvirtino pagal Darbo tvarkos taisyklių 74 straipsnio 4 dalį, ir į 2024 m. </w:t>
      </w:r>
      <w:r>
        <w:t>balandžio</w:t>
      </w:r>
      <w:r w:rsidRPr="008A311C">
        <w:t xml:space="preserve"> </w:t>
      </w:r>
      <w:r>
        <w:t>8</w:t>
      </w:r>
      <w:r w:rsidRPr="008A311C">
        <w:t xml:space="preserve"> d. laišku Tarybos atstovo prisiimtą įsipareigojimą pritarti Parlamento pozicijai pagal Sutarties dėl Europos Sąjungos veikimo 294 straipsnio 4 dalį,</w:t>
      </w:r>
    </w:p>
    <w:p w:rsidR="0016568C" w:rsidRPr="00317E2A" w:rsidRDefault="0016568C" w:rsidP="0016568C">
      <w:pPr>
        <w:pStyle w:val="NormalHanging12a"/>
      </w:pPr>
      <w:r w:rsidRPr="00317E2A">
        <w:t>–</w:t>
      </w:r>
      <w:r w:rsidRPr="00317E2A">
        <w:tab/>
        <w:t>atsižvelgdamas į Darbo tvarkos taisyklių 59 straipsnį,</w:t>
      </w:r>
    </w:p>
    <w:p w:rsidR="0016568C" w:rsidRPr="00317E2A" w:rsidRDefault="0016568C" w:rsidP="0016568C">
      <w:pPr>
        <w:pStyle w:val="NormalHanging12a"/>
      </w:pPr>
      <w:r w:rsidRPr="00317E2A">
        <w:t>–</w:t>
      </w:r>
      <w:r w:rsidRPr="00317E2A">
        <w:tab/>
        <w:t>atsižvelgdamas į Žemės ūkio ir kaimo plėtros komiteto nuomonę,</w:t>
      </w:r>
    </w:p>
    <w:p w:rsidR="0016568C" w:rsidRPr="00317E2A" w:rsidRDefault="0016568C" w:rsidP="0016568C">
      <w:pPr>
        <w:pStyle w:val="NormalHanging12a"/>
      </w:pPr>
      <w:r w:rsidRPr="00317E2A">
        <w:t>–</w:t>
      </w:r>
      <w:r w:rsidRPr="00317E2A">
        <w:tab/>
        <w:t>atsižvelgdamas į Tarptautinės prekybos komiteto pranešimą (A9-0077/2024),</w:t>
      </w:r>
    </w:p>
    <w:p w:rsidR="0016568C" w:rsidRPr="00317E2A" w:rsidRDefault="0016568C" w:rsidP="0016568C">
      <w:pPr>
        <w:pStyle w:val="NormalHanging12a"/>
      </w:pPr>
      <w:r w:rsidRPr="00317E2A">
        <w:t>1.</w:t>
      </w:r>
      <w:r w:rsidRPr="00317E2A">
        <w:tab/>
      </w:r>
      <w:r w:rsidR="009E0D21" w:rsidRPr="00C050F8">
        <w:t>priima per pirmąjį svarstymą toliau pateiktą poziciją</w:t>
      </w:r>
      <w:r w:rsidRPr="00317E2A">
        <w:t>;</w:t>
      </w:r>
    </w:p>
    <w:p w:rsidR="009E0D21" w:rsidRDefault="00E72092" w:rsidP="0016568C">
      <w:pPr>
        <w:pStyle w:val="NormalHanging12a"/>
      </w:pPr>
      <w:r>
        <w:t>2.</w:t>
      </w:r>
      <w:r>
        <w:tab/>
      </w:r>
      <w:r w:rsidR="009E0D21" w:rsidRPr="009E0D21">
        <w:t>atsižvelgia į Komisijos</w:t>
      </w:r>
      <w:r w:rsidR="009E0D21">
        <w:t xml:space="preserve"> pareiškim</w:t>
      </w:r>
      <w:r w:rsidR="009E0D21" w:rsidRPr="009E0D21">
        <w:t>us, pridėtus</w:t>
      </w:r>
      <w:r w:rsidR="009E0D21" w:rsidRPr="009E0D21">
        <w:rPr>
          <w:b/>
        </w:rPr>
        <w:t xml:space="preserve"> </w:t>
      </w:r>
      <w:r w:rsidR="009E0D21" w:rsidRPr="009E0D21">
        <w:t>prie šios rezoliucijos</w:t>
      </w:r>
      <w:r w:rsidR="009E0D21">
        <w:t xml:space="preserve">; </w:t>
      </w:r>
      <w:r w:rsidR="009E0D21" w:rsidRPr="009E0D21">
        <w:t xml:space="preserve">jie </w:t>
      </w:r>
      <w:r w:rsidR="009E0D21">
        <w:t>bus paskelbt</w:t>
      </w:r>
      <w:r w:rsidR="009E0D21" w:rsidRPr="009E0D21">
        <w:t xml:space="preserve">i </w:t>
      </w:r>
      <w:r w:rsidR="009E0D21" w:rsidRPr="009E0D21">
        <w:rPr>
          <w:i/>
        </w:rPr>
        <w:t>Europos Sąjungos oficialiojo leidinio</w:t>
      </w:r>
      <w:r w:rsidR="009E0D21">
        <w:t xml:space="preserve"> C serijoje;</w:t>
      </w:r>
    </w:p>
    <w:p w:rsidR="0016568C" w:rsidRPr="00317E2A" w:rsidRDefault="00E72092" w:rsidP="0016568C">
      <w:pPr>
        <w:pStyle w:val="NormalHanging12a"/>
      </w:pPr>
      <w:r>
        <w:lastRenderedPageBreak/>
        <w:t>3</w:t>
      </w:r>
      <w:r w:rsidR="0016568C" w:rsidRPr="00317E2A">
        <w:t>.</w:t>
      </w:r>
      <w:r w:rsidR="0016568C" w:rsidRPr="00317E2A">
        <w:tab/>
        <w:t>ragina Komisiją dar kartą perduoti klausimą svarstyti Parlamentui, jei ji savo pasiūlymą pakeičia nauju tekstu, jį keičia iš esmės arba ketina jį keisti iš esmės;</w:t>
      </w:r>
    </w:p>
    <w:p w:rsidR="00DA4918" w:rsidRDefault="00E72092" w:rsidP="00DA4918">
      <w:pPr>
        <w:pStyle w:val="NormalHanging12a"/>
      </w:pPr>
      <w:r>
        <w:t>4</w:t>
      </w:r>
      <w:r w:rsidR="0016568C" w:rsidRPr="00317E2A">
        <w:t>.</w:t>
      </w:r>
      <w:r w:rsidR="0016568C" w:rsidRPr="00317E2A">
        <w:tab/>
        <w:t>paveda Pirmininkei perduoti Parlamento poziciją Tarybai, Komisijai ir nacionaliniams parlamentams.</w:t>
      </w:r>
    </w:p>
    <w:p w:rsidR="00DA4918" w:rsidRDefault="00DA4918">
      <w:pPr>
        <w:widowControl/>
      </w:pPr>
      <w:r>
        <w:br w:type="page"/>
      </w:r>
    </w:p>
    <w:p w:rsidR="00BD6812" w:rsidRPr="006937FD" w:rsidRDefault="00BD6812" w:rsidP="00DA4918">
      <w:pPr>
        <w:pStyle w:val="NormalHanging12a"/>
        <w:rPr>
          <w:b/>
          <w:bCs/>
          <w:szCs w:val="24"/>
        </w:rPr>
      </w:pPr>
      <w:r w:rsidRPr="00101469">
        <w:rPr>
          <w:b/>
          <w:bCs/>
          <w:szCs w:val="24"/>
        </w:rPr>
        <w:lastRenderedPageBreak/>
        <w:t>P</w:t>
      </w:r>
      <w:r w:rsidRPr="00374872">
        <w:rPr>
          <w:b/>
          <w:bCs/>
          <w:szCs w:val="24"/>
        </w:rPr>
        <w:t>9</w:t>
      </w:r>
      <w:r w:rsidRPr="00101469">
        <w:rPr>
          <w:b/>
          <w:bCs/>
          <w:szCs w:val="24"/>
        </w:rPr>
        <w:t>_</w:t>
      </w:r>
      <w:r w:rsidRPr="006937FD">
        <w:rPr>
          <w:b/>
          <w:bCs/>
          <w:szCs w:val="24"/>
        </w:rPr>
        <w:t>TC1-COD(202</w:t>
      </w:r>
      <w:r w:rsidR="00D23479" w:rsidRPr="006937FD">
        <w:rPr>
          <w:b/>
          <w:bCs/>
          <w:szCs w:val="24"/>
        </w:rPr>
        <w:t>4</w:t>
      </w:r>
      <w:r w:rsidRPr="006937FD">
        <w:rPr>
          <w:b/>
          <w:bCs/>
          <w:szCs w:val="24"/>
        </w:rPr>
        <w:t>)0</w:t>
      </w:r>
      <w:r w:rsidR="00D23479" w:rsidRPr="006937FD">
        <w:rPr>
          <w:b/>
          <w:bCs/>
          <w:szCs w:val="24"/>
        </w:rPr>
        <w:t>028</w:t>
      </w:r>
    </w:p>
    <w:p w:rsidR="008075B9" w:rsidRPr="008075B9" w:rsidRDefault="00BD6812" w:rsidP="00DD3286">
      <w:pPr>
        <w:pStyle w:val="NormalHanging12a"/>
        <w:ind w:left="0" w:firstLine="0"/>
        <w:rPr>
          <w:rFonts w:eastAsia="Calibri"/>
          <w:b/>
          <w:noProof/>
          <w:szCs w:val="22"/>
          <w:lang w:eastAsia="en-US"/>
        </w:rPr>
      </w:pPr>
      <w:r w:rsidRPr="006937FD">
        <w:rPr>
          <w:b/>
          <w:snapToGrid w:val="0"/>
          <w:szCs w:val="24"/>
        </w:rPr>
        <w:t xml:space="preserve">Europos </w:t>
      </w:r>
      <w:r w:rsidRPr="006937FD">
        <w:rPr>
          <w:b/>
          <w:bCs/>
          <w:szCs w:val="24"/>
        </w:rPr>
        <w:t>Parlamento</w:t>
      </w:r>
      <w:r w:rsidRPr="006937FD">
        <w:rPr>
          <w:b/>
          <w:snapToGrid w:val="0"/>
          <w:szCs w:val="24"/>
        </w:rPr>
        <w:t xml:space="preserve"> pozicija, priimta 2024 m. balandžio 23 d. per pirmąjį svarstymą, siekiant priimti Europos Parlamento ir Tarybos reglamentą (ES) 2024/... </w:t>
      </w:r>
      <w:r w:rsidR="00DA4918" w:rsidRPr="00DA4918">
        <w:rPr>
          <w:rFonts w:eastAsia="Calibri"/>
          <w:b/>
          <w:noProof/>
          <w:szCs w:val="22"/>
          <w:lang w:eastAsia="en-US"/>
        </w:rPr>
        <w:t>dėl laikinų prekybos liberalizavimo priemonių, papildančių prekybos lengvatas, taikomas Ukrainos produktams pagal Europos Sąjungos ir Europos atominės energijos bendrijos bei jų valstybių narių ir Ukrainos asociacijos susitarimą</w:t>
      </w:r>
    </w:p>
    <w:p w:rsidR="008075B9" w:rsidRPr="008075B9" w:rsidRDefault="00DD3286" w:rsidP="00DD3286">
      <w:pPr>
        <w:widowControl/>
        <w:spacing w:after="240"/>
        <w:ind w:right="-2"/>
        <w:rPr>
          <w:rFonts w:eastAsia="Calibri"/>
          <w:b/>
          <w:szCs w:val="22"/>
          <w:lang w:eastAsia="en-US"/>
        </w:rPr>
      </w:pPr>
      <w:r w:rsidRPr="00DD3286">
        <w:rPr>
          <w:i/>
        </w:rPr>
        <w:t>(Kadangi Parlamentas</w:t>
      </w:r>
      <w:r w:rsidRPr="00AC73F6">
        <w:rPr>
          <w:i/>
        </w:rPr>
        <w:t xml:space="preserve"> ir Taryba pasiekė susitarimą, Parlamento pozicija atitinka galutinį teisės aktą, </w:t>
      </w:r>
      <w:r>
        <w:rPr>
          <w:i/>
        </w:rPr>
        <w:t>Reglamentą</w:t>
      </w:r>
      <w:r w:rsidRPr="00FE4909">
        <w:rPr>
          <w:i/>
        </w:rPr>
        <w:t xml:space="preserve"> (ES) 2024/1</w:t>
      </w:r>
      <w:r>
        <w:rPr>
          <w:i/>
        </w:rPr>
        <w:t>392</w:t>
      </w:r>
      <w:r w:rsidRPr="00B163C4">
        <w:rPr>
          <w:i/>
        </w:rPr>
        <w:t>.)</w:t>
      </w:r>
    </w:p>
    <w:p w:rsidR="00DA4918" w:rsidRDefault="00DA4918">
      <w:pPr>
        <w:widowControl/>
        <w:rPr>
          <w:rFonts w:eastAsia="Calibri"/>
          <w:szCs w:val="22"/>
          <w:lang w:eastAsia="en-US"/>
        </w:rPr>
      </w:pPr>
      <w:r>
        <w:rPr>
          <w:rFonts w:eastAsia="Calibri"/>
          <w:szCs w:val="22"/>
          <w:lang w:eastAsia="en-US"/>
        </w:rPr>
        <w:br w:type="page"/>
      </w:r>
    </w:p>
    <w:p w:rsidR="006937FD" w:rsidRDefault="006937FD" w:rsidP="006937FD">
      <w:pPr>
        <w:spacing w:after="360" w:line="360" w:lineRule="auto"/>
        <w:jc w:val="right"/>
        <w:rPr>
          <w:b/>
        </w:rPr>
      </w:pPr>
      <w:r>
        <w:rPr>
          <w:rFonts w:eastAsia="Calibri"/>
          <w:szCs w:val="22"/>
          <w:lang w:eastAsia="en-US"/>
        </w:rPr>
        <w:lastRenderedPageBreak/>
        <w:t>TEISĖKŪROS REZOLIUCIJOS PRIEDAS</w:t>
      </w:r>
    </w:p>
    <w:p w:rsidR="00095C94" w:rsidRPr="00095C94" w:rsidRDefault="00095C94" w:rsidP="00095C94">
      <w:pPr>
        <w:spacing w:before="360"/>
        <w:jc w:val="center"/>
        <w:rPr>
          <w:b/>
          <w:bCs/>
          <w:szCs w:val="24"/>
          <w:lang w:eastAsia="en-US"/>
        </w:rPr>
      </w:pPr>
      <w:r w:rsidRPr="00095C94">
        <w:rPr>
          <w:rFonts w:eastAsia="Calibri"/>
          <w:b/>
          <w:szCs w:val="24"/>
          <w:lang w:eastAsia="en-US"/>
        </w:rPr>
        <w:t xml:space="preserve">Komisijos pareiškimas dėl grūdų importo iš Ukrainos stebėsenos, skelbiamas Reglamento </w:t>
      </w:r>
      <w:r w:rsidR="00DA4918">
        <w:rPr>
          <w:rFonts w:eastAsia="Calibri"/>
          <w:b/>
          <w:szCs w:val="24"/>
          <w:lang w:eastAsia="en-US"/>
        </w:rPr>
        <w:t xml:space="preserve">(ES) </w:t>
      </w:r>
      <w:r w:rsidRPr="00095C94">
        <w:rPr>
          <w:rFonts w:eastAsia="Calibri"/>
          <w:b/>
          <w:szCs w:val="24"/>
          <w:lang w:eastAsia="en-US"/>
        </w:rPr>
        <w:t>2024/</w:t>
      </w:r>
      <w:r w:rsidR="00DA4918">
        <w:rPr>
          <w:rFonts w:eastAsia="Calibri"/>
          <w:b/>
          <w:szCs w:val="24"/>
          <w:lang w:eastAsia="en-US"/>
        </w:rPr>
        <w:t xml:space="preserve">1392 </w:t>
      </w:r>
      <w:r w:rsidRPr="00095C94">
        <w:rPr>
          <w:rFonts w:eastAsia="Calibri"/>
          <w:b/>
          <w:szCs w:val="24"/>
          <w:lang w:eastAsia="en-US"/>
        </w:rPr>
        <w:t>priėmimo proga</w:t>
      </w:r>
    </w:p>
    <w:p w:rsidR="00095C94" w:rsidRPr="00095C94" w:rsidRDefault="00095C94" w:rsidP="00095C94">
      <w:pPr>
        <w:widowControl/>
        <w:spacing w:before="360"/>
        <w:rPr>
          <w:szCs w:val="24"/>
          <w:lang w:eastAsia="en-US"/>
        </w:rPr>
      </w:pPr>
      <w:r w:rsidRPr="00095C94">
        <w:rPr>
          <w:rFonts w:eastAsia="Calibri"/>
          <w:szCs w:val="24"/>
          <w:lang w:eastAsia="en-US"/>
        </w:rPr>
        <w:t xml:space="preserve">Rusijos agresijos karas prieš Ukrainą sutrikdė anksčiau egzistavusias tiekimo grandines. ES teikia paramą Ukrainai, kad būtų atnaujintas įprastas grūdų ir kitų prekių srautas, visų pirma solidarumo koridoriais, ir užtikrinta, kad grūdų eksportas pasiektų paskirties vietas, be kita ko, siekiant užtikrinti pasaulinį apsirūpinimo maistu saugumą, visų pirma trečiųjų šalių rinkose. </w:t>
      </w:r>
    </w:p>
    <w:p w:rsidR="00095C94" w:rsidRPr="00095C94" w:rsidRDefault="00095C94" w:rsidP="00095C94">
      <w:pPr>
        <w:widowControl/>
        <w:spacing w:before="360"/>
        <w:rPr>
          <w:szCs w:val="24"/>
          <w:lang w:eastAsia="en-US"/>
        </w:rPr>
      </w:pPr>
      <w:r w:rsidRPr="00095C94">
        <w:rPr>
          <w:rFonts w:eastAsia="Calibri"/>
          <w:szCs w:val="24"/>
          <w:lang w:eastAsia="en-US"/>
        </w:rPr>
        <w:t>Komisija yra įsipareigojusi remti Ukrainą ir kartu išsaugoti ES grūdų gamintojų interesus ir užtikrinti tinkamą grūdų rinkos veikimą ES.</w:t>
      </w:r>
    </w:p>
    <w:p w:rsidR="00095C94" w:rsidRPr="00095C94" w:rsidRDefault="00095C94" w:rsidP="00095C94">
      <w:pPr>
        <w:widowControl/>
        <w:spacing w:before="360"/>
        <w:rPr>
          <w:szCs w:val="24"/>
          <w:lang w:eastAsia="en-US"/>
        </w:rPr>
      </w:pPr>
      <w:r w:rsidRPr="00095C94">
        <w:rPr>
          <w:rFonts w:eastAsia="Calibri"/>
          <w:szCs w:val="24"/>
          <w:lang w:eastAsia="en-US"/>
        </w:rPr>
        <w:t>Atsižvelgdama į grūdų gamybos ir grūdų rinkų svarbą, Komisija ypatingą dėmesį skirs grūdų, visų pirma kviečių, importo stebėsenai ir ypač šio importo koncentracijai Ukrainos kaimyninėse valstybėse narėse. Visus stebėsenos metu iškilusius klausimus Komisija spręs palaikydama nuolatinį dialogą su Ukraina. Komisija primena, kad importui iš Ukrainos gali būti taikomas stebėjimas pagal 2015 m. kovo 11 d. Europos Parlamento ir Tarybos reglamento (ES) 2015/478 dėl bendrų importo taisyklių IV skyrių ir tas stebėjimas gali būti atliekamas išduodant importo licencijas, jei dėl importo tendencijos gali būti daroma žala Sąjungos gamintojams ir jei to reikia atsižvelgiant į Sąjungos interesus. Šiuo atžvilgiu Komisija prireikus naudosis turimomis priemonėmis. Komisija toliau reguliariai teiks nuolatinio dialogo su Ukraina rezultatų ataskaitas valstybėms narėms.</w:t>
      </w:r>
    </w:p>
    <w:p w:rsidR="00095C94" w:rsidRPr="00095C94" w:rsidRDefault="00095C94" w:rsidP="00095C94">
      <w:pPr>
        <w:widowControl/>
        <w:spacing w:before="360"/>
        <w:rPr>
          <w:szCs w:val="24"/>
          <w:lang w:eastAsia="en-US"/>
        </w:rPr>
      </w:pPr>
      <w:r w:rsidRPr="00095C94">
        <w:rPr>
          <w:rFonts w:eastAsia="Calibri"/>
          <w:szCs w:val="24"/>
          <w:lang w:eastAsia="en-US"/>
        </w:rPr>
        <w:t xml:space="preserve">Dėl produktų, kuriems taikomos autonominės prekybos priemonės, Komisija primena, kad reglamente taip pat numatytas sustiprintas apsaugos mechanizmas. Komisija pirmą kartą numatė šią galimybę ir yra pasirengusi pradėti taikyti šį mechanizmą, jei būtų daromas neigiamas poveikis vienos ar kelių valstybių narių rinkai, o ne tik neigiamo poveikio visai ES rinkai atveju. Šiuo atžvilgiu Komisija visapusiškai pasinaudos savo įgaliojimais </w:t>
      </w:r>
      <w:r w:rsidRPr="00095C94">
        <w:rPr>
          <w:rFonts w:eastAsia="Calibri"/>
          <w:i/>
          <w:iCs/>
          <w:szCs w:val="24"/>
          <w:lang w:eastAsia="en-US"/>
        </w:rPr>
        <w:t>ex officio</w:t>
      </w:r>
      <w:r w:rsidRPr="00095C94">
        <w:rPr>
          <w:rFonts w:eastAsia="Calibri"/>
          <w:szCs w:val="24"/>
          <w:lang w:eastAsia="en-US"/>
        </w:rPr>
        <w:t xml:space="preserve"> pradėti taikyti sustiprintą apsaugos mechanizmą dėl kviečių importo iš Ukrainos. </w:t>
      </w:r>
    </w:p>
    <w:p w:rsidR="00095C94" w:rsidRPr="00095C94" w:rsidRDefault="00095C94" w:rsidP="00095C94">
      <w:pPr>
        <w:widowControl/>
        <w:spacing w:before="360"/>
        <w:rPr>
          <w:rFonts w:eastAsia="Calibri"/>
          <w:szCs w:val="24"/>
          <w:lang w:eastAsia="en-US"/>
        </w:rPr>
      </w:pPr>
      <w:r w:rsidRPr="00095C94">
        <w:rPr>
          <w:rFonts w:eastAsia="Calibri"/>
          <w:szCs w:val="24"/>
          <w:lang w:eastAsia="en-US"/>
        </w:rPr>
        <w:t>Komisija primena, kad 2022 ir 2023 m. ji priėmė priemones visų Europos valstybių narių, visų pirma Ukrainos kaimyninių valstybių narių ūkininkams remti.</w:t>
      </w:r>
    </w:p>
    <w:p w:rsidR="00095C94" w:rsidRPr="00095C94" w:rsidRDefault="00095C94" w:rsidP="00095C94">
      <w:pPr>
        <w:widowControl/>
        <w:rPr>
          <w:rFonts w:eastAsia="Calibri"/>
          <w:szCs w:val="22"/>
          <w:lang w:eastAsia="en-US"/>
        </w:rPr>
      </w:pPr>
      <w:r w:rsidRPr="00095C94">
        <w:rPr>
          <w:rFonts w:eastAsia="Calibri"/>
          <w:szCs w:val="22"/>
          <w:lang w:eastAsia="en-US"/>
        </w:rPr>
        <w:br w:type="page"/>
      </w:r>
    </w:p>
    <w:p w:rsidR="00095C94" w:rsidRPr="00095C94" w:rsidRDefault="00095C94" w:rsidP="00095C94">
      <w:pPr>
        <w:widowControl/>
        <w:spacing w:before="360"/>
        <w:jc w:val="center"/>
        <w:rPr>
          <w:b/>
          <w:bCs/>
          <w:szCs w:val="24"/>
          <w:lang w:eastAsia="en-US"/>
        </w:rPr>
      </w:pPr>
      <w:r w:rsidRPr="00095C94">
        <w:rPr>
          <w:rFonts w:eastAsia="Calibri"/>
          <w:b/>
          <w:szCs w:val="24"/>
          <w:lang w:eastAsia="en-US"/>
        </w:rPr>
        <w:lastRenderedPageBreak/>
        <w:t xml:space="preserve">Komisijos pareiškimas dėl peržiūros proceso pagal Asociacijos susitarimo 29 straipsnį, skelbiamas Reglamento </w:t>
      </w:r>
      <w:r w:rsidR="00DA4918">
        <w:rPr>
          <w:rFonts w:eastAsia="Calibri"/>
          <w:b/>
          <w:szCs w:val="24"/>
          <w:lang w:eastAsia="en-US"/>
        </w:rPr>
        <w:t xml:space="preserve">(ES) </w:t>
      </w:r>
      <w:r w:rsidRPr="00095C94">
        <w:rPr>
          <w:rFonts w:eastAsia="Calibri"/>
          <w:b/>
          <w:szCs w:val="24"/>
          <w:lang w:eastAsia="en-US"/>
        </w:rPr>
        <w:t>2024/</w:t>
      </w:r>
      <w:r w:rsidR="00DA4918">
        <w:rPr>
          <w:rFonts w:eastAsia="Calibri"/>
          <w:b/>
          <w:szCs w:val="24"/>
          <w:lang w:eastAsia="en-US"/>
        </w:rPr>
        <w:t>1392</w:t>
      </w:r>
      <w:r w:rsidRPr="00095C94">
        <w:rPr>
          <w:rFonts w:eastAsia="Calibri"/>
          <w:b/>
          <w:szCs w:val="24"/>
          <w:lang w:eastAsia="en-US"/>
        </w:rPr>
        <w:t xml:space="preserve"> priėmimo proga</w:t>
      </w:r>
    </w:p>
    <w:p w:rsidR="00095C94" w:rsidRPr="00095C94" w:rsidRDefault="00095C94" w:rsidP="00095C94">
      <w:pPr>
        <w:widowControl/>
        <w:spacing w:before="360"/>
        <w:rPr>
          <w:szCs w:val="24"/>
          <w:lang w:eastAsia="en-US"/>
        </w:rPr>
      </w:pPr>
      <w:r w:rsidRPr="00095C94">
        <w:rPr>
          <w:rFonts w:eastAsia="Calibri"/>
          <w:szCs w:val="24"/>
          <w:lang w:eastAsia="en-US"/>
        </w:rPr>
        <w:t>Komisija patvirtina, kad, kai tik teisėkūros institucijos priims naujas autonominės prekybos priemones, ji imsis būtinų veiksmų pagal Asociacijos susitarimo 29 straipsnį, kad, konsultuodamasi su Ukraina, būtų tęsiamas abipusio muitų tarifų liberalizavimo procesas.</w:t>
      </w:r>
    </w:p>
    <w:p w:rsidR="00095C94" w:rsidRPr="00095C94" w:rsidRDefault="00095C94" w:rsidP="00095C94">
      <w:pPr>
        <w:widowControl/>
        <w:spacing w:before="360"/>
        <w:rPr>
          <w:szCs w:val="24"/>
          <w:lang w:eastAsia="en-US"/>
        </w:rPr>
      </w:pPr>
      <w:r w:rsidRPr="00095C94">
        <w:rPr>
          <w:rFonts w:eastAsia="Calibri"/>
          <w:szCs w:val="24"/>
          <w:lang w:eastAsia="en-US"/>
        </w:rPr>
        <w:t>Komisija glaudžiai bendradarbiaus su Europos Parlamentu ir jį informuos apie šių konsultacijų su Ukrainą pažangą. Komisija dės deramas pastangas, kad būtų atsižvelgta į galimas Europos Parlamento pastabas šiuo klausimu.</w:t>
      </w:r>
    </w:p>
    <w:p w:rsidR="00095C94" w:rsidRPr="00095C94" w:rsidRDefault="00095C94" w:rsidP="00095C94">
      <w:pPr>
        <w:widowControl/>
        <w:spacing w:before="360"/>
        <w:rPr>
          <w:szCs w:val="24"/>
          <w:lang w:eastAsia="en-US"/>
        </w:rPr>
      </w:pPr>
      <w:r w:rsidRPr="00095C94">
        <w:rPr>
          <w:rFonts w:eastAsia="Calibri"/>
          <w:szCs w:val="24"/>
          <w:lang w:eastAsia="en-US"/>
        </w:rPr>
        <w:t>Komisija primena, kad ši darbo tvarka nėra precedentas jokio kito susitarimo peržiūros nuostatų atžvilgiu ir ja nenukrypstama nuo SESV 218 straipsnio.</w:t>
      </w:r>
    </w:p>
    <w:p w:rsidR="00E365E1" w:rsidRPr="00F606BC" w:rsidRDefault="00095C94" w:rsidP="00F606BC">
      <w:pPr>
        <w:widowControl/>
        <w:spacing w:before="360"/>
        <w:rPr>
          <w:szCs w:val="24"/>
        </w:rPr>
      </w:pPr>
      <w:bookmarkStart w:id="8" w:name="_Hlk162345814"/>
      <w:r w:rsidRPr="00095C94">
        <w:rPr>
          <w:rFonts w:eastAsia="Calibri"/>
          <w:szCs w:val="24"/>
          <w:lang w:eastAsia="en-US"/>
        </w:rPr>
        <w:t>Šio proceso rezultatai užtikrins ekonominį tikrumą ir stabilią prekybą tiek Ukrainai, tiek ES, ūkininkams ir įmonėms. Tai taip pat bus svarbus Ukrainos atstatymo ir tolesnės integracijos į ES vidaus rinką etapas – būsimo šios šalies stojimo į Sąjunga proceso dalis.</w:t>
      </w:r>
      <w:bookmarkStart w:id="9" w:name="TextBodyEnd"/>
      <w:bookmarkStart w:id="10" w:name="_GoBack"/>
      <w:bookmarkEnd w:id="8"/>
      <w:bookmarkEnd w:id="9"/>
      <w:bookmarkEnd w:id="10"/>
    </w:p>
    <w:sectPr w:rsidR="00E365E1" w:rsidRPr="00F606BC" w:rsidSect="00317E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A03" w:rsidRPr="00317E2A" w:rsidRDefault="00654A03">
      <w:r w:rsidRPr="00317E2A">
        <w:separator/>
      </w:r>
    </w:p>
  </w:endnote>
  <w:endnote w:type="continuationSeparator" w:id="0">
    <w:p w:rsidR="00654A03" w:rsidRPr="00317E2A" w:rsidRDefault="00654A03">
      <w:r w:rsidRPr="00317E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E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E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E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A03" w:rsidRPr="00317E2A" w:rsidRDefault="00654A03">
      <w:r w:rsidRPr="00317E2A">
        <w:separator/>
      </w:r>
    </w:p>
  </w:footnote>
  <w:footnote w:type="continuationSeparator" w:id="0">
    <w:p w:rsidR="00654A03" w:rsidRPr="00317E2A" w:rsidRDefault="00654A03">
      <w:r w:rsidRPr="00317E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E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E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7E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LT"/>
    <w:docVar w:name="dvnumam" w:val="0"/>
    <w:docVar w:name="dvpe" w:val="758.861"/>
    <w:docVar w:name="dvrapporteur" w:val="Pranešėja: "/>
    <w:docVar w:name="dvstar" w:val="***I"/>
    <w:docVar w:name="dvtitre" w:val="2024 m. balkandzio XX d. Europos Parlamento teisėkūros rezoliucija dėl pasiūlymo dėl Europos Parlamento ir Tarybos reglamento dėl laikinų prekybos liberalizavimo priemonių, papildančių prekybos lengvatas, taikomas Ukrainos produktams pagal Europos Sąjungos ir Europos atominės energijos bendrijos bei jų valstybių narių ir Ukrainos asociacijos susitarimą(COM(2024)0050 – C9-0021/2024 – 2024/0028(COD))"/>
  </w:docVars>
  <w:rsids>
    <w:rsidRoot w:val="00654A03"/>
    <w:rsid w:val="00002272"/>
    <w:rsid w:val="00064002"/>
    <w:rsid w:val="000677B9"/>
    <w:rsid w:val="000831BA"/>
    <w:rsid w:val="00095C94"/>
    <w:rsid w:val="000A42CC"/>
    <w:rsid w:val="000E7DD9"/>
    <w:rsid w:val="0010095E"/>
    <w:rsid w:val="00125B37"/>
    <w:rsid w:val="0016568C"/>
    <w:rsid w:val="00187494"/>
    <w:rsid w:val="001E040D"/>
    <w:rsid w:val="001F32AE"/>
    <w:rsid w:val="002767FF"/>
    <w:rsid w:val="002B18FE"/>
    <w:rsid w:val="002B5493"/>
    <w:rsid w:val="00317E2A"/>
    <w:rsid w:val="00343214"/>
    <w:rsid w:val="00361C00"/>
    <w:rsid w:val="00395FA1"/>
    <w:rsid w:val="003E15D4"/>
    <w:rsid w:val="00411CCE"/>
    <w:rsid w:val="0041666E"/>
    <w:rsid w:val="00421060"/>
    <w:rsid w:val="004300FB"/>
    <w:rsid w:val="00471C19"/>
    <w:rsid w:val="004867E3"/>
    <w:rsid w:val="00494A28"/>
    <w:rsid w:val="004C0004"/>
    <w:rsid w:val="004C5D52"/>
    <w:rsid w:val="0050519A"/>
    <w:rsid w:val="005072A1"/>
    <w:rsid w:val="00514517"/>
    <w:rsid w:val="005249E7"/>
    <w:rsid w:val="00545827"/>
    <w:rsid w:val="00560270"/>
    <w:rsid w:val="005C2568"/>
    <w:rsid w:val="006037C0"/>
    <w:rsid w:val="006111B0"/>
    <w:rsid w:val="00654A03"/>
    <w:rsid w:val="006631B6"/>
    <w:rsid w:val="00680577"/>
    <w:rsid w:val="006937FD"/>
    <w:rsid w:val="006F74FA"/>
    <w:rsid w:val="00731ADD"/>
    <w:rsid w:val="00734777"/>
    <w:rsid w:val="00747932"/>
    <w:rsid w:val="00751A4A"/>
    <w:rsid w:val="00756632"/>
    <w:rsid w:val="00762C74"/>
    <w:rsid w:val="00786EC0"/>
    <w:rsid w:val="007D1690"/>
    <w:rsid w:val="007E22AD"/>
    <w:rsid w:val="008075B9"/>
    <w:rsid w:val="00817416"/>
    <w:rsid w:val="00842779"/>
    <w:rsid w:val="00845EE2"/>
    <w:rsid w:val="00865F67"/>
    <w:rsid w:val="00881A7B"/>
    <w:rsid w:val="008840E5"/>
    <w:rsid w:val="00887B3E"/>
    <w:rsid w:val="008C2AC6"/>
    <w:rsid w:val="00930C23"/>
    <w:rsid w:val="0093193B"/>
    <w:rsid w:val="009509D8"/>
    <w:rsid w:val="00950B64"/>
    <w:rsid w:val="00981893"/>
    <w:rsid w:val="009E0D21"/>
    <w:rsid w:val="00A1687D"/>
    <w:rsid w:val="00A43E52"/>
    <w:rsid w:val="00A4678D"/>
    <w:rsid w:val="00A778C7"/>
    <w:rsid w:val="00AB441E"/>
    <w:rsid w:val="00AB6293"/>
    <w:rsid w:val="00AE0928"/>
    <w:rsid w:val="00AF3B82"/>
    <w:rsid w:val="00B12E95"/>
    <w:rsid w:val="00B22876"/>
    <w:rsid w:val="00B558F0"/>
    <w:rsid w:val="00BD48FE"/>
    <w:rsid w:val="00BD6812"/>
    <w:rsid w:val="00BD7BD8"/>
    <w:rsid w:val="00BE6ADC"/>
    <w:rsid w:val="00C05BFE"/>
    <w:rsid w:val="00C23CD4"/>
    <w:rsid w:val="00C61C0C"/>
    <w:rsid w:val="00C80488"/>
    <w:rsid w:val="00C941CB"/>
    <w:rsid w:val="00CC2357"/>
    <w:rsid w:val="00CF071A"/>
    <w:rsid w:val="00D058B8"/>
    <w:rsid w:val="00D23479"/>
    <w:rsid w:val="00D56C11"/>
    <w:rsid w:val="00D834A0"/>
    <w:rsid w:val="00D872DF"/>
    <w:rsid w:val="00D91E21"/>
    <w:rsid w:val="00DA4918"/>
    <w:rsid w:val="00DA7FCD"/>
    <w:rsid w:val="00DD3286"/>
    <w:rsid w:val="00E365E1"/>
    <w:rsid w:val="00E70A47"/>
    <w:rsid w:val="00E72092"/>
    <w:rsid w:val="00E820A4"/>
    <w:rsid w:val="00EB006A"/>
    <w:rsid w:val="00EB4772"/>
    <w:rsid w:val="00ED169E"/>
    <w:rsid w:val="00ED4235"/>
    <w:rsid w:val="00F04346"/>
    <w:rsid w:val="00F075DC"/>
    <w:rsid w:val="00F149E9"/>
    <w:rsid w:val="00F153CC"/>
    <w:rsid w:val="00F5134D"/>
    <w:rsid w:val="00F606B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633AF"/>
  <w15:chartTrackingRefBased/>
  <w15:docId w15:val="{4B915625-D125-4C40-B701-5DB5C127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568C"/>
    <w:pPr>
      <w:spacing w:before="480" w:after="240"/>
    </w:pPr>
  </w:style>
  <w:style w:type="paragraph" w:customStyle="1" w:styleId="NormalBold">
    <w:name w:val="NormalBold"/>
    <w:basedOn w:val="Normal"/>
    <w:link w:val="NormalBoldChar"/>
    <w:rsid w:val="0016568C"/>
    <w:rPr>
      <w:b/>
    </w:rPr>
  </w:style>
  <w:style w:type="paragraph" w:customStyle="1" w:styleId="NormalHanging12a">
    <w:name w:val="NormalHanging12a"/>
    <w:basedOn w:val="Normal"/>
    <w:rsid w:val="0016568C"/>
    <w:pPr>
      <w:spacing w:after="240"/>
      <w:ind w:left="567" w:hanging="567"/>
    </w:pPr>
  </w:style>
  <w:style w:type="character" w:customStyle="1" w:styleId="NormalBoldChar">
    <w:name w:val="NormalBold Char"/>
    <w:basedOn w:val="DefaultParagraphFont"/>
    <w:link w:val="NormalBold"/>
    <w:locked/>
    <w:rsid w:val="0016568C"/>
    <w:rPr>
      <w:b/>
      <w:sz w:val="24"/>
      <w:lang w:val="lt-LT"/>
    </w:rPr>
  </w:style>
  <w:style w:type="paragraph" w:styleId="BalloonText">
    <w:name w:val="Balloon Text"/>
    <w:basedOn w:val="Normal"/>
    <w:link w:val="BalloonTextChar"/>
    <w:rsid w:val="006111B0"/>
    <w:rPr>
      <w:rFonts w:ascii="Segoe UI" w:hAnsi="Segoe UI" w:cs="Segoe UI"/>
      <w:sz w:val="18"/>
      <w:szCs w:val="18"/>
    </w:rPr>
  </w:style>
  <w:style w:type="character" w:customStyle="1" w:styleId="BalloonTextChar">
    <w:name w:val="Balloon Text Char"/>
    <w:basedOn w:val="DefaultParagraphFont"/>
    <w:link w:val="BalloonText"/>
    <w:rsid w:val="006111B0"/>
    <w:rPr>
      <w:rFonts w:ascii="Segoe UI" w:hAnsi="Segoe UI" w:cs="Segoe UI"/>
      <w:sz w:val="18"/>
      <w:szCs w:val="18"/>
      <w:lang w:val="lt-LT"/>
    </w:rPr>
  </w:style>
  <w:style w:type="character" w:styleId="Hyperlink">
    <w:name w:val="Hyperlink"/>
    <w:basedOn w:val="DefaultParagraphFont"/>
    <w:rsid w:val="00DD32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A7232-3F8C-40E7-B8BC-77FB95895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738</Words>
  <Characters>5182</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2024-07-16T13:54:00Z</dcterms:created>
  <dcterms:modified xsi:type="dcterms:W3CDTF">2024-09-04T14:14:00Z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P9_TA(2024)0304_</vt:lpwstr>
  </property>
  <property fmtid="{D5CDD505-2E9C-101B-9397-08002B2CF9AE}" pid="4" name="&lt;Type&gt;">
    <vt:lpwstr>RR</vt:lpwstr>
  </property>
</Properties>
</file>