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1498" w:rsidTr="0010095E">
        <w:trPr>
          <w:trHeight w:hRule="exact" w:val="1418"/>
        </w:trPr>
        <w:tc>
          <w:tcPr>
            <w:tcW w:w="6804" w:type="dxa"/>
            <w:shd w:val="clear" w:color="auto" w:fill="auto"/>
            <w:vAlign w:val="center"/>
          </w:tcPr>
          <w:p w:rsidR="00751A4A" w:rsidRPr="00391498" w:rsidRDefault="00AD11A4" w:rsidP="0010095E">
            <w:pPr>
              <w:pStyle w:val="EPName"/>
            </w:pPr>
            <w:r w:rsidRPr="00391498">
              <w:t>Eiropas Parlaments</w:t>
            </w:r>
          </w:p>
          <w:p w:rsidR="00751A4A" w:rsidRPr="00391498" w:rsidRDefault="00817416" w:rsidP="00756632">
            <w:pPr>
              <w:pStyle w:val="EPTerm"/>
              <w:rPr>
                <w:rStyle w:val="HideTWBExt"/>
                <w:noProof w:val="0"/>
                <w:vanish w:val="0"/>
                <w:color w:val="auto"/>
              </w:rPr>
            </w:pPr>
            <w:r w:rsidRPr="00391498">
              <w:t>2019-2024</w:t>
            </w:r>
          </w:p>
        </w:tc>
        <w:tc>
          <w:tcPr>
            <w:tcW w:w="2268" w:type="dxa"/>
            <w:shd w:val="clear" w:color="auto" w:fill="auto"/>
          </w:tcPr>
          <w:p w:rsidR="00751A4A" w:rsidRPr="00391498" w:rsidRDefault="00187494" w:rsidP="0010095E">
            <w:pPr>
              <w:pStyle w:val="EPLogo"/>
            </w:pPr>
            <w:r w:rsidRPr="0039149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1498" w:rsidRDefault="00D058B8" w:rsidP="004C5D52">
      <w:pPr>
        <w:pStyle w:val="LineTop"/>
      </w:pPr>
    </w:p>
    <w:p w:rsidR="00680577" w:rsidRPr="00391498" w:rsidRDefault="00AD11A4" w:rsidP="00680577">
      <w:pPr>
        <w:pStyle w:val="EPBodyTA1"/>
      </w:pPr>
      <w:r w:rsidRPr="00391498">
        <w:t>PIEŅEMTIE TEKSTI</w:t>
      </w:r>
    </w:p>
    <w:p w:rsidR="00D058B8" w:rsidRPr="00391498" w:rsidRDefault="00D058B8" w:rsidP="00D058B8">
      <w:pPr>
        <w:pStyle w:val="LineBottom"/>
      </w:pPr>
    </w:p>
    <w:p w:rsidR="00AD11A4" w:rsidRPr="00391498" w:rsidRDefault="00AD11A4" w:rsidP="00AD11A4">
      <w:pPr>
        <w:pStyle w:val="ATHeading1"/>
      </w:pPr>
      <w:bookmarkStart w:id="0" w:name="TANumber"/>
      <w:r w:rsidRPr="00391498">
        <w:t>P9_TA(2024)0</w:t>
      </w:r>
      <w:bookmarkEnd w:id="0"/>
      <w:r w:rsidR="00391498" w:rsidRPr="00391498">
        <w:t>30</w:t>
      </w:r>
      <w:r w:rsidR="006505D1">
        <w:t>4</w:t>
      </w:r>
    </w:p>
    <w:p w:rsidR="00AD11A4" w:rsidRPr="00391498" w:rsidRDefault="0072116E" w:rsidP="0072116E">
      <w:pPr>
        <w:pStyle w:val="ATHeading2"/>
      </w:pPr>
      <w:r w:rsidRPr="00391498">
        <w:t>Pagaidu tirdzniecības liberalizācijas pasākumi, kuri papildina tirdzniecības koncesijas, kas Ukrainas ražojumiem piemērojamas saskaņā ar ES un Euratom asociācijas nolīgumu ar Ukrainu</w:t>
      </w:r>
    </w:p>
    <w:p w:rsidR="00AD11A4" w:rsidRPr="00391498" w:rsidRDefault="00AD11A4" w:rsidP="00AD11A4">
      <w:pPr>
        <w:rPr>
          <w:i/>
          <w:vanish/>
        </w:rPr>
      </w:pPr>
      <w:r w:rsidRPr="00391498">
        <w:rPr>
          <w:i/>
        </w:rPr>
        <w:fldChar w:fldCharType="begin"/>
      </w:r>
      <w:r w:rsidRPr="00391498">
        <w:rPr>
          <w:i/>
        </w:rPr>
        <w:instrText xml:space="preserve"> TC"(</w:instrText>
      </w:r>
      <w:bookmarkStart w:id="1" w:name="DocNumber"/>
      <w:r w:rsidRPr="00391498">
        <w:rPr>
          <w:i/>
        </w:rPr>
        <w:instrText>A9-0077/2024</w:instrText>
      </w:r>
      <w:bookmarkEnd w:id="1"/>
      <w:r w:rsidRPr="00391498">
        <w:rPr>
          <w:i/>
        </w:rPr>
        <w:instrText xml:space="preserve"> - Referente: Sandra Kalniete)"\l3 \n&gt; \* MERGEFORMAT </w:instrText>
      </w:r>
      <w:r w:rsidRPr="00391498">
        <w:rPr>
          <w:i/>
        </w:rPr>
        <w:fldChar w:fldCharType="end"/>
      </w:r>
    </w:p>
    <w:p w:rsidR="00AD11A4" w:rsidRPr="00391498" w:rsidRDefault="00AD11A4" w:rsidP="00AD11A4">
      <w:pPr>
        <w:rPr>
          <w:vanish/>
        </w:rPr>
      </w:pPr>
      <w:bookmarkStart w:id="2" w:name="Commission"/>
      <w:r w:rsidRPr="00391498">
        <w:rPr>
          <w:vanish/>
        </w:rPr>
        <w:t>Starptautiskās tirdzniecības komiteja</w:t>
      </w:r>
      <w:bookmarkEnd w:id="2"/>
    </w:p>
    <w:p w:rsidR="00AD11A4" w:rsidRPr="00391498" w:rsidRDefault="00AD11A4" w:rsidP="00AD11A4">
      <w:pPr>
        <w:rPr>
          <w:vanish/>
        </w:rPr>
      </w:pPr>
      <w:bookmarkStart w:id="3" w:name="PE"/>
      <w:r w:rsidRPr="00391498">
        <w:rPr>
          <w:vanish/>
        </w:rPr>
        <w:t>PE758.8</w:t>
      </w:r>
      <w:r w:rsidR="00CC6507">
        <w:rPr>
          <w:vanish/>
        </w:rPr>
        <w:t>6</w:t>
      </w:r>
      <w:r w:rsidRPr="00391498">
        <w:rPr>
          <w:vanish/>
        </w:rPr>
        <w:t>1</w:t>
      </w:r>
      <w:bookmarkEnd w:id="3"/>
    </w:p>
    <w:p w:rsidR="00A34C97" w:rsidRPr="00391498" w:rsidRDefault="00AD11A4" w:rsidP="0072116E">
      <w:pPr>
        <w:pStyle w:val="ATHeading3"/>
      </w:pPr>
      <w:bookmarkStart w:id="4" w:name="Sujet"/>
      <w:r w:rsidRPr="00391498">
        <w:t xml:space="preserve">Eiropas Parlamenta 2024. gada </w:t>
      </w:r>
      <w:r w:rsidR="0075726E" w:rsidRPr="00391498">
        <w:t>23</w:t>
      </w:r>
      <w:r w:rsidRPr="00391498">
        <w:t xml:space="preserve">. </w:t>
      </w:r>
      <w:r w:rsidR="0075726E" w:rsidRPr="00391498">
        <w:t>aprīļa</w:t>
      </w:r>
      <w:r w:rsidRPr="00391498">
        <w:t xml:space="preserve"> normatīvā rezolūcija par priekšlikumu Eiropas Parlamenta un Padomes regulai par </w:t>
      </w:r>
      <w:bookmarkEnd w:id="4"/>
      <w:r w:rsidR="009B0EE4" w:rsidRPr="0007519B">
        <w:rPr>
          <w:noProof/>
        </w:rPr>
        <w:t>pagaidu tirdzniecības liberalizācijas pasākumiem, kuri papildina tirdzniecības koncesijas, kas Ukrainas ražojumiem piemērojamas saskaņā ar Asociācijas nolīgumu starp Eiropas Savienību un Eiropas Atomenerģijas kopienu un to dalībvalstīm, no vienas puses, un Ukrainu, no otras puses</w:t>
      </w:r>
      <w:r w:rsidRPr="00391498">
        <w:t xml:space="preserve"> </w:t>
      </w:r>
      <w:bookmarkStart w:id="5" w:name="References"/>
      <w:r w:rsidRPr="00391498">
        <w:t>(COM(2024)0050 – C9-0021/2024 – 2024/0028(COD))</w:t>
      </w:r>
      <w:bookmarkStart w:id="6" w:name="TextBodyBegin"/>
      <w:bookmarkEnd w:id="5"/>
      <w:bookmarkEnd w:id="6"/>
    </w:p>
    <w:p w:rsidR="00A34C97" w:rsidRPr="00391498" w:rsidRDefault="00A34C97" w:rsidP="00A34C97">
      <w:pPr>
        <w:pStyle w:val="NormalBold"/>
      </w:pPr>
      <w:r w:rsidRPr="00391498">
        <w:t>(Parastā likumdošanas procedūra: pirmais lasījums)</w:t>
      </w:r>
    </w:p>
    <w:p w:rsidR="00A34C97" w:rsidRPr="00391498" w:rsidRDefault="00A34C97" w:rsidP="00A34C97">
      <w:pPr>
        <w:pStyle w:val="EPComma"/>
      </w:pPr>
      <w:r w:rsidRPr="00391498">
        <w:rPr>
          <w:i/>
        </w:rPr>
        <w:t>Eiropas Parlaments</w:t>
      </w:r>
      <w:r w:rsidRPr="00391498">
        <w:t>,</w:t>
      </w:r>
    </w:p>
    <w:p w:rsidR="00A34C97" w:rsidRPr="00391498" w:rsidRDefault="00A34C97" w:rsidP="00A34C97">
      <w:pPr>
        <w:pStyle w:val="NormalHanging12a"/>
      </w:pPr>
      <w:r w:rsidRPr="00391498">
        <w:t>–</w:t>
      </w:r>
      <w:r w:rsidRPr="00391498">
        <w:tab/>
        <w:t>ņemot vērā Komisijas priekšlikumu Eiropas Parlamentam un Padomei (COM(2024)0050),</w:t>
      </w:r>
    </w:p>
    <w:p w:rsidR="00A34C97" w:rsidRPr="00391498" w:rsidRDefault="00A34C97" w:rsidP="00A34C97">
      <w:pPr>
        <w:pStyle w:val="NormalHanging12a"/>
      </w:pPr>
      <w:r w:rsidRPr="00391498">
        <w:t>–</w:t>
      </w:r>
      <w:r w:rsidRPr="00391498">
        <w:tab/>
        <w:t>ņemot vērā Līguma par Eiropas Savienības darbību 294. panta 2. punktu un 207. panta 2. punktu, saskaņā ar kuriem Komisija tam ir iesniegusi priekšlikumu (C9</w:t>
      </w:r>
      <w:r w:rsidRPr="00391498">
        <w:noBreakHyphen/>
        <w:t>0021/2024),</w:t>
      </w:r>
    </w:p>
    <w:p w:rsidR="00A34C97" w:rsidRPr="00391498" w:rsidRDefault="00A34C97" w:rsidP="00A34C97">
      <w:pPr>
        <w:pStyle w:val="NormalHanging12a"/>
      </w:pPr>
      <w:r w:rsidRPr="00391498">
        <w:t>–</w:t>
      </w:r>
      <w:r w:rsidRPr="00391498">
        <w:tab/>
        <w:t>ņemot vērā Līguma par Eiropas Savienības darbību 294. panta 3. punktu,</w:t>
      </w:r>
    </w:p>
    <w:p w:rsidR="00D37BD5" w:rsidRPr="00391498" w:rsidRDefault="00D37BD5" w:rsidP="00A34C97">
      <w:pPr>
        <w:pStyle w:val="NormalHanging12a"/>
      </w:pPr>
      <w:r w:rsidRPr="00391498">
        <w:t>–</w:t>
      </w:r>
      <w:r w:rsidRPr="00391498">
        <w:tab/>
      </w:r>
      <w:r w:rsidR="001B7055" w:rsidRPr="00391498">
        <w:t xml:space="preserve">ņemot vērā provizorisko vienošanos, ko atbildīgā komiteja apstiprināja saskaņā ar Reglamenta 74. panta 4. punktu, un </w:t>
      </w:r>
      <w:r w:rsidRPr="00391498">
        <w:t xml:space="preserve">Padomes pārstāvja 2024. gada 8. </w:t>
      </w:r>
      <w:r w:rsidR="001B7055" w:rsidRPr="00391498">
        <w:t>aprīļa</w:t>
      </w:r>
      <w:r w:rsidRPr="00391498">
        <w:t xml:space="preserve"> vēstulē pausto apņemšanos apstiprināt Parlamenta nostāju saskaņā ar Līguma par Eiropas Savienības darbību 294.</w:t>
      </w:r>
      <w:r w:rsidR="001B7055" w:rsidRPr="00391498">
        <w:t> </w:t>
      </w:r>
      <w:r w:rsidRPr="00391498">
        <w:t>panta 4. punktu,</w:t>
      </w:r>
    </w:p>
    <w:p w:rsidR="00A34C97" w:rsidRPr="00391498" w:rsidRDefault="00A34C97" w:rsidP="00A34C97">
      <w:pPr>
        <w:pStyle w:val="NormalHanging12a"/>
      </w:pPr>
      <w:r w:rsidRPr="00391498">
        <w:t>–</w:t>
      </w:r>
      <w:r w:rsidRPr="00391498">
        <w:tab/>
        <w:t>ņemot vērā Reglamenta 59. pantu,</w:t>
      </w:r>
    </w:p>
    <w:p w:rsidR="00A34C97" w:rsidRPr="00391498" w:rsidRDefault="00A34C97" w:rsidP="00A34C97">
      <w:pPr>
        <w:pStyle w:val="NormalHanging12a"/>
      </w:pPr>
      <w:r w:rsidRPr="00391498">
        <w:t>–</w:t>
      </w:r>
      <w:r w:rsidRPr="00391498">
        <w:tab/>
        <w:t>ņemot vērā Lauksaimniecības un lauku attīstības komitejas atzinumu,</w:t>
      </w:r>
    </w:p>
    <w:p w:rsidR="00A34C97" w:rsidRPr="00391498" w:rsidRDefault="00A34C97" w:rsidP="00A34C97">
      <w:pPr>
        <w:pStyle w:val="NormalHanging12a"/>
      </w:pPr>
      <w:r w:rsidRPr="00391498">
        <w:t>–</w:t>
      </w:r>
      <w:r w:rsidRPr="00391498">
        <w:tab/>
        <w:t>ņemot vērā Starptautiskās tirdzniecības komitejas ziņojumu (A9</w:t>
      </w:r>
      <w:r w:rsidRPr="00391498">
        <w:noBreakHyphen/>
        <w:t>0077/2024),</w:t>
      </w:r>
    </w:p>
    <w:p w:rsidR="00A34C97" w:rsidRPr="00391498" w:rsidRDefault="00A34C97" w:rsidP="00A34C97">
      <w:pPr>
        <w:pStyle w:val="NormalHanging12a"/>
      </w:pPr>
      <w:r w:rsidRPr="00391498">
        <w:t>1.</w:t>
      </w:r>
      <w:r w:rsidRPr="00391498">
        <w:tab/>
      </w:r>
      <w:r w:rsidR="00D37BD5" w:rsidRPr="00391498">
        <w:t>pieņem pirmajā lasījumā turpmāk izklāstīto nostāju</w:t>
      </w:r>
      <w:r w:rsidRPr="00391498">
        <w:t>;</w:t>
      </w:r>
    </w:p>
    <w:p w:rsidR="001B7055" w:rsidRPr="00391498" w:rsidRDefault="001B7055" w:rsidP="00A34C97">
      <w:pPr>
        <w:pStyle w:val="NormalHanging12a"/>
        <w:rPr>
          <w:szCs w:val="24"/>
        </w:rPr>
      </w:pPr>
      <w:r w:rsidRPr="00391498">
        <w:t>2.</w:t>
      </w:r>
      <w:r w:rsidRPr="00391498">
        <w:tab/>
      </w:r>
      <w:r w:rsidRPr="00391498">
        <w:rPr>
          <w:color w:val="111111"/>
          <w:szCs w:val="24"/>
        </w:rPr>
        <w:t xml:space="preserve">pieņem zināšanai Komisijas paziņojumus, kas pievienoti šai rezolūcijai un kas tiks publicēti </w:t>
      </w:r>
      <w:r w:rsidRPr="00391498">
        <w:rPr>
          <w:i/>
          <w:color w:val="111111"/>
          <w:szCs w:val="24"/>
        </w:rPr>
        <w:t>Eiropas Savienības Oficiālā Vēstneša</w:t>
      </w:r>
      <w:r w:rsidRPr="00391498">
        <w:rPr>
          <w:color w:val="111111"/>
          <w:szCs w:val="24"/>
        </w:rPr>
        <w:t xml:space="preserve"> C sērijā;</w:t>
      </w:r>
    </w:p>
    <w:p w:rsidR="00A34C97" w:rsidRPr="00391498" w:rsidRDefault="001B7055" w:rsidP="00A34C97">
      <w:pPr>
        <w:pStyle w:val="NormalHanging12a"/>
      </w:pPr>
      <w:r w:rsidRPr="00391498">
        <w:lastRenderedPageBreak/>
        <w:t>3</w:t>
      </w:r>
      <w:r w:rsidR="00A34C97" w:rsidRPr="00391498">
        <w:t>.</w:t>
      </w:r>
      <w:r w:rsidR="00A34C97" w:rsidRPr="00391498">
        <w:tab/>
        <w:t>prasa Komisijai priekšlikumu Parlamentam iesniegt vēlreiz, ja tā savu priekšlikumu aizstāj, būtiski groza vai ir paredzējusi to būtiski grozīt;</w:t>
      </w:r>
    </w:p>
    <w:p w:rsidR="009B0EE4" w:rsidRDefault="001B7055" w:rsidP="009B0EE4">
      <w:pPr>
        <w:pStyle w:val="NormalHanging12a"/>
      </w:pPr>
      <w:r w:rsidRPr="00391498">
        <w:t>4</w:t>
      </w:r>
      <w:r w:rsidR="00A34C97" w:rsidRPr="00391498">
        <w:t>.</w:t>
      </w:r>
      <w:r w:rsidR="00A34C97" w:rsidRPr="00391498">
        <w:tab/>
        <w:t>uzdod priekšsēdētājai Parlamenta nostāju nosūtīt Padomei un Komisijai, kā arī dalībvalstu parlamentiem.</w:t>
      </w:r>
      <w:bookmarkStart w:id="7" w:name="TextBodyEnd"/>
      <w:bookmarkEnd w:id="7"/>
    </w:p>
    <w:p w:rsidR="009B0EE4" w:rsidRDefault="009B0EE4">
      <w:pPr>
        <w:widowControl/>
      </w:pPr>
      <w:r>
        <w:br w:type="page"/>
      </w:r>
    </w:p>
    <w:p w:rsidR="00D37BD5" w:rsidRPr="00391498" w:rsidRDefault="00D37BD5" w:rsidP="009B0EE4">
      <w:pPr>
        <w:pStyle w:val="NormalHanging12a"/>
        <w:rPr>
          <w:b/>
          <w:noProof/>
        </w:rPr>
      </w:pPr>
      <w:r w:rsidRPr="00391498">
        <w:rPr>
          <w:b/>
          <w:noProof/>
        </w:rPr>
        <w:lastRenderedPageBreak/>
        <w:t>P9_TC1-COD(</w:t>
      </w:r>
      <w:r w:rsidRPr="00391498">
        <w:rPr>
          <w:rFonts w:eastAsia="Calibri"/>
          <w:b/>
          <w:bCs/>
          <w:color w:val="000000"/>
          <w:szCs w:val="24"/>
        </w:rPr>
        <w:t>2024)0028</w:t>
      </w:r>
    </w:p>
    <w:p w:rsidR="00286BDD" w:rsidRDefault="00D37BD5" w:rsidP="00286BDD">
      <w:pPr>
        <w:spacing w:after="240"/>
        <w:rPr>
          <w:rFonts w:eastAsia="Calibri"/>
          <w:b/>
          <w:szCs w:val="22"/>
          <w:lang w:eastAsia="en-US"/>
        </w:rPr>
      </w:pPr>
      <w:r w:rsidRPr="00391498">
        <w:rPr>
          <w:b/>
          <w:noProof/>
        </w:rPr>
        <w:t xml:space="preserve">Eiropas Parlamenta nostāja, pieņemta pirmajā lasījumā </w:t>
      </w:r>
      <w:r w:rsidRPr="00391498">
        <w:rPr>
          <w:b/>
        </w:rPr>
        <w:t xml:space="preserve">2024. gada </w:t>
      </w:r>
      <w:r w:rsidR="00D97A98" w:rsidRPr="00391498">
        <w:rPr>
          <w:b/>
        </w:rPr>
        <w:t>2</w:t>
      </w:r>
      <w:r w:rsidRPr="00391498">
        <w:rPr>
          <w:b/>
        </w:rPr>
        <w:t xml:space="preserve">3. </w:t>
      </w:r>
      <w:r w:rsidR="00D97A98" w:rsidRPr="00391498">
        <w:rPr>
          <w:b/>
        </w:rPr>
        <w:t>aprīlī</w:t>
      </w:r>
      <w:r w:rsidRPr="00391498">
        <w:rPr>
          <w:b/>
          <w:noProof/>
        </w:rPr>
        <w:t xml:space="preserve">, lai pieņemtu Eiropas Parlamenta un Padomes Regulu (ES) 2024/... </w:t>
      </w:r>
      <w:r w:rsidR="009B0EE4">
        <w:rPr>
          <w:b/>
          <w:bCs/>
          <w:color w:val="000000"/>
          <w:shd w:val="clear" w:color="auto" w:fill="FFFFFF"/>
        </w:rPr>
        <w:t>par pagaidu tirdzniecības liberalizācijas pasākumiem, kuri papildina tirdzniecības koncesijas, kas Ukrainas ražojumiem piemērojamas saskaņā ar Asociācijas nolīgumu starp Eiropas Savienību un Eiropas Atomenerģijas kopienu un to dalībvalstīm, no vienas puses, un Ukrainu, no otras puses</w:t>
      </w:r>
    </w:p>
    <w:p w:rsidR="009B0EE4" w:rsidRPr="009B0EE4" w:rsidRDefault="009B0EE4" w:rsidP="009B0EE4">
      <w:pPr>
        <w:rPr>
          <w:i/>
        </w:rPr>
      </w:pPr>
      <w:r w:rsidRPr="003E6639">
        <w:rPr>
          <w:i/>
        </w:rPr>
        <w:t xml:space="preserve">(Tā kā starp Parlamentu un Padomi tika panākta vienošanās, Parlamenta nostāja atbilst galīgajam tiesību aktam Regulai </w:t>
      </w:r>
      <w:r w:rsidRPr="009B0EE4">
        <w:rPr>
          <w:i/>
        </w:rPr>
        <w:t>(ES) 2024/1392.)</w:t>
      </w:r>
    </w:p>
    <w:p w:rsidR="009B0EE4" w:rsidRDefault="009B0EE4">
      <w:pPr>
        <w:widowControl/>
        <w:rPr>
          <w:rFonts w:eastAsia="Calibri"/>
          <w:b/>
          <w:szCs w:val="22"/>
          <w:lang w:eastAsia="en-US"/>
        </w:rPr>
      </w:pPr>
      <w:r>
        <w:rPr>
          <w:rFonts w:eastAsia="Calibri"/>
          <w:b/>
          <w:szCs w:val="22"/>
          <w:lang w:eastAsia="en-US"/>
        </w:rPr>
        <w:br w:type="page"/>
      </w:r>
    </w:p>
    <w:p w:rsidR="009B0EE4" w:rsidRPr="00391498" w:rsidRDefault="009B0EE4" w:rsidP="009B0EE4">
      <w:pPr>
        <w:spacing w:before="120" w:after="120"/>
        <w:jc w:val="right"/>
      </w:pPr>
      <w:r w:rsidRPr="00391498">
        <w:lastRenderedPageBreak/>
        <w:t>NORMATĪVĀS REZOLŪCIJAS PIELIKUMS</w:t>
      </w:r>
    </w:p>
    <w:p w:rsidR="009B0EE4" w:rsidRPr="00391498" w:rsidRDefault="009B0EE4" w:rsidP="009B0EE4">
      <w:pPr>
        <w:spacing w:before="240" w:after="240"/>
        <w:jc w:val="center"/>
        <w:rPr>
          <w:b/>
          <w:szCs w:val="24"/>
        </w:rPr>
      </w:pPr>
      <w:r w:rsidRPr="00391498">
        <w:rPr>
          <w:b/>
          <w:szCs w:val="24"/>
        </w:rPr>
        <w:t>Komisijas paziņojums par graudu importa no Ukrainas uzraudzību saistībā ar Regulas (ES) 2024/</w:t>
      </w:r>
      <w:r>
        <w:rPr>
          <w:b/>
          <w:szCs w:val="24"/>
        </w:rPr>
        <w:t>1392</w:t>
      </w:r>
      <w:r w:rsidRPr="00391498">
        <w:rPr>
          <w:b/>
          <w:szCs w:val="24"/>
        </w:rPr>
        <w:t xml:space="preserve"> pieņemšanu</w:t>
      </w:r>
    </w:p>
    <w:p w:rsidR="009B0EE4" w:rsidRPr="00391498" w:rsidRDefault="009B0EE4" w:rsidP="009B0EE4">
      <w:pPr>
        <w:spacing w:before="240" w:after="240"/>
        <w:rPr>
          <w:szCs w:val="24"/>
        </w:rPr>
      </w:pPr>
      <w:r w:rsidRPr="00391498">
        <w:t>Krievijas agresijas karš pret Ukrainu ir izjaucis līdz šim pastāvējušās piegādes ķēdes. ES sniedz atbalstu Ukrainai, lai atjaunotu graudu un citu preču normālu plūsmu, jo īpaši izmantojot solidaritātes joslas, un lai nodrošinātu, ka graudu eksports var sasniegt galamērķi, tostarp jo īpaši trešo valstu tirgus, lai atbalstītu globālo nodrošinātību ar pārtiku.</w:t>
      </w:r>
    </w:p>
    <w:p w:rsidR="009B0EE4" w:rsidRPr="00391498" w:rsidRDefault="009B0EE4" w:rsidP="009B0EE4">
      <w:pPr>
        <w:spacing w:before="240" w:after="240"/>
        <w:rPr>
          <w:szCs w:val="24"/>
        </w:rPr>
      </w:pPr>
      <w:r w:rsidRPr="00391498">
        <w:t>Komisija ir apņēmusies atbalstīt Ukrainu, vienlaikus saglabājot arī ES graudu ražotāju intereses un nodrošinot ES graudu tirgus pienācīgu darbību.</w:t>
      </w:r>
    </w:p>
    <w:p w:rsidR="009B0EE4" w:rsidRPr="00391498" w:rsidRDefault="009B0EE4" w:rsidP="009B0EE4">
      <w:pPr>
        <w:spacing w:before="240" w:after="240"/>
        <w:rPr>
          <w:szCs w:val="24"/>
        </w:rPr>
      </w:pPr>
      <w:r w:rsidRPr="00391498">
        <w:t>Ņemot vērā graudu ražošanas un graudu tirgu nozīmi, Komisija īpašu uzmanību pievērsīs graudu, jo īpaši kviešu, importa uzraudzībai un jo īpaši šāda importa koncentrācijai dalībvalstīs, kas robežojas ar Ukrainu. Regulārajā dialogā ar Ukrainu Komisija pievērsīsies visiem jautājumiem, ko būs atklājusi uzraudzība. Komisija atgādina, ka importam no Ukrainas saskaņā ar IV nodaļu Eiropas Parlamenta un Padomes 2015. gada 11. marta Regulā (ES) 2015/478 par kopīgiem importa noteikumiem var piemērot uzraudzību, kas var izpausties kā importa licencēšana, ja importa tendence draud radīt kaitējumu Savienības ražotājiem un ja to prasa Savienības intereses. Šajā sakarā Komisija vajadzības gadījumā izmantos tās rīcībā esošos instrumentus. Komisija turpinās regulāri ziņot dalībvalstīm par rezultātiem, kas gūti regulārajā dialogā ar Ukrainu.</w:t>
      </w:r>
    </w:p>
    <w:p w:rsidR="009B0EE4" w:rsidRPr="00391498" w:rsidRDefault="009B0EE4" w:rsidP="009B0EE4">
      <w:pPr>
        <w:spacing w:before="240" w:after="240"/>
        <w:rPr>
          <w:szCs w:val="24"/>
        </w:rPr>
      </w:pPr>
      <w:r w:rsidRPr="00391498">
        <w:t xml:space="preserve">Komisija atgādina, ka gadījumos, kad uz produktiem attiecas autonomie tirdzniecības pasākumi, regula paredz arī pastiprinātu aizsardzības mehānismu. Pirmo reizi Komisija ir paredzējusi iespēju un ir gatava aktivizēt šo mehānismu gadījumā, ja būs negatīva ietekme uz vienas vai vairāku dalībvalstu tirgu, nevis tikai uz ES tirgu kopumā. Šajā sakarā Komisija pilnībā izmantos savas pilnvaras, lai </w:t>
      </w:r>
      <w:r w:rsidRPr="00391498">
        <w:rPr>
          <w:i/>
          <w:iCs/>
        </w:rPr>
        <w:t>ex officio</w:t>
      </w:r>
      <w:r w:rsidRPr="00391498">
        <w:t xml:space="preserve"> sāktu pastiprināto aizsardzības mehānismu kviešu importam no Ukrainas. </w:t>
      </w:r>
    </w:p>
    <w:p w:rsidR="009B0EE4" w:rsidRPr="00391498" w:rsidRDefault="009B0EE4" w:rsidP="009B0EE4">
      <w:pPr>
        <w:spacing w:before="240" w:after="240"/>
      </w:pPr>
      <w:r w:rsidRPr="00391498">
        <w:t>Komisija atgādina, ka 2022. un 2023. gadā tā pieņēma pasākumus Eiropas lauksaimnieku atbalstam visās dalībvalstīs, jo īpaši dalībvalstīs, kas robežojas ar Ukrainu.</w:t>
      </w:r>
    </w:p>
    <w:p w:rsidR="009B0EE4" w:rsidRPr="00391498" w:rsidRDefault="009B0EE4" w:rsidP="009B0EE4">
      <w:pPr>
        <w:spacing w:after="240"/>
      </w:pPr>
    </w:p>
    <w:p w:rsidR="009B0EE4" w:rsidRPr="00391498" w:rsidRDefault="009B0EE4" w:rsidP="009B0EE4">
      <w:pPr>
        <w:widowControl/>
        <w:rPr>
          <w:b/>
          <w:sz w:val="28"/>
        </w:rPr>
      </w:pPr>
      <w:r w:rsidRPr="00391498">
        <w:rPr>
          <w:b/>
          <w:sz w:val="28"/>
        </w:rPr>
        <w:br w:type="page"/>
      </w:r>
    </w:p>
    <w:p w:rsidR="009B0EE4" w:rsidRPr="00391498" w:rsidRDefault="009B0EE4" w:rsidP="009B0EE4">
      <w:pPr>
        <w:spacing w:before="360"/>
        <w:jc w:val="center"/>
        <w:rPr>
          <w:b/>
          <w:bCs/>
          <w:szCs w:val="24"/>
        </w:rPr>
      </w:pPr>
      <w:r w:rsidRPr="00391498">
        <w:rPr>
          <w:b/>
          <w:szCs w:val="24"/>
        </w:rPr>
        <w:lastRenderedPageBreak/>
        <w:t>Komisijas paziņojums par Asociācijas nolīguma 29. pantā noteikto pārskatīšanas procesu saistībā ar Regulas (ES)</w:t>
      </w:r>
      <w:bookmarkStart w:id="8" w:name="_GoBack"/>
      <w:bookmarkEnd w:id="8"/>
      <w:r w:rsidRPr="00391498">
        <w:rPr>
          <w:b/>
          <w:szCs w:val="24"/>
        </w:rPr>
        <w:t> 2024/</w:t>
      </w:r>
      <w:r>
        <w:rPr>
          <w:b/>
          <w:szCs w:val="24"/>
        </w:rPr>
        <w:t xml:space="preserve">1392 </w:t>
      </w:r>
      <w:r w:rsidRPr="00391498">
        <w:rPr>
          <w:b/>
          <w:szCs w:val="24"/>
        </w:rPr>
        <w:t>pieņemšanu</w:t>
      </w:r>
    </w:p>
    <w:p w:rsidR="009B0EE4" w:rsidRPr="00391498" w:rsidRDefault="009B0EE4" w:rsidP="009B0EE4">
      <w:pPr>
        <w:spacing w:before="240" w:after="240"/>
        <w:rPr>
          <w:szCs w:val="24"/>
        </w:rPr>
      </w:pPr>
      <w:r w:rsidRPr="00391498">
        <w:t>Komisija apstiprina, ka, tiklīdz likumdevēji būs pieņēmuši jaunos autonomos tirdzniecības pasākumus, tā veiks vajadzīgos pasākumus saskaņā ar Asociācijas nolīguma 29. pantu, lai, apspriežoties ar Ukrainu, turpinātu savstarpējas tarifu liberalizācijas procesu.</w:t>
      </w:r>
    </w:p>
    <w:p w:rsidR="009B0EE4" w:rsidRPr="00391498" w:rsidRDefault="009B0EE4" w:rsidP="009B0EE4">
      <w:pPr>
        <w:spacing w:before="240" w:after="240"/>
        <w:rPr>
          <w:szCs w:val="24"/>
        </w:rPr>
      </w:pPr>
      <w:r w:rsidRPr="00391498">
        <w:t>Komisija cieši iesaistīs Eiropas Parlamentu un sniegs tam informāciju par to, kā norisinās šīs apspriedes ar Ukrainu. Komisija šajā sakarā pienācīgi ņems vērā iespējamos Eiropas Parlamenta komentārus.</w:t>
      </w:r>
    </w:p>
    <w:p w:rsidR="009B0EE4" w:rsidRPr="00391498" w:rsidRDefault="009B0EE4" w:rsidP="009B0EE4">
      <w:pPr>
        <w:spacing w:before="240" w:after="240"/>
        <w:rPr>
          <w:szCs w:val="24"/>
        </w:rPr>
      </w:pPr>
      <w:r w:rsidRPr="00391498">
        <w:t>Komisija atgādina, ka šī darba kārtība nerada precedentu pārskatīšanas klauzulām nevienā citā nolīgumā un nenozīmē novirzi no LESD 218. panta.</w:t>
      </w:r>
    </w:p>
    <w:p w:rsidR="009B0EE4" w:rsidRPr="00391498" w:rsidRDefault="009B0EE4" w:rsidP="009B0EE4">
      <w:pPr>
        <w:spacing w:before="240" w:after="240"/>
        <w:rPr>
          <w:szCs w:val="24"/>
        </w:rPr>
      </w:pPr>
      <w:r w:rsidRPr="00391498">
        <w:t>Šā procesa iznākums nodrošinās ekonomisko noteiktību un stabilu tirdzniecību gan Ukrainas, gan ES lauksaimniekiem un uzņēmumiem. Tas būs arī svarīgs solis Ukrainas atjaunošanā un turpmākā integrācijā ES iekšējā tirgū saistībā ar šīs valsts pievienošanos Eiropas Savienībai nākotnē.</w:t>
      </w:r>
    </w:p>
    <w:sectPr w:rsidR="009B0EE4" w:rsidRPr="00391498" w:rsidSect="00E2255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1A4" w:rsidRPr="00E22550" w:rsidRDefault="00AD11A4">
      <w:r w:rsidRPr="00E22550">
        <w:separator/>
      </w:r>
    </w:p>
  </w:endnote>
  <w:endnote w:type="continuationSeparator" w:id="0">
    <w:p w:rsidR="00AD11A4" w:rsidRPr="00E22550" w:rsidRDefault="00AD11A4">
      <w:r w:rsidRPr="00E225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1A4" w:rsidRPr="00E22550" w:rsidRDefault="00AD11A4">
      <w:r w:rsidRPr="00E22550">
        <w:separator/>
      </w:r>
    </w:p>
  </w:footnote>
  <w:footnote w:type="continuationSeparator" w:id="0">
    <w:p w:rsidR="00AD11A4" w:rsidRPr="00E22550" w:rsidRDefault="00AD11A4">
      <w:r w:rsidRPr="00E2255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LV"/>
    <w:docVar w:name="dvnumam" w:val="26"/>
    <w:docVar w:name="dvpe" w:val="758.681"/>
    <w:docVar w:name="dvrapporteur" w:val="Referente: "/>
    <w:docVar w:name="dvstar" w:val="***I"/>
    <w:docVar w:name="dvtitre" w:val="Eiropas Parlamenta 2024. gada XX. XXX normatīvā rezolūcija par priekšlikumu Eiropas Parlamenta un Padomes regulai par pagaidu tirdzniecības liberalizācijas pasākumiem, kuri papildina tirdzniecības koncesijas, kas Ukrainas ražojumiem piemērojamas saskaņā ar Asociācijas nolīgumu starp Eiropas Savienību un Eiropas Atomenerģijas kopienu un to dalībvalstīm, no vienas puses, un Ukrainu, no otras puses(COM(2024)0050 – C9-0021/2024 – 2024/0028(COD))"/>
  </w:docVars>
  <w:rsids>
    <w:rsidRoot w:val="00AD11A4"/>
    <w:rsid w:val="00002272"/>
    <w:rsid w:val="00064002"/>
    <w:rsid w:val="000677B9"/>
    <w:rsid w:val="000831BA"/>
    <w:rsid w:val="000A42CC"/>
    <w:rsid w:val="000E7DD9"/>
    <w:rsid w:val="0010095E"/>
    <w:rsid w:val="00125B37"/>
    <w:rsid w:val="00187494"/>
    <w:rsid w:val="001B7055"/>
    <w:rsid w:val="001F32AE"/>
    <w:rsid w:val="002767FF"/>
    <w:rsid w:val="00286BDD"/>
    <w:rsid w:val="002B18FE"/>
    <w:rsid w:val="002B5493"/>
    <w:rsid w:val="00343214"/>
    <w:rsid w:val="00361C00"/>
    <w:rsid w:val="0039149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3036"/>
    <w:rsid w:val="005C2568"/>
    <w:rsid w:val="006037C0"/>
    <w:rsid w:val="006505D1"/>
    <w:rsid w:val="006631B6"/>
    <w:rsid w:val="00680577"/>
    <w:rsid w:val="006F74FA"/>
    <w:rsid w:val="0072116E"/>
    <w:rsid w:val="00731ADD"/>
    <w:rsid w:val="00734777"/>
    <w:rsid w:val="00747932"/>
    <w:rsid w:val="00751A4A"/>
    <w:rsid w:val="00756632"/>
    <w:rsid w:val="0075726E"/>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EE4"/>
    <w:rsid w:val="00A1687D"/>
    <w:rsid w:val="00A34C97"/>
    <w:rsid w:val="00A43E52"/>
    <w:rsid w:val="00A4678D"/>
    <w:rsid w:val="00A778C7"/>
    <w:rsid w:val="00AB441E"/>
    <w:rsid w:val="00AB6293"/>
    <w:rsid w:val="00AD11A4"/>
    <w:rsid w:val="00AE0928"/>
    <w:rsid w:val="00AF3B82"/>
    <w:rsid w:val="00B12E95"/>
    <w:rsid w:val="00B22876"/>
    <w:rsid w:val="00B558F0"/>
    <w:rsid w:val="00BD48FE"/>
    <w:rsid w:val="00BD7BD8"/>
    <w:rsid w:val="00BE6ADC"/>
    <w:rsid w:val="00C05BFE"/>
    <w:rsid w:val="00C23CD4"/>
    <w:rsid w:val="00C61C0C"/>
    <w:rsid w:val="00C941CB"/>
    <w:rsid w:val="00CC2357"/>
    <w:rsid w:val="00CC6507"/>
    <w:rsid w:val="00CF071A"/>
    <w:rsid w:val="00D058B8"/>
    <w:rsid w:val="00D37BD5"/>
    <w:rsid w:val="00D56C11"/>
    <w:rsid w:val="00D834A0"/>
    <w:rsid w:val="00D872DF"/>
    <w:rsid w:val="00D91E21"/>
    <w:rsid w:val="00D97A98"/>
    <w:rsid w:val="00DA7FCD"/>
    <w:rsid w:val="00E22550"/>
    <w:rsid w:val="00E365E1"/>
    <w:rsid w:val="00E438CF"/>
    <w:rsid w:val="00E46114"/>
    <w:rsid w:val="00E820A4"/>
    <w:rsid w:val="00EB006A"/>
    <w:rsid w:val="00EB4772"/>
    <w:rsid w:val="00ED169E"/>
    <w:rsid w:val="00ED4235"/>
    <w:rsid w:val="00F04346"/>
    <w:rsid w:val="00F075DC"/>
    <w:rsid w:val="00F149E9"/>
    <w:rsid w:val="00F5134D"/>
    <w:rsid w:val="00F74202"/>
    <w:rsid w:val="00F87713"/>
    <w:rsid w:val="00FB4360"/>
    <w:rsid w:val="00FC247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61A649-4F9E-49B3-800D-7B11112F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4C97"/>
    <w:pPr>
      <w:spacing w:before="480" w:after="240"/>
    </w:pPr>
  </w:style>
  <w:style w:type="paragraph" w:customStyle="1" w:styleId="NormalBold">
    <w:name w:val="NormalBold"/>
    <w:basedOn w:val="Normal"/>
    <w:link w:val="NormalBoldChar"/>
    <w:rsid w:val="00A34C97"/>
    <w:rPr>
      <w:b/>
    </w:rPr>
  </w:style>
  <w:style w:type="paragraph" w:customStyle="1" w:styleId="NormalBold12a">
    <w:name w:val="NormalBold12a"/>
    <w:basedOn w:val="Normal"/>
    <w:rsid w:val="00A34C97"/>
    <w:pPr>
      <w:spacing w:after="240"/>
    </w:pPr>
    <w:rPr>
      <w:b/>
    </w:rPr>
  </w:style>
  <w:style w:type="paragraph" w:customStyle="1" w:styleId="NormalHanging12a">
    <w:name w:val="NormalHanging12a"/>
    <w:basedOn w:val="Normal"/>
    <w:rsid w:val="00A34C97"/>
    <w:pPr>
      <w:spacing w:after="240"/>
      <w:ind w:left="567" w:hanging="567"/>
    </w:pPr>
  </w:style>
  <w:style w:type="character" w:customStyle="1" w:styleId="NormalBoldChar">
    <w:name w:val="NormalBold Char"/>
    <w:basedOn w:val="DefaultParagraphFont"/>
    <w:link w:val="NormalBold"/>
    <w:locked/>
    <w:rsid w:val="00A34C97"/>
    <w:rPr>
      <w:b/>
      <w:sz w:val="24"/>
      <w:lang w:val="lv-LV"/>
    </w:rPr>
  </w:style>
  <w:style w:type="paragraph" w:customStyle="1" w:styleId="Normal12Hanging">
    <w:name w:val="Normal12Hanging"/>
    <w:basedOn w:val="Normal"/>
    <w:qFormat/>
    <w:rsid w:val="00D37BD5"/>
    <w:pPr>
      <w:widowControl/>
      <w:spacing w:before="120" w:after="120" w:line="360" w:lineRule="auto"/>
      <w:ind w:left="720" w:hanging="720"/>
      <w:jc w:val="both"/>
    </w:pPr>
    <w:rPr>
      <w:rFonts w:eastAsiaTheme="minorHAnsi"/>
      <w:szCs w:val="22"/>
      <w:lang w:eastAsia="en-US"/>
    </w:rPr>
  </w:style>
  <w:style w:type="paragraph" w:styleId="BalloonText">
    <w:name w:val="Balloon Text"/>
    <w:basedOn w:val="Normal"/>
    <w:link w:val="BalloonTextChar"/>
    <w:rsid w:val="00D37BD5"/>
    <w:rPr>
      <w:rFonts w:ascii="Segoe UI" w:hAnsi="Segoe UI" w:cs="Segoe UI"/>
      <w:sz w:val="18"/>
      <w:szCs w:val="18"/>
    </w:rPr>
  </w:style>
  <w:style w:type="character" w:customStyle="1" w:styleId="BalloonTextChar">
    <w:name w:val="Balloon Text Char"/>
    <w:basedOn w:val="DefaultParagraphFont"/>
    <w:link w:val="BalloonText"/>
    <w:rsid w:val="00D37BD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89DA0-D093-4F10-B40B-31DBC57A0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737</Words>
  <Characters>5138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BINKEVICIUTE Aurelija</cp:lastModifiedBy>
  <cp:revision>3</cp:revision>
  <cp:lastPrinted>2004-11-19T15:42:00Z</cp:lastPrinted>
  <dcterms:created xsi:type="dcterms:W3CDTF">2024-10-03T12:47:00Z</dcterms:created>
  <dcterms:modified xsi:type="dcterms:W3CDTF">2024-10-15T15:08:00Z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P9_TA(2024)0304_</vt:lpwstr>
  </property>
  <property fmtid="{D5CDD505-2E9C-101B-9397-08002B2CF9AE}" pid="4" name="&lt;Type&gt;">
    <vt:lpwstr>RR</vt:lpwstr>
  </property>
</Properties>
</file>