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41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4150" w:rsidRDefault="005F622E" w:rsidP="0010095E">
            <w:pPr>
              <w:pStyle w:val="EPName"/>
            </w:pPr>
            <w:r w:rsidRPr="00E84150">
              <w:t>Parlament Ewropew</w:t>
            </w:r>
          </w:p>
          <w:p w:rsidR="00751A4A" w:rsidRPr="00E841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41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84150" w:rsidRDefault="00187494" w:rsidP="0010095E">
            <w:pPr>
              <w:pStyle w:val="EPLogo"/>
            </w:pPr>
            <w:r w:rsidRPr="00E8415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4150" w:rsidRDefault="00D058B8" w:rsidP="004C5D52">
      <w:pPr>
        <w:pStyle w:val="LineTop"/>
      </w:pPr>
    </w:p>
    <w:p w:rsidR="00680577" w:rsidRPr="00E84150" w:rsidRDefault="005F622E" w:rsidP="00680577">
      <w:pPr>
        <w:pStyle w:val="EPBodyTA1"/>
      </w:pPr>
      <w:r w:rsidRPr="00E84150">
        <w:t>TESTI ADOTTATI</w:t>
      </w:r>
    </w:p>
    <w:p w:rsidR="00D058B8" w:rsidRPr="00E84150" w:rsidRDefault="00D058B8" w:rsidP="00D058B8">
      <w:pPr>
        <w:pStyle w:val="LineBottom"/>
      </w:pPr>
    </w:p>
    <w:p w:rsidR="005F622E" w:rsidRPr="00E84150" w:rsidRDefault="005F622E" w:rsidP="005F622E">
      <w:pPr>
        <w:pStyle w:val="ATHeading1"/>
      </w:pPr>
      <w:bookmarkStart w:id="0" w:name="TANumber"/>
      <w:r w:rsidRPr="00E84150">
        <w:t>P9_TA(2024)0</w:t>
      </w:r>
      <w:bookmarkEnd w:id="0"/>
      <w:r w:rsidR="002153A0">
        <w:t>304</w:t>
      </w:r>
    </w:p>
    <w:p w:rsidR="005F622E" w:rsidRPr="00E84150" w:rsidRDefault="005F622E" w:rsidP="005F622E">
      <w:pPr>
        <w:pStyle w:val="ATHeading2"/>
      </w:pPr>
      <w:bookmarkStart w:id="1" w:name="title"/>
      <w:r w:rsidRPr="00E84150">
        <w:t>Miżuri temporanji ta’ liberalizzazzjoni tal-kummerċ li jissupplimentaw il-konċessjonijiet kummerċjali</w:t>
      </w:r>
      <w:r w:rsidR="00B8055E" w:rsidRPr="00E84150">
        <w:t xml:space="preserve"> </w:t>
      </w:r>
      <w:r w:rsidRPr="00E84150">
        <w:t>applikabbli għall-prodotti Ukreni skont il-Ftehim ta’ Assoċjazzjoni UE/Euratom/Ukrajna</w:t>
      </w:r>
      <w:bookmarkEnd w:id="1"/>
    </w:p>
    <w:p w:rsidR="005F622E" w:rsidRPr="00E84150" w:rsidRDefault="005F622E" w:rsidP="005F622E">
      <w:pPr>
        <w:rPr>
          <w:i/>
          <w:vanish/>
        </w:rPr>
      </w:pPr>
      <w:r w:rsidRPr="00E84150">
        <w:rPr>
          <w:i/>
        </w:rPr>
        <w:fldChar w:fldCharType="begin"/>
      </w:r>
      <w:r w:rsidRPr="00E84150">
        <w:rPr>
          <w:i/>
        </w:rPr>
        <w:instrText xml:space="preserve"> TC"(</w:instrText>
      </w:r>
      <w:bookmarkStart w:id="2" w:name="DocNumber"/>
      <w:r w:rsidRPr="00E84150">
        <w:rPr>
          <w:i/>
        </w:rPr>
        <w:instrText>A9-0077/2024</w:instrText>
      </w:r>
      <w:bookmarkEnd w:id="2"/>
      <w:r w:rsidRPr="00E84150">
        <w:rPr>
          <w:i/>
        </w:rPr>
        <w:instrText xml:space="preserve"> - Rapporteur: Sandra Kalniete)"\l3 \n&gt; \* MERGEFORMAT </w:instrText>
      </w:r>
      <w:r w:rsidRPr="00E84150">
        <w:rPr>
          <w:i/>
        </w:rPr>
        <w:fldChar w:fldCharType="end"/>
      </w:r>
    </w:p>
    <w:p w:rsidR="005F622E" w:rsidRPr="00E84150" w:rsidRDefault="005F622E" w:rsidP="005F622E">
      <w:pPr>
        <w:rPr>
          <w:vanish/>
        </w:rPr>
      </w:pPr>
      <w:bookmarkStart w:id="3" w:name="Commission"/>
      <w:r w:rsidRPr="00E84150">
        <w:rPr>
          <w:vanish/>
        </w:rPr>
        <w:t>Kumitat għall-Kummerċ Internazzjonali</w:t>
      </w:r>
      <w:bookmarkEnd w:id="3"/>
    </w:p>
    <w:p w:rsidR="005F622E" w:rsidRPr="00E84150" w:rsidRDefault="005F622E" w:rsidP="005F622E">
      <w:pPr>
        <w:rPr>
          <w:vanish/>
        </w:rPr>
      </w:pPr>
      <w:bookmarkStart w:id="4" w:name="PE"/>
      <w:r w:rsidRPr="00E84150">
        <w:rPr>
          <w:vanish/>
        </w:rPr>
        <w:t>PE758.861</w:t>
      </w:r>
      <w:bookmarkEnd w:id="4"/>
    </w:p>
    <w:p w:rsidR="005F622E" w:rsidRPr="00E84150" w:rsidRDefault="005F622E" w:rsidP="005F622E">
      <w:pPr>
        <w:pStyle w:val="ATHeading3"/>
      </w:pPr>
      <w:bookmarkStart w:id="5" w:name="Sujet"/>
      <w:r w:rsidRPr="00E84150">
        <w:t>Riżoluzzjoni leġiżlattiva tal-Parlament Ewropew tat-</w:t>
      </w:r>
      <w:r w:rsidR="00FE3A69" w:rsidRPr="00E84150">
        <w:t xml:space="preserve">23 </w:t>
      </w:r>
      <w:r w:rsidRPr="00E84150">
        <w:t xml:space="preserve">ta' </w:t>
      </w:r>
      <w:r w:rsidR="00FE3A69" w:rsidRPr="00E84150">
        <w:t xml:space="preserve">April </w:t>
      </w:r>
      <w:r w:rsidRPr="00E84150">
        <w:t>2024 dwar il-proposta għal regolament tal-Parlament Ewropew u tal-Kunsill dwar miżuri temporanji ta’ liberalizzazzjoni tal-kummerċ li jissupplimentaw il-konċessjonijiet kummerċjali applikabbli għall-prodotti Ukreni skont il-Ftehim ta’ Assoċjazzjoni bejn l-Unjoni Ewropea u l-Komunità Ewropea tal-Enerġija Atomika u l-Istati Membri tagħhom, minn naħa waħda, u l-Ukrajna, min-naħa l-oħra</w:t>
      </w:r>
      <w:bookmarkEnd w:id="5"/>
      <w:r w:rsidRPr="00E84150">
        <w:t xml:space="preserve"> </w:t>
      </w:r>
      <w:bookmarkStart w:id="6" w:name="References"/>
      <w:r w:rsidRPr="00E84150">
        <w:t>(COM(2024)0050 – C9-0021/2024 – 2024/0028(COD))</w:t>
      </w:r>
      <w:bookmarkEnd w:id="6"/>
    </w:p>
    <w:p w:rsidR="00DA31DD" w:rsidRPr="00E84150" w:rsidRDefault="00DA31DD" w:rsidP="00DA31DD">
      <w:pPr>
        <w:pStyle w:val="NormalBold"/>
      </w:pPr>
      <w:bookmarkStart w:id="7" w:name="TextBodyBegin"/>
      <w:bookmarkEnd w:id="7"/>
      <w:r w:rsidRPr="00E84150">
        <w:t>(Proċedura leġiżlattiva ordinarja: l-ewwel qari)</w:t>
      </w:r>
    </w:p>
    <w:p w:rsidR="00DA31DD" w:rsidRPr="00E84150" w:rsidRDefault="00DA31DD" w:rsidP="00DA31DD">
      <w:pPr>
        <w:pStyle w:val="EPComma"/>
      </w:pPr>
      <w:r w:rsidRPr="00E84150">
        <w:rPr>
          <w:i/>
        </w:rPr>
        <w:t>Il-Parlament Ewropew</w:t>
      </w:r>
      <w:r w:rsidRPr="00E84150">
        <w:t>,</w:t>
      </w:r>
    </w:p>
    <w:p w:rsidR="00DA31DD" w:rsidRPr="00E84150" w:rsidRDefault="00DA31DD" w:rsidP="00DA31DD">
      <w:pPr>
        <w:pStyle w:val="NormalHanging12a"/>
      </w:pPr>
      <w:r w:rsidRPr="00E84150">
        <w:t>–</w:t>
      </w:r>
      <w:r w:rsidRPr="00E84150">
        <w:tab/>
        <w:t>wara li kkunsidra l-proposta tal-Kummissjoni lill-Parlament Ewropew u lill-Kunsill (COM(2024)0050),</w:t>
      </w:r>
    </w:p>
    <w:p w:rsidR="00DA31DD" w:rsidRPr="00E84150" w:rsidRDefault="00DA31DD" w:rsidP="00DA31DD">
      <w:pPr>
        <w:pStyle w:val="NormalHanging12a"/>
      </w:pPr>
      <w:r w:rsidRPr="00E84150">
        <w:t>–</w:t>
      </w:r>
      <w:r w:rsidRPr="00E84150">
        <w:tab/>
        <w:t>wara li kkunsidra l-Artikolu 294(2) u l-Artikolu 207(2) tat-Trattat dwar il-Funzjonament tal-Unjoni Ewropea, skont liema artikoli l-Kummissjoni ppreżentat il-proposta lill-Parlament (C9</w:t>
      </w:r>
      <w:r w:rsidRPr="00E84150">
        <w:noBreakHyphen/>
        <w:t>0021/2024),</w:t>
      </w:r>
    </w:p>
    <w:p w:rsidR="00DA31DD" w:rsidRPr="00E84150" w:rsidRDefault="00DA31DD" w:rsidP="00DA31DD">
      <w:pPr>
        <w:pStyle w:val="NormalHanging12a"/>
      </w:pPr>
      <w:r w:rsidRPr="00E84150">
        <w:t>–</w:t>
      </w:r>
      <w:r w:rsidRPr="00E84150">
        <w:tab/>
        <w:t>wara li kkunsidra l-Artikolu 294(3) tat-Trattat dwar il-Funzjonament tal-Unjoni Ewropea,</w:t>
      </w:r>
    </w:p>
    <w:p w:rsidR="009F428C" w:rsidRPr="00E84150" w:rsidRDefault="009F428C" w:rsidP="00DA31DD">
      <w:pPr>
        <w:pStyle w:val="NormalHanging12a"/>
      </w:pPr>
      <w:r w:rsidRPr="00E84150">
        <w:t>–</w:t>
      </w:r>
      <w:r w:rsidRPr="00E84150">
        <w:tab/>
        <w:t xml:space="preserve">wara li kkunsidra </w:t>
      </w:r>
      <w:r w:rsidR="00FE3A69" w:rsidRPr="00E84150">
        <w:t>l-ftehim proviżorju approvat mill-kumitat</w:t>
      </w:r>
      <w:r w:rsidR="00FE3A69" w:rsidRPr="00E84150">
        <w:rPr>
          <w:b/>
        </w:rPr>
        <w:t xml:space="preserve"> </w:t>
      </w:r>
      <w:r w:rsidR="00FE3A69" w:rsidRPr="00E84150">
        <w:t xml:space="preserve">responsabbli fis-sens tal-Artikolu 74(4) tar-Regoli ta' Proċedura tiegħu u </w:t>
      </w:r>
      <w:r w:rsidRPr="00E84150">
        <w:t xml:space="preserve">l-impenn </w:t>
      </w:r>
      <w:r w:rsidR="00AA159B" w:rsidRPr="00E84150">
        <w:t>meħud</w:t>
      </w:r>
      <w:r w:rsidR="00AA159B" w:rsidRPr="00E84150" w:rsidDel="00AA159B">
        <w:t xml:space="preserve"> </w:t>
      </w:r>
      <w:r w:rsidRPr="00E84150">
        <w:t xml:space="preserve">mir-rappreżentant tal-Kunsill </w:t>
      </w:r>
      <w:r w:rsidR="00AA159B" w:rsidRPr="00E84150">
        <w:t>permezz tal-</w:t>
      </w:r>
      <w:r w:rsidRPr="00E84150">
        <w:t xml:space="preserve">ittra tat-8 ta' </w:t>
      </w:r>
      <w:r w:rsidR="006375A4">
        <w:t>April</w:t>
      </w:r>
      <w:r w:rsidRPr="00E84150">
        <w:t xml:space="preserve"> 2024</w:t>
      </w:r>
      <w:r w:rsidR="00FE3A69" w:rsidRPr="00E84150">
        <w:t>,</w:t>
      </w:r>
      <w:r w:rsidRPr="00E84150">
        <w:t xml:space="preserve"> li japprova l-pożizzjoni tal-Parlament, skont l-Artikolu 294(4) tat-Trattat dwar il-Funzjonament tal-Unjoni Ewropea,</w:t>
      </w:r>
    </w:p>
    <w:p w:rsidR="00DA31DD" w:rsidRPr="00E84150" w:rsidRDefault="00DA31DD" w:rsidP="00DA31DD">
      <w:pPr>
        <w:pStyle w:val="NormalHanging12a"/>
      </w:pPr>
      <w:r w:rsidRPr="00E84150">
        <w:t>–</w:t>
      </w:r>
      <w:r w:rsidRPr="00E84150">
        <w:tab/>
        <w:t>wara li kkunsidra l-Artikolu 59 tar-Regoli ta’ Proċedura tiegħu,</w:t>
      </w:r>
    </w:p>
    <w:p w:rsidR="00DA31DD" w:rsidRPr="00E84150" w:rsidRDefault="00DA31DD" w:rsidP="00DA31DD">
      <w:pPr>
        <w:pStyle w:val="NormalHanging12a"/>
      </w:pPr>
      <w:r w:rsidRPr="00E84150">
        <w:t>–</w:t>
      </w:r>
      <w:r w:rsidRPr="00E84150">
        <w:tab/>
        <w:t>wara li kkunsidra l-opinjoni tal-Kumitat għall-Agrikoltura u l-Iżvilupp Rurali,</w:t>
      </w:r>
    </w:p>
    <w:p w:rsidR="00DA31DD" w:rsidRPr="00E84150" w:rsidRDefault="00DA31DD" w:rsidP="00DA31DD">
      <w:pPr>
        <w:pStyle w:val="NormalHanging12a"/>
      </w:pPr>
      <w:r w:rsidRPr="00E84150">
        <w:t>–</w:t>
      </w:r>
      <w:r w:rsidRPr="00E84150">
        <w:tab/>
        <w:t>wara li kkunsidra r-rapport tal-Kumitat għall-Kummerċ Internazzjonali (A9-0077/2024),</w:t>
      </w:r>
    </w:p>
    <w:p w:rsidR="00FE3A69" w:rsidRPr="00E84150" w:rsidRDefault="00DA31DD" w:rsidP="00FE3A69">
      <w:pPr>
        <w:pStyle w:val="NormalHanging12a"/>
        <w:widowControl/>
      </w:pPr>
      <w:r w:rsidRPr="00E84150">
        <w:lastRenderedPageBreak/>
        <w:t>1.</w:t>
      </w:r>
      <w:r w:rsidRPr="00E84150">
        <w:tab/>
        <w:t xml:space="preserve">Jadotta l-pożizzjoni fl-ewwel qari </w:t>
      </w:r>
      <w:r w:rsidR="00AA159B" w:rsidRPr="00E84150">
        <w:t>li tidher hawn taħt</w:t>
      </w:r>
      <w:r w:rsidR="00AA159B" w:rsidRPr="00E84150" w:rsidDel="00AA159B">
        <w:t xml:space="preserve"> </w:t>
      </w:r>
      <w:r w:rsidRPr="00E84150">
        <w:t>;</w:t>
      </w:r>
      <w:r w:rsidR="00FE3A69" w:rsidRPr="00E84150">
        <w:t xml:space="preserve"> </w:t>
      </w:r>
    </w:p>
    <w:p w:rsidR="00FE3A69" w:rsidRPr="00E84150" w:rsidRDefault="00FE3A69" w:rsidP="00FE3A69">
      <w:pPr>
        <w:pStyle w:val="NormalHanging12a"/>
        <w:widowControl/>
      </w:pPr>
      <w:r w:rsidRPr="00E84150">
        <w:t>2.</w:t>
      </w:r>
      <w:r w:rsidRPr="00E84150">
        <w:tab/>
        <w:t xml:space="preserve">Jieħu nota tad-dikjarazzjonijiet </w:t>
      </w:r>
      <w:r w:rsidR="008E32BF" w:rsidRPr="00E84150">
        <w:t>tal-Kummissjoni</w:t>
      </w:r>
      <w:r w:rsidRPr="00E84150">
        <w:t xml:space="preserve"> annessi ma' din ir-riżoluzzjoni, li se jiġu ppubblikati fis-serje C ta' </w:t>
      </w:r>
      <w:r w:rsidRPr="00E84150">
        <w:rPr>
          <w:i/>
        </w:rPr>
        <w:t>Il-Ġurnal Uffiċjali tal-Unjoni Ewropea</w:t>
      </w:r>
      <w:r w:rsidRPr="00E84150">
        <w:t>;</w:t>
      </w:r>
    </w:p>
    <w:p w:rsidR="00DA31DD" w:rsidRPr="00E84150" w:rsidRDefault="00FE3A69" w:rsidP="00DA31DD">
      <w:pPr>
        <w:pStyle w:val="NormalHanging12a"/>
      </w:pPr>
      <w:r w:rsidRPr="00E84150">
        <w:t>3</w:t>
      </w:r>
      <w:r w:rsidR="00DA31DD" w:rsidRPr="00E84150">
        <w:t>.</w:t>
      </w:r>
      <w:r w:rsidR="00DA31DD" w:rsidRPr="00E84150">
        <w:tab/>
        <w:t>Jitlob lill-Kummissjoni terġa’ tirreferi l-kwistjoni lill-Parlament jekk tibdel il-proposta tagħha, temendaha b’mod sostanzjali jew ikollha l-ħsieb li temendaha b’mod sostanzjali;</w:t>
      </w:r>
    </w:p>
    <w:p w:rsidR="00DA31DD" w:rsidRPr="00E84150" w:rsidRDefault="00FE3A69" w:rsidP="00DA31DD">
      <w:pPr>
        <w:pStyle w:val="NormalHanging12a"/>
      </w:pPr>
      <w:r w:rsidRPr="00E84150">
        <w:t>4</w:t>
      </w:r>
      <w:r w:rsidR="00DA31DD" w:rsidRPr="00E84150">
        <w:t>.</w:t>
      </w:r>
      <w:r w:rsidR="00DA31DD" w:rsidRPr="00E84150">
        <w:tab/>
        <w:t>Jagħti istruzzjonijiet lill-President tiegħu biex tgħaddi l-pożizzjoni tal-Parlament lill-Kunsill u lill-Kummissjoni kif ukoll lill-parlamenti nazzjonali.</w:t>
      </w:r>
    </w:p>
    <w:p w:rsidR="009F428C" w:rsidRPr="00E84150" w:rsidRDefault="009F428C" w:rsidP="005F622E">
      <w:pPr>
        <w:sectPr w:rsidR="009F428C" w:rsidRPr="00E84150" w:rsidSect="00815CD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9F428C" w:rsidRPr="00E84150" w:rsidRDefault="009F428C" w:rsidP="009F428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84150">
        <w:rPr>
          <w:rFonts w:eastAsia="Calibri"/>
          <w:b/>
          <w:bCs/>
          <w:color w:val="000000"/>
          <w:szCs w:val="24"/>
        </w:rPr>
        <w:lastRenderedPageBreak/>
        <w:t>P9_TC1-COD(2024)0028</w:t>
      </w:r>
    </w:p>
    <w:p w:rsidR="00F9447D" w:rsidRDefault="009F428C" w:rsidP="009E1559">
      <w:pPr>
        <w:widowControl/>
        <w:spacing w:after="240"/>
        <w:jc w:val="both"/>
        <w:rPr>
          <w:rFonts w:eastAsia="Calibri"/>
          <w:b/>
          <w:noProof/>
          <w:color w:val="000000"/>
          <w:szCs w:val="22"/>
          <w:lang w:eastAsia="en-US"/>
        </w:rPr>
      </w:pPr>
      <w:r w:rsidRPr="00E84150">
        <w:rPr>
          <w:rFonts w:eastAsia="Calibri"/>
          <w:b/>
          <w:bCs/>
          <w:szCs w:val="24"/>
          <w:lang w:eastAsia="en-US"/>
        </w:rPr>
        <w:t>Pożizzjoni tal-Parlament Ewropew adottata fl-ewwel qari tat-</w:t>
      </w:r>
      <w:r w:rsidR="00F9447D" w:rsidRPr="00E84150">
        <w:rPr>
          <w:rFonts w:eastAsia="Calibri"/>
          <w:b/>
          <w:bCs/>
          <w:szCs w:val="24"/>
          <w:lang w:eastAsia="en-US"/>
        </w:rPr>
        <w:t>2</w:t>
      </w:r>
      <w:r w:rsidRPr="00E84150">
        <w:rPr>
          <w:rFonts w:eastAsia="Calibri"/>
          <w:b/>
          <w:bCs/>
          <w:szCs w:val="24"/>
          <w:lang w:eastAsia="en-US"/>
        </w:rPr>
        <w:t>3</w:t>
      </w:r>
      <w:r w:rsidRPr="00E84150">
        <w:rPr>
          <w:rFonts w:eastAsia="Calibri"/>
          <w:b/>
          <w:szCs w:val="24"/>
          <w:lang w:eastAsia="en-US"/>
        </w:rPr>
        <w:t xml:space="preserve"> </w:t>
      </w:r>
      <w:r w:rsidRPr="00E84150">
        <w:rPr>
          <w:rFonts w:eastAsia="Calibri"/>
          <w:b/>
          <w:bCs/>
          <w:szCs w:val="24"/>
          <w:lang w:eastAsia="en-US"/>
        </w:rPr>
        <w:t xml:space="preserve">ta' </w:t>
      </w:r>
      <w:r w:rsidR="00F9447D" w:rsidRPr="00E84150">
        <w:rPr>
          <w:rFonts w:eastAsia="Calibri"/>
          <w:b/>
          <w:bCs/>
          <w:szCs w:val="24"/>
          <w:lang w:eastAsia="en-US"/>
        </w:rPr>
        <w:t xml:space="preserve">April </w:t>
      </w:r>
      <w:r w:rsidRPr="00E84150">
        <w:rPr>
          <w:rFonts w:eastAsia="Calibri"/>
          <w:b/>
          <w:bCs/>
          <w:szCs w:val="24"/>
          <w:lang w:eastAsia="en-US"/>
        </w:rPr>
        <w:t xml:space="preserve">2024 bil-ħsieb tal-adozzjoni tar-Regolament (UE) 2024/... </w:t>
      </w:r>
      <w:r w:rsidRPr="00E84150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E84150">
        <w:rPr>
          <w:rFonts w:eastAsia="Calibri"/>
          <w:b/>
          <w:szCs w:val="22"/>
          <w:lang w:eastAsia="en-US"/>
        </w:rPr>
        <w:t xml:space="preserve"> </w:t>
      </w:r>
      <w:r w:rsidR="00F9447D" w:rsidRPr="00E84150">
        <w:rPr>
          <w:rFonts w:eastAsia="Calibri"/>
          <w:b/>
          <w:noProof/>
          <w:color w:val="000000"/>
          <w:szCs w:val="22"/>
          <w:lang w:eastAsia="en-US"/>
        </w:rPr>
        <w:t xml:space="preserve">dwar miżuri temporanji ta’ liberalizzazzjoni tal-kummerċ li jissupplimentaw il-konċessjonijiet kummerċjali applikabbli għall-prodotti Ukreni skont il-Ftehim ta’ Assoċjazzjoni bejn l-Unjoni Ewropea u l-Komunità Ewropea tal-Enerġija Atomika </w:t>
      </w:r>
      <w:bookmarkStart w:id="9" w:name="_GoBack"/>
      <w:bookmarkEnd w:id="9"/>
      <w:r w:rsidR="00F9447D" w:rsidRPr="00E84150">
        <w:rPr>
          <w:rFonts w:eastAsia="Calibri"/>
          <w:b/>
          <w:noProof/>
          <w:color w:val="000000"/>
          <w:szCs w:val="22"/>
          <w:lang w:eastAsia="en-US"/>
        </w:rPr>
        <w:t>u l-Istati Membri tagħhom, minn naħa waħda, u l-Ukrajna, min-naħa l-oħra</w:t>
      </w:r>
    </w:p>
    <w:p w:rsidR="009E1559" w:rsidRPr="009E1559" w:rsidRDefault="009E1559" w:rsidP="009E1559">
      <w:pPr>
        <w:rPr>
          <w:i/>
        </w:rPr>
      </w:pPr>
      <w:r w:rsidRPr="009E1559">
        <w:rPr>
          <w:i/>
        </w:rPr>
        <w:t>(Peress li ntlaħaq ftehim bejn il-Parlament u l-Kunsill, il-pożizzjoni tal-Parlament taqbel mal-att leġiżlattiv finali, ir-Regolament (UE) 2024/1392.)</w:t>
      </w:r>
    </w:p>
    <w:p w:rsidR="000150CF" w:rsidRDefault="000150CF">
      <w:pPr>
        <w:widowControl/>
      </w:pPr>
      <w:r>
        <w:br w:type="page"/>
      </w:r>
    </w:p>
    <w:p w:rsidR="009F428C" w:rsidRPr="00E84150" w:rsidRDefault="00F9447D" w:rsidP="00F9447D">
      <w:pPr>
        <w:jc w:val="right"/>
      </w:pPr>
      <w:r w:rsidRPr="00E84150">
        <w:lastRenderedPageBreak/>
        <w:t>ANNESS TAR-RIŻOLUZZJONI LEĠIŻLATTIVA</w:t>
      </w:r>
    </w:p>
    <w:p w:rsidR="00F9447D" w:rsidRPr="00E84150" w:rsidRDefault="00F9447D" w:rsidP="005F622E"/>
    <w:p w:rsidR="00F9447D" w:rsidRPr="00E84150" w:rsidRDefault="00F9447D" w:rsidP="00F9447D">
      <w:pPr>
        <w:spacing w:after="240"/>
        <w:jc w:val="center"/>
      </w:pPr>
      <w:r w:rsidRPr="00E84150">
        <w:rPr>
          <w:b/>
        </w:rPr>
        <w:t xml:space="preserve">Dikjarazzjoni mill-Kummissjoni dwar il-monitoraġġ tal-importazzjonijiet taċ-ċereali mill-Ukrajna fl-okkażjoni tal-adozzjoni tar-Regolament </w:t>
      </w:r>
      <w:r w:rsidR="009E1559">
        <w:rPr>
          <w:b/>
        </w:rPr>
        <w:t>(UE) 2024/1392</w:t>
      </w:r>
    </w:p>
    <w:p w:rsidR="00F9447D" w:rsidRPr="00E84150" w:rsidRDefault="00F9447D" w:rsidP="00F9447D">
      <w:pPr>
        <w:spacing w:after="240"/>
      </w:pPr>
      <w:r w:rsidRPr="00E84150">
        <w:t>Il-gwerra ta’ aggressjoni tar-Russja kontra l-Ukrajna fixklet il-ktajjen tal-provvista li kienu jeżistu. L-UE qed tipprovdi appoġġ lill-Ukrajna biex terġa’ tibda l-fluss normali taċ-ċereali u ta’ oġġetti oħra, speċjalment permezz tal-korsiji ta’ solidarjetà, u biex tiżgura li l-esportazzjonijiet taċ-ċereali jkunu jistgħu jaslu fid-destinazzjoni tagħhom, inkluż b’mod partikolari fi swieq terzi, biex tappoġġa s-sigurtà globali tal-ikel.</w:t>
      </w:r>
    </w:p>
    <w:p w:rsidR="00F9447D" w:rsidRPr="00E84150" w:rsidRDefault="00F9447D" w:rsidP="00F9447D">
      <w:pPr>
        <w:spacing w:after="240"/>
      </w:pPr>
      <w:r w:rsidRPr="00E84150">
        <w:t>Il-Kummissjoni hija impenjata li tgħin lill-Ukrajna filwaqt li tippreserva wkoll l-interess tal-produtturi taċ-ċereali tal-UE u tiżgura funzjonament xieraq tas-suq taċ-ċereali fl-UE.</w:t>
      </w:r>
    </w:p>
    <w:p w:rsidR="00F9447D" w:rsidRPr="00E84150" w:rsidRDefault="00F9447D" w:rsidP="00F9447D">
      <w:pPr>
        <w:spacing w:after="240"/>
      </w:pPr>
      <w:r w:rsidRPr="00E84150">
        <w:t>Minħabba l-importanza tal-produzzjoni taċ-ċereali u s-swieq taċ-ċereali, il-Kummissjoni se tagħti attenzjoni partikolari lill-monitoraġġ tal-importazzjonijiet taċ-ċereali, b’mod partikolari l-qamħ, u speċjalment lill-konċentrazzjoni ta’ tali importazzjonijiet fl-Istati Membri ġirien tal-Ukrajna. Fid-djalogu regolari tagħha mal-Ukrajna, il-Kummissjoni se tindirizza kwalunkwe kwistjoni li tirriżulta mill-monitoraġġ. Il-Kummissjoni tfakkar li l-importazzjonijiet mill-Ukrajna jistgħu jkunu soġġetti għal sorveljanza skont il-Kapitolu IV tar-Regolament (UE) 2015/478 tal-Parlament Ewropew u tal-Kunsill tal-11 ta’ Marzu 2015 dwar ir-regoli komuni għall-importazzjonijiet, li tista’ tkun fil-forma ta’ liċenzjar tal-importazzjoni, jekk ix-xejra fl-importazzjonijiet thedded li tikkawża dannu lill-produtturi tal-Unjoni u jekk l-interessi tal-Unjoni jirrikjedu dan. F’dan ir-rigward, il-Kummissjoni se tuża l-għodod għad-dispożizzjoni tagħha f’każ ta’ bżonn. Il-Kummissjoni se tkompli tirrapporta regolarment lill-Istati Membri dwar l-eżiti tad-djalogu regolari mal-Ukrajna.</w:t>
      </w:r>
    </w:p>
    <w:p w:rsidR="00F9447D" w:rsidRPr="00E84150" w:rsidRDefault="00F9447D" w:rsidP="00F9447D">
      <w:pPr>
        <w:spacing w:after="240"/>
      </w:pPr>
      <w:r w:rsidRPr="00E84150">
        <w:t xml:space="preserve">Għall-prodotti koperti mill-miżuri kummerċjali awtonomi, il-Kummissjoni tfakkar li r-Regolament jipprevedi wkoll mekkaniżmu ta’ salvagwardja msaħħaħ. Għall-ewwel darba, il-Kummissjoni introduċiet il-possibbiltà u hija lesta li tattiva dan il-mekkaniżmu f’każ ta’ effetti avversi fuq is-suq ta’ Stat Membru wieħed jew aktar u mhux biss għas-suq tal-UE kollu kemm hu. F’dan ir-rigward, il-Kummissjoni se tuża bis-sħiħ is-setgħat tagħha biex tibda ex officio l-mekkaniżmu ta’ salvagwardja msaħħaħ għall-importazzjonijiet tal-qamħ mill-Ukrajna. </w:t>
      </w:r>
    </w:p>
    <w:p w:rsidR="00F9447D" w:rsidRPr="00E84150" w:rsidRDefault="00F9447D" w:rsidP="00F9447D">
      <w:pPr>
        <w:spacing w:after="240"/>
      </w:pPr>
      <w:r w:rsidRPr="00E84150">
        <w:t>Il-Kummissjoni tfakkar li fl-2022 u fl-2023 hija adottat miżuri biex tappoġġa lill-bdiewa Ewropej fl-Istati Membri kollha, b’mod partikolari fl-Istati Membri ġirien tal-Ukrajna.</w:t>
      </w:r>
    </w:p>
    <w:p w:rsidR="00F9447D" w:rsidRPr="00E84150" w:rsidRDefault="00F9447D" w:rsidP="00F9447D">
      <w:pPr>
        <w:spacing w:after="240"/>
      </w:pPr>
      <w:r w:rsidRPr="00E84150">
        <w:br w:type="page"/>
      </w:r>
    </w:p>
    <w:p w:rsidR="00F9447D" w:rsidRPr="00E84150" w:rsidRDefault="00F9447D" w:rsidP="00F9447D">
      <w:pPr>
        <w:widowControl/>
        <w:spacing w:before="360" w:after="120"/>
        <w:jc w:val="center"/>
        <w:rPr>
          <w:b/>
          <w:bCs/>
          <w:szCs w:val="24"/>
          <w:lang w:eastAsia="en-US"/>
        </w:rPr>
      </w:pPr>
      <w:r w:rsidRPr="00E84150">
        <w:rPr>
          <w:rFonts w:eastAsia="Calibri"/>
          <w:b/>
          <w:szCs w:val="24"/>
          <w:lang w:eastAsia="en-US"/>
        </w:rPr>
        <w:lastRenderedPageBreak/>
        <w:t>Dikjarazzjoni mill-Kummissjoni dwar il-</w:t>
      </w:r>
      <w:r w:rsidR="008E32BF" w:rsidRPr="00E84150">
        <w:rPr>
          <w:rFonts w:eastAsia="Calibri"/>
          <w:b/>
          <w:szCs w:val="24"/>
          <w:lang w:eastAsia="en-US"/>
        </w:rPr>
        <w:t xml:space="preserve">Proċess </w:t>
      </w:r>
      <w:r w:rsidRPr="00E84150">
        <w:rPr>
          <w:rFonts w:eastAsia="Calibri"/>
          <w:b/>
          <w:szCs w:val="24"/>
          <w:lang w:eastAsia="en-US"/>
        </w:rPr>
        <w:t xml:space="preserve">ta’ </w:t>
      </w:r>
      <w:r w:rsidR="008E32BF" w:rsidRPr="00E84150">
        <w:rPr>
          <w:rFonts w:eastAsia="Calibri"/>
          <w:b/>
          <w:szCs w:val="24"/>
          <w:lang w:eastAsia="en-US"/>
        </w:rPr>
        <w:t>R</w:t>
      </w:r>
      <w:r w:rsidRPr="00E84150">
        <w:rPr>
          <w:rFonts w:eastAsia="Calibri"/>
          <w:b/>
          <w:szCs w:val="24"/>
          <w:lang w:eastAsia="en-US"/>
        </w:rPr>
        <w:t xml:space="preserve">ieżami skont l-Artikolu 29 tal-Ftehim ta’ Assoċjazzjoni fl-okkażjoni tal-adozzjoni tar-Regolament </w:t>
      </w:r>
      <w:r w:rsidR="00BF0ED5">
        <w:rPr>
          <w:rFonts w:eastAsia="Calibri"/>
          <w:b/>
          <w:szCs w:val="24"/>
          <w:lang w:eastAsia="en-US"/>
        </w:rPr>
        <w:t xml:space="preserve">(UE) </w:t>
      </w:r>
      <w:r w:rsidRPr="00E84150">
        <w:rPr>
          <w:rFonts w:eastAsia="Calibri"/>
          <w:b/>
          <w:szCs w:val="24"/>
          <w:lang w:eastAsia="en-US"/>
        </w:rPr>
        <w:t>2024/</w:t>
      </w:r>
      <w:r w:rsidR="00BF0ED5">
        <w:rPr>
          <w:rFonts w:eastAsia="Calibri"/>
          <w:b/>
          <w:szCs w:val="24"/>
          <w:lang w:eastAsia="en-US"/>
        </w:rPr>
        <w:t>1392</w:t>
      </w:r>
    </w:p>
    <w:p w:rsidR="00F9447D" w:rsidRPr="00E84150" w:rsidRDefault="00F9447D" w:rsidP="00F9447D">
      <w:pPr>
        <w:widowControl/>
        <w:spacing w:before="360" w:after="120"/>
        <w:jc w:val="both"/>
      </w:pPr>
      <w:r w:rsidRPr="00E84150">
        <w:t>Il-Kummissjoni tikkonferma li, hekk kif il-miżuri kummerċjali awtonomi l-ġodda jiġu adottati mill-koleġiżlaturi, hija se tieħu l-passi meħtieġa skont l-Artikolu 29 tal-Ftehim ta’ Assoċjazzjoni biex issegwi, permezz ta’ konsultazzjonijiet mal-Ukrajna, il-proċess ta’ liberalizzazzjoni reċiproka tat-tariffi.</w:t>
      </w:r>
    </w:p>
    <w:p w:rsidR="00F9447D" w:rsidRPr="00E84150" w:rsidRDefault="00F9447D" w:rsidP="00F9447D">
      <w:pPr>
        <w:widowControl/>
        <w:spacing w:before="360" w:after="120"/>
        <w:jc w:val="both"/>
      </w:pPr>
      <w:r w:rsidRPr="00E84150">
        <w:t>Il-Kummissjoni se tinvolvi mill-qrib lill-Parlament Ewropew u se żżommu aġġornat dwar il-progress ta’ dawk il-konsultazzjonijiet mal-Ukrajna. Il-Kummissjoni se tagħti l-kunsiderazzjoni dovuta lill-kummenti possibbli tal-Parlament Ewropew f’dan ir-rigward.</w:t>
      </w:r>
    </w:p>
    <w:p w:rsidR="00F9447D" w:rsidRPr="00E84150" w:rsidRDefault="00F9447D" w:rsidP="00F9447D">
      <w:pPr>
        <w:widowControl/>
        <w:spacing w:before="360" w:after="120"/>
        <w:jc w:val="both"/>
      </w:pPr>
      <w:r w:rsidRPr="00E84150">
        <w:t>Il-Kummissjoni tfakkar li dawn il-modalitajiet ta’ ħidma ma jikkostitwixxux preċedent għal klawżoli ta’ rieżami fi kwalunkwe ftehim ieħor u ma jiddevjawx mill-Artikolu 218 TFUE.</w:t>
      </w:r>
    </w:p>
    <w:p w:rsidR="00F9447D" w:rsidRPr="00F9447D" w:rsidRDefault="00F9447D" w:rsidP="00F9447D">
      <w:pPr>
        <w:widowControl/>
        <w:spacing w:before="360" w:after="120"/>
        <w:jc w:val="both"/>
      </w:pPr>
      <w:bookmarkStart w:id="10" w:name="_Hlk162345814"/>
      <w:r w:rsidRPr="00E84150">
        <w:t>Ir-riżultat ta’ dan il-proċess se jipprovdi ċertezza ekonomika u kummerċ stabbli kemm għall-Ukrajna kif ukoll għall-UE, għall-bdiewa u għan-negozji. Dan se jkun ukoll pass importanti għar-rikostruzzjoni tal-Ukrajna u għall-integrazzjoni ulterjuri fis-suq intern tal-UE, bħala parti mill-adeżjoni futura tal-pajjiż mal-Unjoni.</w:t>
      </w:r>
      <w:bookmarkEnd w:id="10"/>
    </w:p>
    <w:p w:rsidR="00F9447D" w:rsidRPr="00815CDA" w:rsidRDefault="00F9447D" w:rsidP="005F622E"/>
    <w:sectPr w:rsidR="00F9447D" w:rsidRPr="00815CDA" w:rsidSect="00815C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22E" w:rsidRPr="00815CDA" w:rsidRDefault="005F622E">
      <w:r w:rsidRPr="00815CDA">
        <w:separator/>
      </w:r>
    </w:p>
  </w:endnote>
  <w:endnote w:type="continuationSeparator" w:id="0">
    <w:p w:rsidR="005F622E" w:rsidRPr="00815CDA" w:rsidRDefault="005F622E">
      <w:r w:rsidRPr="00815C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22E" w:rsidRPr="00815CDA" w:rsidRDefault="005F622E">
      <w:r w:rsidRPr="00815CDA">
        <w:separator/>
      </w:r>
    </w:p>
  </w:footnote>
  <w:footnote w:type="continuationSeparator" w:id="0">
    <w:p w:rsidR="005F622E" w:rsidRPr="00815CDA" w:rsidRDefault="005F622E">
      <w:r w:rsidRPr="00815CD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MT"/>
    <w:docVar w:name="dvnumam" w:val="26"/>
    <w:docVar w:name="dvpe" w:val="758.861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miżuri temporanji ta’ liberalizzazzjoni tal-kummerċ li jissupplimentaw il-konċessjonijiet kummerċjali applikabbli għall-prodotti Ukreni skont il-Ftehim ta’ Assoċjazzjoni bejn l-Unjoni Ewropea u l-Komunità Ewropea tal-Enerġija Atomika u l-Istati Membri tagħhom, minn naħa waħda, u l-Ukrajna, min-naħa l-oħra(COM(2024)0050 – C9-0021/2024 – 2024/0028(COD))"/>
  </w:docVars>
  <w:rsids>
    <w:rsidRoot w:val="005F622E"/>
    <w:rsid w:val="00002272"/>
    <w:rsid w:val="000150CF"/>
    <w:rsid w:val="00064002"/>
    <w:rsid w:val="000677B9"/>
    <w:rsid w:val="000831BA"/>
    <w:rsid w:val="000A42CC"/>
    <w:rsid w:val="000E7DD9"/>
    <w:rsid w:val="0010095E"/>
    <w:rsid w:val="00125B37"/>
    <w:rsid w:val="00187494"/>
    <w:rsid w:val="001E1EF1"/>
    <w:rsid w:val="001F32AE"/>
    <w:rsid w:val="00212D03"/>
    <w:rsid w:val="002153A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622E"/>
    <w:rsid w:val="006037C0"/>
    <w:rsid w:val="006375A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CDA"/>
    <w:rsid w:val="00817416"/>
    <w:rsid w:val="00842779"/>
    <w:rsid w:val="00865F67"/>
    <w:rsid w:val="00881A7B"/>
    <w:rsid w:val="008840E5"/>
    <w:rsid w:val="00887B3E"/>
    <w:rsid w:val="008C2AC6"/>
    <w:rsid w:val="008E32BF"/>
    <w:rsid w:val="00930C23"/>
    <w:rsid w:val="0093193B"/>
    <w:rsid w:val="009509D8"/>
    <w:rsid w:val="00950B64"/>
    <w:rsid w:val="00981893"/>
    <w:rsid w:val="009E1559"/>
    <w:rsid w:val="009F428C"/>
    <w:rsid w:val="00A1687D"/>
    <w:rsid w:val="00A43E52"/>
    <w:rsid w:val="00A4678D"/>
    <w:rsid w:val="00A778C7"/>
    <w:rsid w:val="00AA159B"/>
    <w:rsid w:val="00AB441E"/>
    <w:rsid w:val="00AB6293"/>
    <w:rsid w:val="00AE0928"/>
    <w:rsid w:val="00AF3B82"/>
    <w:rsid w:val="00B12E95"/>
    <w:rsid w:val="00B22876"/>
    <w:rsid w:val="00B558F0"/>
    <w:rsid w:val="00B8055E"/>
    <w:rsid w:val="00BD48FE"/>
    <w:rsid w:val="00BD7BD8"/>
    <w:rsid w:val="00BE6ADC"/>
    <w:rsid w:val="00BF0ED5"/>
    <w:rsid w:val="00C05BFE"/>
    <w:rsid w:val="00C23CD4"/>
    <w:rsid w:val="00C61C0C"/>
    <w:rsid w:val="00C70CB3"/>
    <w:rsid w:val="00C941CB"/>
    <w:rsid w:val="00CC2357"/>
    <w:rsid w:val="00CF071A"/>
    <w:rsid w:val="00D058B8"/>
    <w:rsid w:val="00D56C11"/>
    <w:rsid w:val="00D834A0"/>
    <w:rsid w:val="00D872DF"/>
    <w:rsid w:val="00D91E21"/>
    <w:rsid w:val="00DA31DD"/>
    <w:rsid w:val="00DA7FCD"/>
    <w:rsid w:val="00E365E1"/>
    <w:rsid w:val="00E820A4"/>
    <w:rsid w:val="00E8415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47D"/>
    <w:rsid w:val="00FB3CC1"/>
    <w:rsid w:val="00FB4360"/>
    <w:rsid w:val="00FD0C70"/>
    <w:rsid w:val="00FE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8043-F1B2-403A-8F33-D3323A31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31DD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DA31DD"/>
    <w:rPr>
      <w:b/>
    </w:rPr>
  </w:style>
  <w:style w:type="paragraph" w:customStyle="1" w:styleId="NormalHanging12a">
    <w:name w:val="NormalHanging12a"/>
    <w:basedOn w:val="Normal"/>
    <w:rsid w:val="00DA31DD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DA31DD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9F42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428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5DA92-C17F-4083-8D32-1DF147B2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762</Words>
  <Characters>6215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2024-09-10T12:42:00Z</dcterms:created>
  <dcterms:modified xsi:type="dcterms:W3CDTF">2024-10-15T14:33:00Z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P9_TA(2024)0304_</vt:lpwstr>
  </property>
  <property fmtid="{D5CDD505-2E9C-101B-9397-08002B2CF9AE}" pid="4" name="&lt;Type&gt;">
    <vt:lpwstr>RR</vt:lpwstr>
  </property>
</Properties>
</file>