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8221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82217" w:rsidRDefault="00407226" w:rsidP="0010095E">
            <w:pPr>
              <w:pStyle w:val="EPName"/>
            </w:pPr>
            <w:r w:rsidRPr="00382217">
              <w:t>Parlament Europejski</w:t>
            </w:r>
          </w:p>
          <w:p w:rsidR="00751A4A" w:rsidRPr="0038221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8221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82217" w:rsidRDefault="00187494" w:rsidP="0010095E">
            <w:pPr>
              <w:pStyle w:val="EPLogo"/>
            </w:pPr>
            <w:r w:rsidRPr="00382217">
              <w:rPr>
                <w:noProof/>
                <w:lang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82217" w:rsidRDefault="00D058B8" w:rsidP="004C5D52">
      <w:pPr>
        <w:pStyle w:val="LineTop"/>
      </w:pPr>
    </w:p>
    <w:p w:rsidR="00680577" w:rsidRPr="00382217" w:rsidRDefault="00407226" w:rsidP="00680577">
      <w:pPr>
        <w:pStyle w:val="EPBodyTA1"/>
      </w:pPr>
      <w:r w:rsidRPr="00382217">
        <w:t>TEKSTY PRZYJĘTE</w:t>
      </w:r>
    </w:p>
    <w:p w:rsidR="00D058B8" w:rsidRPr="00382217" w:rsidRDefault="00D058B8" w:rsidP="00D058B8">
      <w:pPr>
        <w:pStyle w:val="LineBottom"/>
      </w:pPr>
    </w:p>
    <w:p w:rsidR="00407226" w:rsidRPr="00382217" w:rsidRDefault="00407226" w:rsidP="00407226">
      <w:pPr>
        <w:pStyle w:val="ATHeading1"/>
      </w:pPr>
      <w:bookmarkStart w:id="0" w:name="TANumber"/>
      <w:r w:rsidRPr="00382217">
        <w:t>P9_TA(2024)0</w:t>
      </w:r>
      <w:bookmarkEnd w:id="0"/>
      <w:r w:rsidR="00767C63">
        <w:t>304</w:t>
      </w:r>
    </w:p>
    <w:p w:rsidR="00407226" w:rsidRPr="00382217" w:rsidRDefault="0001667D" w:rsidP="0001667D">
      <w:pPr>
        <w:pStyle w:val="ATHeading2"/>
      </w:pPr>
      <w:r>
        <w:t>Środki tymczasowej liberalizacji handlu będące uzupełnieniem koncesji handlowych mających zastosowanie do ukraińskich produktów na podstawie Układu o stowarzyszeniu między UE i Europejską Wspólnotą Energii Atomowej a Ukrainą</w:t>
      </w:r>
    </w:p>
    <w:p w:rsidR="00407226" w:rsidRPr="00382217" w:rsidRDefault="00407226" w:rsidP="00407226">
      <w:pPr>
        <w:rPr>
          <w:i/>
          <w:vanish/>
        </w:rPr>
      </w:pPr>
      <w:r w:rsidRPr="00382217">
        <w:rPr>
          <w:i/>
        </w:rPr>
        <w:fldChar w:fldCharType="begin"/>
      </w:r>
      <w:r w:rsidRPr="00382217">
        <w:rPr>
          <w:i/>
        </w:rPr>
        <w:instrText xml:space="preserve"> TC"(</w:instrText>
      </w:r>
      <w:bookmarkStart w:id="1" w:name="DocNumber"/>
      <w:r w:rsidRPr="00382217">
        <w:rPr>
          <w:i/>
        </w:rPr>
        <w:instrText>A9-0077/2024</w:instrText>
      </w:r>
      <w:bookmarkEnd w:id="1"/>
      <w:r w:rsidRPr="00382217">
        <w:rPr>
          <w:i/>
        </w:rPr>
        <w:instrText xml:space="preserve"> - Sprawozdawca: Sandra </w:instrText>
      </w:r>
      <w:proofErr w:type="spellStart"/>
      <w:r w:rsidRPr="00382217">
        <w:rPr>
          <w:i/>
        </w:rPr>
        <w:instrText>Kalniete</w:instrText>
      </w:r>
      <w:proofErr w:type="spellEnd"/>
      <w:proofErr w:type="gramStart"/>
      <w:r w:rsidRPr="00382217">
        <w:rPr>
          <w:i/>
        </w:rPr>
        <w:instrText>)"\l</w:instrText>
      </w:r>
      <w:proofErr w:type="gramEnd"/>
      <w:r w:rsidRPr="00382217">
        <w:rPr>
          <w:i/>
        </w:rPr>
        <w:instrText xml:space="preserve">3 \n&gt; \* MERGEFORMAT </w:instrText>
      </w:r>
      <w:r w:rsidRPr="00382217">
        <w:rPr>
          <w:i/>
        </w:rPr>
        <w:fldChar w:fldCharType="end"/>
      </w:r>
    </w:p>
    <w:p w:rsidR="00407226" w:rsidRPr="00382217" w:rsidRDefault="00407226" w:rsidP="00407226">
      <w:pPr>
        <w:rPr>
          <w:vanish/>
        </w:rPr>
      </w:pPr>
      <w:bookmarkStart w:id="2" w:name="Commission"/>
      <w:r w:rsidRPr="00382217">
        <w:rPr>
          <w:vanish/>
        </w:rPr>
        <w:t>Komisja Handlu Międzynarodowego</w:t>
      </w:r>
      <w:bookmarkEnd w:id="2"/>
    </w:p>
    <w:p w:rsidR="00407226" w:rsidRPr="00382217" w:rsidRDefault="00407226" w:rsidP="00407226">
      <w:pPr>
        <w:rPr>
          <w:vanish/>
        </w:rPr>
      </w:pPr>
      <w:bookmarkStart w:id="3" w:name="PE"/>
      <w:r w:rsidRPr="00382217">
        <w:rPr>
          <w:vanish/>
        </w:rPr>
        <w:t>PE758.861</w:t>
      </w:r>
      <w:bookmarkEnd w:id="3"/>
    </w:p>
    <w:p w:rsidR="00407226" w:rsidRPr="00382217" w:rsidRDefault="00407226" w:rsidP="00407226">
      <w:pPr>
        <w:pStyle w:val="ATHeading3"/>
      </w:pPr>
      <w:bookmarkStart w:id="4" w:name="Sujet"/>
      <w:r w:rsidRPr="00382217">
        <w:t xml:space="preserve">Rezolucja ustawodawcza Parlamentu Europejskiego z dnia </w:t>
      </w:r>
      <w:r w:rsidR="0001667D">
        <w:t>23</w:t>
      </w:r>
      <w:r w:rsidRPr="00382217">
        <w:t xml:space="preserve"> </w:t>
      </w:r>
      <w:r w:rsidR="000408F8">
        <w:t xml:space="preserve">kwietnia </w:t>
      </w:r>
      <w:r w:rsidRPr="00382217">
        <w:t>2024 r. w sprawie wniosku dotyczącego rozporządzenia Parlamentu Europejskiego i Rady w sprawie środków tymczasowej liberalizacji handlu będących uzupełnieniem koncesji handlowych mających zastosowanie do ukraińskich produktów na podstawie Układu o stowarzyszeniu między Unią Europejską i Europejską Wspólnotą Energii Atomowej oraz ich państwami członkowskimi, z jednej strony, a Ukrainą, z drugiej strony</w:t>
      </w:r>
      <w:bookmarkEnd w:id="4"/>
      <w:r w:rsidRPr="00382217">
        <w:t xml:space="preserve"> </w:t>
      </w:r>
      <w:bookmarkStart w:id="5" w:name="References"/>
      <w:r w:rsidRPr="00382217">
        <w:t>(COM</w:t>
      </w:r>
      <w:proofErr w:type="gramStart"/>
      <w:r w:rsidRPr="00382217">
        <w:t>(2024)0050 – C</w:t>
      </w:r>
      <w:proofErr w:type="gramEnd"/>
      <w:r w:rsidRPr="00382217">
        <w:t>9-0021/2024 – 2024/0028(COD))</w:t>
      </w:r>
      <w:bookmarkEnd w:id="5"/>
    </w:p>
    <w:p w:rsidR="00E73CA9" w:rsidRPr="00382217" w:rsidRDefault="00E73CA9" w:rsidP="00E73CA9">
      <w:pPr>
        <w:pStyle w:val="NormalBold"/>
      </w:pPr>
      <w:bookmarkStart w:id="6" w:name="TextBodyBegin"/>
      <w:bookmarkEnd w:id="6"/>
      <w:r w:rsidRPr="00382217">
        <w:t>(Zwykła procedura ustawodawcza: pierwsze czytanie)</w:t>
      </w:r>
    </w:p>
    <w:p w:rsidR="00E73CA9" w:rsidRPr="00382217" w:rsidRDefault="00E73CA9" w:rsidP="00E73CA9">
      <w:pPr>
        <w:pStyle w:val="EPComma"/>
      </w:pPr>
      <w:r w:rsidRPr="00382217">
        <w:rPr>
          <w:i/>
          <w:iCs/>
        </w:rPr>
        <w:t>Parlament Europejski</w:t>
      </w:r>
      <w:r w:rsidRPr="00382217">
        <w:t>,</w:t>
      </w:r>
    </w:p>
    <w:p w:rsidR="00E73CA9" w:rsidRPr="00382217" w:rsidRDefault="006845B1" w:rsidP="00E73CA9">
      <w:pPr>
        <w:pStyle w:val="NormalHanging12a"/>
      </w:pPr>
      <w:r w:rsidRPr="00382217">
        <w:t>–</w:t>
      </w:r>
      <w:r w:rsidRPr="00382217">
        <w:tab/>
      </w:r>
      <w:r w:rsidR="00E73CA9" w:rsidRPr="00382217">
        <w:t>uwzględniając wniosek Komisji przedstawiony Parlamentowi Europejskiemu i Radzie (COM(2024)0050),</w:t>
      </w:r>
    </w:p>
    <w:p w:rsidR="00E73CA9" w:rsidRPr="00382217" w:rsidRDefault="00E73CA9" w:rsidP="00E73CA9">
      <w:pPr>
        <w:pStyle w:val="NormalHanging12a"/>
      </w:pPr>
      <w:r w:rsidRPr="00382217">
        <w:t>–</w:t>
      </w:r>
      <w:r w:rsidRPr="00382217">
        <w:tab/>
        <w:t>uwzględniając art. 294 ust. 2 i art. 207 ust. 2 Traktatu o funkcjonowaniu Unii Europejskiej, zgodnie z którymi wniosek został przedstawiony Parlamentowi przez Komisję (C9-0021/2024),</w:t>
      </w:r>
    </w:p>
    <w:p w:rsidR="00E73CA9" w:rsidRPr="00382217" w:rsidRDefault="00E73CA9" w:rsidP="00E73CA9">
      <w:pPr>
        <w:pStyle w:val="NormalHanging12a"/>
      </w:pPr>
      <w:r w:rsidRPr="00382217">
        <w:t>–</w:t>
      </w:r>
      <w:r w:rsidRPr="00382217">
        <w:tab/>
        <w:t>uwzględniając art. 294 ust. 3 Traktatu o funkcjonowaniu Unii Europejskiej,</w:t>
      </w:r>
    </w:p>
    <w:p w:rsidR="004C494B" w:rsidRDefault="004C494B" w:rsidP="004C494B">
      <w:pPr>
        <w:pStyle w:val="Normal12Hanging"/>
        <w:ind w:left="567" w:hanging="567"/>
      </w:pPr>
      <w:r w:rsidRPr="0090212C">
        <w:t>–</w:t>
      </w:r>
      <w:r w:rsidRPr="0090212C">
        <w:tab/>
        <w:t xml:space="preserve">uwzględniając wstępne porozumienie zatwierdzone przez komisję </w:t>
      </w:r>
      <w:r>
        <w:t xml:space="preserve">przedmiotowo właściwą </w:t>
      </w:r>
      <w:r w:rsidRPr="0090212C">
        <w:t xml:space="preserve">na podstawie art. </w:t>
      </w:r>
      <w:r>
        <w:t>74</w:t>
      </w:r>
      <w:r w:rsidRPr="0090212C">
        <w:t xml:space="preserve"> ust. 4 Regulaminu oraz </w:t>
      </w:r>
      <w:r>
        <w:t>przekazane pismem z dnia 8 kwietnia 2024 r</w:t>
      </w:r>
      <w:r w:rsidR="006845B1">
        <w:t>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>, zgodnie z art. 294 ust. 4 Traktatu o funkcjonowaniu Unii Europejskiej,</w:t>
      </w:r>
    </w:p>
    <w:p w:rsidR="00E73CA9" w:rsidRPr="00382217" w:rsidRDefault="00E73CA9" w:rsidP="00E73CA9">
      <w:pPr>
        <w:pStyle w:val="NormalHanging12a"/>
      </w:pPr>
      <w:r w:rsidRPr="00382217">
        <w:t>–</w:t>
      </w:r>
      <w:r w:rsidRPr="00382217">
        <w:tab/>
        <w:t>uwzględniając art. 59 Regulaminu,</w:t>
      </w:r>
    </w:p>
    <w:p w:rsidR="00E73CA9" w:rsidRPr="00382217" w:rsidRDefault="00E73CA9" w:rsidP="00E73CA9">
      <w:pPr>
        <w:pStyle w:val="NormalHanging12a"/>
      </w:pPr>
      <w:r w:rsidRPr="00382217">
        <w:t>–</w:t>
      </w:r>
      <w:r w:rsidRPr="00382217">
        <w:tab/>
        <w:t>uwzględniając opinię przedstawioną przez Komisję Rolnictwa i Rozwoju Wsi,</w:t>
      </w:r>
    </w:p>
    <w:p w:rsidR="00E73CA9" w:rsidRPr="00382217" w:rsidRDefault="00E73CA9" w:rsidP="00E73CA9">
      <w:pPr>
        <w:pStyle w:val="NormalHanging12a"/>
      </w:pPr>
      <w:r w:rsidRPr="00382217">
        <w:t>–</w:t>
      </w:r>
      <w:r w:rsidRPr="00382217">
        <w:tab/>
        <w:t>uwzględniając sprawozdanie Komisji Handlu Międzynarodowego (A9-0077/2024),</w:t>
      </w:r>
    </w:p>
    <w:p w:rsidR="00E73CA9" w:rsidRDefault="00E73CA9" w:rsidP="00E73CA9">
      <w:pPr>
        <w:pStyle w:val="NormalHanging12a"/>
      </w:pPr>
      <w:r w:rsidRPr="00382217">
        <w:lastRenderedPageBreak/>
        <w:t>1.</w:t>
      </w:r>
      <w:r w:rsidRPr="00382217">
        <w:tab/>
      </w:r>
      <w:proofErr w:type="gramStart"/>
      <w:r w:rsidRPr="00382217">
        <w:t>zatwierdza</w:t>
      </w:r>
      <w:proofErr w:type="gramEnd"/>
      <w:r w:rsidRPr="00382217">
        <w:t xml:space="preserve"> </w:t>
      </w:r>
      <w:r w:rsidR="004C494B">
        <w:t>poniższe</w:t>
      </w:r>
      <w:r w:rsidRPr="00382217">
        <w:t xml:space="preserve"> s</w:t>
      </w:r>
      <w:r w:rsidR="004C494B">
        <w:t>tanowisko w pierwszym czytaniu</w:t>
      </w:r>
      <w:r w:rsidRPr="00382217">
        <w:t>;</w:t>
      </w:r>
    </w:p>
    <w:p w:rsidR="004C494B" w:rsidRPr="00382217" w:rsidRDefault="004C494B" w:rsidP="00E73CA9">
      <w:pPr>
        <w:pStyle w:val="NormalHanging12a"/>
      </w:pPr>
      <w:r>
        <w:t>2.</w:t>
      </w:r>
      <w:r>
        <w:tab/>
      </w:r>
      <w:proofErr w:type="gramStart"/>
      <w:r w:rsidRPr="004C494B">
        <w:t>przyjmuje</w:t>
      </w:r>
      <w:proofErr w:type="gramEnd"/>
      <w:r w:rsidRPr="004C494B">
        <w:t xml:space="preserve"> do wiadomości oświadczenia Komisji załączone do niniejszej rezolucji, które zostaną opublikowane w serii C </w:t>
      </w:r>
      <w:r w:rsidRPr="00C8492C">
        <w:rPr>
          <w:i/>
        </w:rPr>
        <w:t>Dziennika Urzędowego Unii Europejskiej</w:t>
      </w:r>
      <w:r w:rsidRPr="004C494B">
        <w:t>;</w:t>
      </w:r>
    </w:p>
    <w:p w:rsidR="00E73CA9" w:rsidRPr="00382217" w:rsidRDefault="004C494B" w:rsidP="00E73CA9">
      <w:pPr>
        <w:pStyle w:val="NormalHanging12a"/>
      </w:pPr>
      <w:r>
        <w:t>3</w:t>
      </w:r>
      <w:r w:rsidR="00E73CA9" w:rsidRPr="00382217">
        <w:t>.</w:t>
      </w:r>
      <w:r w:rsidR="00E73CA9" w:rsidRPr="00382217">
        <w:tab/>
      </w:r>
      <w:proofErr w:type="gramStart"/>
      <w:r w:rsidR="00E73CA9" w:rsidRPr="00382217">
        <w:t>zwraca</w:t>
      </w:r>
      <w:proofErr w:type="gramEnd"/>
      <w:r w:rsidR="00E73CA9" w:rsidRPr="00382217">
        <w:t xml:space="preserve"> się do Komisji o ponowne przekazanie mu sprawy, jeśli zastąpi ona pierwotny wniosek, wprowadzi w nim istotne zmiany lub planuje ich wprowadzenie;</w:t>
      </w:r>
    </w:p>
    <w:p w:rsidR="004C494B" w:rsidRDefault="004C494B" w:rsidP="00E73CA9">
      <w:pPr>
        <w:pStyle w:val="NormalHanging12a"/>
      </w:pPr>
      <w:r>
        <w:t>4</w:t>
      </w:r>
      <w:r w:rsidR="00E73CA9" w:rsidRPr="00382217">
        <w:t>.</w:t>
      </w:r>
      <w:r w:rsidR="00E73CA9" w:rsidRPr="00382217">
        <w:tab/>
      </w:r>
      <w:proofErr w:type="gramStart"/>
      <w:r w:rsidR="00E73CA9" w:rsidRPr="00382217">
        <w:t>zobowiązuje</w:t>
      </w:r>
      <w:proofErr w:type="gramEnd"/>
      <w:r w:rsidR="00E73CA9" w:rsidRPr="00382217">
        <w:t xml:space="preserve"> swoją przewodniczącą do przekazania stanowiska Parlamentu Radzie i Komisji oraz parlamentom narodowym.</w:t>
      </w:r>
      <w:r w:rsidR="00045FE0">
        <w:t xml:space="preserve"> </w:t>
      </w:r>
    </w:p>
    <w:p w:rsidR="00045FE0" w:rsidRDefault="00045FE0" w:rsidP="00E73CA9">
      <w:pPr>
        <w:pStyle w:val="NormalHanging12a"/>
        <w:sectPr w:rsidR="00045FE0" w:rsidSect="0038221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4C494B" w:rsidRPr="00C8492C" w:rsidRDefault="004C494B" w:rsidP="004C494B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C8492C">
        <w:rPr>
          <w:b/>
          <w:bCs/>
          <w:color w:val="000000"/>
        </w:rPr>
        <w:lastRenderedPageBreak/>
        <w:t>P9_TC1-COD(2024)0028</w:t>
      </w:r>
    </w:p>
    <w:p w:rsidR="004C494B" w:rsidRDefault="004C494B" w:rsidP="004C494B">
      <w:pPr>
        <w:autoSpaceDE w:val="0"/>
        <w:autoSpaceDN w:val="0"/>
        <w:adjustRightInd w:val="0"/>
        <w:spacing w:before="120" w:after="120"/>
        <w:rPr>
          <w:rFonts w:eastAsia="Calibri"/>
          <w:b/>
          <w:noProof/>
          <w:szCs w:val="22"/>
          <w:lang w:eastAsia="en-US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>
        <w:rPr>
          <w:b/>
        </w:rPr>
        <w:t>2</w:t>
      </w:r>
      <w:r w:rsidR="00C8492C">
        <w:rPr>
          <w:b/>
        </w:rPr>
        <w:t>3</w:t>
      </w:r>
      <w:r>
        <w:rPr>
          <w:b/>
        </w:rPr>
        <w:t xml:space="preserve"> kwietnia 2024 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r>
        <w:rPr>
          <w:b/>
        </w:rPr>
        <w:t>ejskiego i Rady (UE) 2024/...</w:t>
      </w:r>
      <w:r w:rsidRPr="00741191">
        <w:rPr>
          <w:b/>
        </w:rPr>
        <w:t xml:space="preserve"> </w:t>
      </w:r>
      <w:r w:rsidRPr="004C494B">
        <w:rPr>
          <w:rFonts w:eastAsia="Calibri"/>
          <w:b/>
          <w:noProof/>
          <w:szCs w:val="22"/>
          <w:lang w:eastAsia="en-US"/>
        </w:rPr>
        <w:t>w sprawie środków tymczasowej liberalizacji handlu będących uzupełnieniem koncesji handlowych mających zastosowanie do ukraińskich produktów na podstawie Układu o stowarzyszeniu między Unią Europejską i Europejską Wspólnotą Energii Atomowej oraz ich państwami członkowskimi, z jednej strony, a Ukrainą, z drugiej strony</w:t>
      </w:r>
    </w:p>
    <w:p w:rsidR="00895FE5" w:rsidRDefault="00895FE5" w:rsidP="004C494B">
      <w:pPr>
        <w:autoSpaceDE w:val="0"/>
        <w:autoSpaceDN w:val="0"/>
        <w:adjustRightInd w:val="0"/>
        <w:spacing w:before="120" w:after="120"/>
        <w:rPr>
          <w:rFonts w:eastAsia="Calibri"/>
          <w:b/>
          <w:noProof/>
          <w:szCs w:val="22"/>
          <w:lang w:eastAsia="en-US"/>
        </w:rPr>
      </w:pPr>
    </w:p>
    <w:p w:rsidR="00895FE5" w:rsidRDefault="00895FE5" w:rsidP="004C494B">
      <w:pPr>
        <w:autoSpaceDE w:val="0"/>
        <w:autoSpaceDN w:val="0"/>
        <w:adjustRightInd w:val="0"/>
        <w:spacing w:before="120" w:after="120"/>
        <w:rPr>
          <w:b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>, rozporządzenia (UE) 2024/1392.)</w:t>
      </w:r>
    </w:p>
    <w:p w:rsidR="00895FE5" w:rsidRDefault="00895FE5">
      <w:pPr>
        <w:widowControl/>
        <w:rPr>
          <w:rFonts w:eastAsia="Calibri"/>
          <w:noProof/>
          <w:szCs w:val="22"/>
          <w:lang w:eastAsia="en-US"/>
        </w:rPr>
      </w:pPr>
      <w:r>
        <w:rPr>
          <w:rFonts w:eastAsia="Calibri"/>
          <w:noProof/>
          <w:szCs w:val="22"/>
          <w:lang w:eastAsia="en-US"/>
        </w:rPr>
        <w:br w:type="page"/>
      </w:r>
    </w:p>
    <w:p w:rsidR="00895FE5" w:rsidRDefault="00895FE5" w:rsidP="00895FE5">
      <w:pPr>
        <w:pStyle w:val="NormalHanging12a"/>
        <w:widowControl/>
        <w:jc w:val="right"/>
      </w:pPr>
      <w:r>
        <w:lastRenderedPageBreak/>
        <w:t>ZAŁĄCZNIK DO REZOLUCJI LEGISLACYJNEJ</w:t>
      </w:r>
    </w:p>
    <w:p w:rsidR="00895FE5" w:rsidRPr="00173E4F" w:rsidRDefault="00895FE5" w:rsidP="00895FE5">
      <w:pPr>
        <w:spacing w:after="360"/>
        <w:jc w:val="center"/>
        <w:rPr>
          <w:b/>
          <w:bCs/>
          <w:sz w:val="28"/>
          <w:szCs w:val="28"/>
        </w:rPr>
      </w:pPr>
      <w:r w:rsidRPr="00173E4F">
        <w:rPr>
          <w:b/>
          <w:szCs w:val="24"/>
        </w:rPr>
        <w:t xml:space="preserve">Oświadczenie Komisji w sprawie monitorowania przywozu zbóż z Ukrainy w związku z przyjęciem rozporządzenia </w:t>
      </w:r>
      <w:r w:rsidR="009E27B9" w:rsidRPr="009E27B9">
        <w:rPr>
          <w:b/>
          <w:szCs w:val="24"/>
        </w:rPr>
        <w:t>(UE)</w:t>
      </w:r>
      <w:r w:rsidR="009E27B9" w:rsidRPr="009E27B9">
        <w:rPr>
          <w:b/>
          <w:szCs w:val="24"/>
        </w:rPr>
        <w:t xml:space="preserve"> </w:t>
      </w:r>
      <w:r w:rsidRPr="00173E4F">
        <w:rPr>
          <w:b/>
          <w:szCs w:val="24"/>
        </w:rPr>
        <w:t>2024/</w:t>
      </w:r>
      <w:r>
        <w:rPr>
          <w:b/>
          <w:szCs w:val="24"/>
        </w:rPr>
        <w:t>1392</w:t>
      </w:r>
    </w:p>
    <w:p w:rsidR="00895FE5" w:rsidRPr="00173E4F" w:rsidRDefault="00895FE5" w:rsidP="00895FE5">
      <w:pPr>
        <w:spacing w:after="360"/>
        <w:rPr>
          <w:szCs w:val="24"/>
        </w:rPr>
      </w:pPr>
      <w:r w:rsidRPr="00173E4F">
        <w:t>Rosyjska wojna napastnicza przeciwko Ukrainie zakłóciła istniejące łańcuchy dostaw. UE udziela Ukrainie wsparcia w celu wznowienia normalnego przepływu zbóż i innych towarów, zwłaszcza za pośrednictwem korytarzy solidarnościowych, oraz w celu zapewnienia, aby wywóz zbóż mógł dotrzeć do miejsca przeznaczenia, w tym w szczególności na rynki państw trzecich, w celu wspierania światowego bezpieczeństwa żywnościowego.</w:t>
      </w:r>
    </w:p>
    <w:p w:rsidR="00895FE5" w:rsidRPr="00173E4F" w:rsidRDefault="00895FE5" w:rsidP="00895FE5">
      <w:pPr>
        <w:spacing w:after="360"/>
        <w:rPr>
          <w:szCs w:val="24"/>
        </w:rPr>
      </w:pPr>
      <w:r w:rsidRPr="00173E4F">
        <w:t>Komisja jest zdecydowana wspierać Ukrainę, a jednocześnie chronić interesy unijnych producentów zbóż i zapewnić właściwe funkcjonowanie rynku zbóż w UE.</w:t>
      </w:r>
    </w:p>
    <w:p w:rsidR="00895FE5" w:rsidRPr="00173E4F" w:rsidRDefault="00895FE5" w:rsidP="00895FE5">
      <w:pPr>
        <w:spacing w:after="360"/>
        <w:rPr>
          <w:szCs w:val="24"/>
        </w:rPr>
      </w:pPr>
      <w:r w:rsidRPr="00173E4F">
        <w:t>Ze względu na znaczenie produkcji zbóż i rynków zbóż, Komisja zwróci szczególną uwagę na monitorowanie przywozu zbóż, zwłaszcza pszenicy, a w szczególności na koncentrację przywozu tych produktów w państwach członkowskich sąsiadujących z Ukrainą. W ramach prowadzonego regularnego dialogu z Ukrainą Komisja zajmie się wszelkimi kwestiami, które wynikną z monitorowania. Komisja przypomina, że przywóz z Ukrainy może podlegać nadzorowi na podstawie rozdziału IV</w:t>
      </w:r>
      <w:r w:rsidRPr="00173E4F">
        <w:rPr>
          <w:color w:val="000000"/>
        </w:rPr>
        <w:t xml:space="preserve"> </w:t>
      </w:r>
      <w:r w:rsidRPr="00173E4F">
        <w:t>rozporządzenia Parlamentu Europejskiego i Rady (UE) 2015/478 z dnia 11 marca 2015 r. w sprawie wspólnych reguł przywozu, który może mieć formę licencjonowania przywozu, jeżeli tendencja w przywozie grozi spowodowaniem szkody dla producentów unijnych i jeżeli wymaga tego interes Unii. W związku z tym Komisja w razie potrzeby skorzysta z narzędzi, którymi dysponuje. Komisja będzie nadal regularnie przedkładać państwom członkowskim sprawozdania z wyników regularnego dialogu z Ukrainą.</w:t>
      </w:r>
    </w:p>
    <w:p w:rsidR="00895FE5" w:rsidRPr="00173E4F" w:rsidRDefault="00895FE5" w:rsidP="00895FE5">
      <w:pPr>
        <w:spacing w:after="360"/>
        <w:rPr>
          <w:szCs w:val="24"/>
        </w:rPr>
      </w:pPr>
      <w:r w:rsidRPr="00173E4F">
        <w:t xml:space="preserve">W odniesieniu do produktów objętych autonomicznymi środkami handlowymi, Komisja przypomina, że w rozporządzeniu przewidziano również wzmocniony mechanizm ochronny. Komisja po raz pierwszy wprowadziła tę możliwość i jest gotowa uruchomić ten mechanizm w przypadku niekorzystnego wpływu na rynku jednego lub kilku państw członkowskich, a nie tylko wtedy, gdy dotyczy on całego rynku UE. W związku z powyższym Komisja w pełni wykorzysta swoje uprawnienia do tego, by wszcząć z urzędu wzmocniony mechanizm ochronny w odniesieniu do przywozu pszenicy z Ukrainy. </w:t>
      </w:r>
    </w:p>
    <w:p w:rsidR="00895FE5" w:rsidRPr="00173E4F" w:rsidRDefault="00895FE5" w:rsidP="00895FE5">
      <w:pPr>
        <w:spacing w:after="360"/>
      </w:pPr>
      <w:r w:rsidRPr="00173E4F">
        <w:t>Komisja przypomina, że w latach 2022 i 2023 przyjęła środki mające na celu wsparcie europejskich rolników we wszystkich państwach członkowskich, w szczególności w państwach członkowskich sąsiadujących z Ukrainą.</w:t>
      </w:r>
    </w:p>
    <w:p w:rsidR="00895FE5" w:rsidRPr="00173E4F" w:rsidRDefault="00895FE5" w:rsidP="00895FE5">
      <w:pPr>
        <w:widowControl/>
      </w:pPr>
      <w:r w:rsidRPr="00173E4F">
        <w:br w:type="page"/>
      </w:r>
    </w:p>
    <w:p w:rsidR="00895FE5" w:rsidRPr="00173E4F" w:rsidRDefault="00895FE5" w:rsidP="00895FE5">
      <w:pPr>
        <w:spacing w:before="360"/>
        <w:jc w:val="center"/>
        <w:rPr>
          <w:b/>
          <w:bCs/>
          <w:szCs w:val="24"/>
        </w:rPr>
      </w:pPr>
      <w:r w:rsidRPr="00173E4F">
        <w:rPr>
          <w:b/>
          <w:szCs w:val="24"/>
        </w:rPr>
        <w:lastRenderedPageBreak/>
        <w:t>Oświadczenie Komisji w sprawie procesu przeglądu przeprowadzanego na podstawie art. 29 układu o stowarzyszeniu w związku z przyjęciem rozporządzeni</w:t>
      </w:r>
      <w:bookmarkStart w:id="7" w:name="_GoBack"/>
      <w:r w:rsidRPr="00173E4F">
        <w:rPr>
          <w:b/>
          <w:szCs w:val="24"/>
        </w:rPr>
        <w:t xml:space="preserve">a </w:t>
      </w:r>
      <w:r w:rsidR="009E27B9" w:rsidRPr="009E27B9">
        <w:rPr>
          <w:b/>
          <w:szCs w:val="24"/>
        </w:rPr>
        <w:t>(UE)</w:t>
      </w:r>
      <w:r w:rsidR="009E27B9" w:rsidRPr="009E27B9">
        <w:rPr>
          <w:b/>
          <w:szCs w:val="24"/>
        </w:rPr>
        <w:t xml:space="preserve"> </w:t>
      </w:r>
      <w:bookmarkEnd w:id="7"/>
      <w:r w:rsidRPr="00173E4F">
        <w:rPr>
          <w:b/>
          <w:szCs w:val="24"/>
        </w:rPr>
        <w:t>2024/</w:t>
      </w:r>
      <w:r>
        <w:rPr>
          <w:b/>
          <w:szCs w:val="24"/>
        </w:rPr>
        <w:t>1392</w:t>
      </w:r>
    </w:p>
    <w:p w:rsidR="00895FE5" w:rsidRPr="00173E4F" w:rsidRDefault="00895FE5" w:rsidP="00895FE5">
      <w:pPr>
        <w:spacing w:before="360"/>
        <w:rPr>
          <w:szCs w:val="24"/>
        </w:rPr>
      </w:pPr>
      <w:r w:rsidRPr="00173E4F">
        <w:t xml:space="preserve">Komisja potwierdza, że gdy tylko </w:t>
      </w:r>
      <w:proofErr w:type="spellStart"/>
      <w:r w:rsidRPr="00173E4F">
        <w:t>współprawodawcy</w:t>
      </w:r>
      <w:proofErr w:type="spellEnd"/>
      <w:r w:rsidRPr="00173E4F">
        <w:t xml:space="preserve"> przyjmą nowe autonomiczne środki handlowe, podjęte zostaną niezbędne działania na podstawie art. 29 układu o stowarzyszeniu w celu kontynuowania – w konsultacji z Ukrainą – procesu wzajemnej liberalizacji ceł.</w:t>
      </w:r>
    </w:p>
    <w:p w:rsidR="00895FE5" w:rsidRPr="00173E4F" w:rsidRDefault="00895FE5" w:rsidP="00895FE5">
      <w:pPr>
        <w:spacing w:before="360"/>
        <w:rPr>
          <w:szCs w:val="24"/>
        </w:rPr>
      </w:pPr>
      <w:r w:rsidRPr="00173E4F">
        <w:t>Komisja będzie ściśle angażować Parlament Europejski i na bieżąco informować go o postępach konsultacji z Ukrainą. Komisja w związku z tym odpowiednio uwzględni ewentualne uwagi Parlamentu Europejskiego.</w:t>
      </w:r>
    </w:p>
    <w:p w:rsidR="00895FE5" w:rsidRPr="00173E4F" w:rsidRDefault="00895FE5" w:rsidP="00895FE5">
      <w:pPr>
        <w:spacing w:before="360"/>
        <w:rPr>
          <w:szCs w:val="24"/>
        </w:rPr>
      </w:pPr>
      <w:r w:rsidRPr="00173E4F">
        <w:t>Komisja przypomina, że taka organizacja prac nie stanowi precedensu dla klauzul przeglądowych w żadnym innym porozumieniu ani nie jest odstępstwem od art. 218 TFUE.</w:t>
      </w:r>
    </w:p>
    <w:p w:rsidR="00895FE5" w:rsidRPr="00382217" w:rsidRDefault="00895FE5" w:rsidP="00895FE5">
      <w:r w:rsidRPr="00173E4F">
        <w:t>Wynik tego procesu zapewni Ukrainie i UE, rolnikom i przedsiębiorstwom, bezpieczeństwo gospodarcze i stabilny handel. Będzie to również ważny krok w kierunku odbudowy Ukrainy i jej dalszej integracji z rynkiem wewnętrznym UE w ramach przyszłego przystąpienia tego kraju do Unii.</w:t>
      </w:r>
    </w:p>
    <w:sectPr w:rsidR="00895FE5" w:rsidRPr="00382217" w:rsidSect="0038221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7226" w:rsidRPr="00382217" w:rsidRDefault="00407226">
      <w:r w:rsidRPr="00382217">
        <w:separator/>
      </w:r>
    </w:p>
  </w:endnote>
  <w:endnote w:type="continuationSeparator" w:id="0">
    <w:p w:rsidR="00407226" w:rsidRPr="00382217" w:rsidRDefault="00407226">
      <w:r w:rsidRPr="0038221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221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221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221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7226" w:rsidRPr="00382217" w:rsidRDefault="00407226">
      <w:r w:rsidRPr="00382217">
        <w:separator/>
      </w:r>
    </w:p>
  </w:footnote>
  <w:footnote w:type="continuationSeparator" w:id="0">
    <w:p w:rsidR="00407226" w:rsidRPr="00382217" w:rsidRDefault="00407226">
      <w:r w:rsidRPr="0038221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221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221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221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77/2024"/>
    <w:docVar w:name="dvlangue" w:val="PL"/>
    <w:docVar w:name="dvnumam" w:val="26"/>
    <w:docVar w:name="dvpe" w:val="758.861"/>
    <w:docVar w:name="dvrapporteur" w:val="Sprawozdawca: "/>
    <w:docVar w:name="dvstar" w:val="***I"/>
    <w:docVar w:name="dvtitre" w:val="Rezolucja ustawodawcza Parlamentu Europejskiego z dnia  2024 r. w sprawie wniosku dotyczącego rozporządzenia Parlamentu Europejskiego i Rady w sprawie środków tymczasowej liberalizacji handlu będących uzupełnieniem koncesji handlowych mających zastosowanie do ukraińskich produktów na podstawie Układu o stowarzyszeniu między Unią Europejską i Europejską Wspólnotą Energii Atomowej oraz ich państwami członkowskimi, z jednej strony, a Ukrainą, z drugiej strony(COM(2024)0050 – C9-0021/2024 – 2024/0028(COD))"/>
  </w:docVars>
  <w:rsids>
    <w:rsidRoot w:val="00407226"/>
    <w:rsid w:val="00002272"/>
    <w:rsid w:val="0001667D"/>
    <w:rsid w:val="000408F8"/>
    <w:rsid w:val="00045FE0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82217"/>
    <w:rsid w:val="00395FA1"/>
    <w:rsid w:val="003E15D4"/>
    <w:rsid w:val="00407226"/>
    <w:rsid w:val="00411CCE"/>
    <w:rsid w:val="0041666E"/>
    <w:rsid w:val="00421060"/>
    <w:rsid w:val="00471C19"/>
    <w:rsid w:val="004867E3"/>
    <w:rsid w:val="00494A28"/>
    <w:rsid w:val="004C0004"/>
    <w:rsid w:val="004C494B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845B1"/>
    <w:rsid w:val="006F74FA"/>
    <w:rsid w:val="00731ADD"/>
    <w:rsid w:val="00734777"/>
    <w:rsid w:val="00747932"/>
    <w:rsid w:val="00751A4A"/>
    <w:rsid w:val="00756632"/>
    <w:rsid w:val="00762C74"/>
    <w:rsid w:val="00767C63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5FE5"/>
    <w:rsid w:val="008C2AC6"/>
    <w:rsid w:val="00930C23"/>
    <w:rsid w:val="0093193B"/>
    <w:rsid w:val="009509D8"/>
    <w:rsid w:val="00950B64"/>
    <w:rsid w:val="00981893"/>
    <w:rsid w:val="009E27B9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492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3CA9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6FC258"/>
  <w15:chartTrackingRefBased/>
  <w15:docId w15:val="{7EC6CF92-2F64-430F-AC7E-F0BE861D3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73CA9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E73CA9"/>
    <w:rPr>
      <w:b/>
    </w:rPr>
  </w:style>
  <w:style w:type="paragraph" w:customStyle="1" w:styleId="NormalHanging12a">
    <w:name w:val="NormalHanging12a"/>
    <w:basedOn w:val="Normal"/>
    <w:rsid w:val="00E73CA9"/>
    <w:pPr>
      <w:spacing w:after="240"/>
      <w:ind w:left="567" w:hanging="567"/>
    </w:pPr>
  </w:style>
  <w:style w:type="character" w:customStyle="1" w:styleId="NormalBoldChar">
    <w:name w:val="NormalBold Char"/>
    <w:basedOn w:val="DefaultParagraphFont"/>
    <w:link w:val="NormalBold"/>
    <w:locked/>
    <w:rsid w:val="00E73CA9"/>
    <w:rPr>
      <w:b/>
      <w:sz w:val="24"/>
      <w:lang w:val="pl-PL"/>
    </w:rPr>
  </w:style>
  <w:style w:type="paragraph" w:customStyle="1" w:styleId="Normal12Hanging">
    <w:name w:val="Normal12Hanging"/>
    <w:basedOn w:val="Normal"/>
    <w:link w:val="Normal12HangingChar"/>
    <w:rsid w:val="004C494B"/>
    <w:pPr>
      <w:spacing w:after="240"/>
      <w:ind w:left="357" w:hanging="357"/>
    </w:pPr>
    <w:rPr>
      <w:snapToGrid w:val="0"/>
    </w:rPr>
  </w:style>
  <w:style w:type="character" w:customStyle="1" w:styleId="Normal12HangingChar">
    <w:name w:val="Normal12Hanging Char"/>
    <w:link w:val="Normal12Hanging"/>
    <w:rsid w:val="004C494B"/>
    <w:rPr>
      <w:snapToGrid w:val="0"/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0A0EC9-B293-4CEB-A771-CCB5DB754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828</Words>
  <Characters>5741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BINKEVICIUTE Aurelija</cp:lastModifiedBy>
  <cp:revision>2</cp:revision>
  <cp:lastPrinted>2004-11-19T15:42:00Z</cp:lastPrinted>
  <dcterms:created xsi:type="dcterms:W3CDTF">2024-10-15T15:12:00Z</dcterms:created>
  <dcterms:modified xsi:type="dcterms:W3CDTF">2024-10-15T15:12:00Z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P9_TA(2024)0304_</vt:lpwstr>
  </property>
  <property fmtid="{D5CDD505-2E9C-101B-9397-08002B2CF9AE}" pid="4" name="&lt;Type&gt;">
    <vt:lpwstr>RR</vt:lpwstr>
  </property>
</Properties>
</file>