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B7354" w:rsidRPr="005E4C4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EB7354" w:rsidRPr="005E4C48" w:rsidRDefault="009C2174">
            <w:pPr>
              <w:pStyle w:val="EPName"/>
            </w:pPr>
            <w:r w:rsidRPr="005E4C48">
              <w:t>Európsky parlament</w:t>
            </w:r>
          </w:p>
          <w:p w:rsidR="00EB7354" w:rsidRPr="005E4C48" w:rsidRDefault="009C2174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5236">
              <w:t>2019</w:t>
            </w:r>
            <w:r w:rsidRPr="005E4C48">
              <w:t>-</w:t>
            </w:r>
            <w:r w:rsidRPr="00715236">
              <w:t>2024</w:t>
            </w:r>
          </w:p>
        </w:tc>
        <w:tc>
          <w:tcPr>
            <w:tcW w:w="2268" w:type="dxa"/>
            <w:shd w:val="clear" w:color="auto" w:fill="auto"/>
          </w:tcPr>
          <w:p w:rsidR="00EB7354" w:rsidRPr="005E4C48" w:rsidRDefault="009C2174">
            <w:pPr>
              <w:pStyle w:val="EPLogo"/>
            </w:pPr>
            <w:r w:rsidRPr="005E4C4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B7354" w:rsidRPr="005E4C48" w:rsidRDefault="00EB7354">
      <w:pPr>
        <w:pStyle w:val="LineTop"/>
      </w:pPr>
    </w:p>
    <w:p w:rsidR="00EB7354" w:rsidRPr="005E4C48" w:rsidRDefault="009C2174">
      <w:pPr>
        <w:pStyle w:val="EPBodyTA1"/>
      </w:pPr>
      <w:r w:rsidRPr="005E4C48">
        <w:t>PRIJATÉ TEXTY</w:t>
      </w:r>
    </w:p>
    <w:p w:rsidR="00EB7354" w:rsidRPr="005E4C48" w:rsidRDefault="00EB7354">
      <w:pPr>
        <w:pStyle w:val="LineBottom"/>
      </w:pPr>
    </w:p>
    <w:p w:rsidR="00EB7354" w:rsidRPr="005E4C48" w:rsidRDefault="009C2174">
      <w:pPr>
        <w:pStyle w:val="ATHeading1"/>
      </w:pPr>
      <w:bookmarkStart w:id="0" w:name="TANumber"/>
      <w:r w:rsidRPr="005E4C48">
        <w:t>P</w:t>
      </w:r>
      <w:r w:rsidRPr="00715236">
        <w:t>9</w:t>
      </w:r>
      <w:r w:rsidRPr="005E4C48">
        <w:t>_TA(</w:t>
      </w:r>
      <w:r w:rsidRPr="00715236">
        <w:t>2024</w:t>
      </w:r>
      <w:r w:rsidRPr="005E4C48">
        <w:t>)</w:t>
      </w:r>
      <w:r w:rsidRPr="00715236">
        <w:t>0</w:t>
      </w:r>
      <w:r w:rsidR="000C0E7E" w:rsidRPr="00715236">
        <w:t>30</w:t>
      </w:r>
      <w:r w:rsidR="00261C63" w:rsidRPr="00715236">
        <w:t>4</w:t>
      </w:r>
      <w:bookmarkEnd w:id="0"/>
    </w:p>
    <w:p w:rsidR="00EB7354" w:rsidRPr="005E4C48" w:rsidRDefault="009C2174">
      <w:pPr>
        <w:pStyle w:val="ATHeading2"/>
      </w:pPr>
      <w:bookmarkStart w:id="1" w:name="title"/>
      <w:r w:rsidRPr="005E4C48">
        <w:t>Dočasné opatrenia na liberalizáciu obchodu, ktorými sa dopĺňajú obchodné koncesie uplatniteľné na ukrajinské výrobky podľa Dohody o pridružení medzi EÚ a Euratomom a Ukrajinou</w:t>
      </w:r>
      <w:bookmarkEnd w:id="1"/>
    </w:p>
    <w:p w:rsidR="00EB7354" w:rsidRPr="005E4C48" w:rsidRDefault="009C2174">
      <w:pPr>
        <w:rPr>
          <w:i/>
          <w:vanish/>
        </w:rPr>
      </w:pPr>
      <w:r w:rsidRPr="005E4C48">
        <w:rPr>
          <w:i/>
        </w:rPr>
        <w:fldChar w:fldCharType="begin"/>
      </w:r>
      <w:r w:rsidRPr="005E4C48">
        <w:rPr>
          <w:i/>
        </w:rPr>
        <w:instrText xml:space="preserve"> TC"(</w:instrText>
      </w:r>
      <w:bookmarkStart w:id="2" w:name="DocNumber"/>
      <w:r w:rsidRPr="005E4C48">
        <w:rPr>
          <w:i/>
        </w:rPr>
        <w:instrText>A</w:instrText>
      </w:r>
      <w:r w:rsidRPr="00715236">
        <w:rPr>
          <w:i/>
        </w:rPr>
        <w:instrText>9</w:instrText>
      </w:r>
      <w:r w:rsidRPr="005E4C48">
        <w:rPr>
          <w:i/>
        </w:rPr>
        <w:instrText>-</w:instrText>
      </w:r>
      <w:r w:rsidRPr="00715236">
        <w:rPr>
          <w:i/>
        </w:rPr>
        <w:instrText>0077</w:instrText>
      </w:r>
      <w:r w:rsidRPr="005E4C48">
        <w:rPr>
          <w:i/>
        </w:rPr>
        <w:instrText>/</w:instrText>
      </w:r>
      <w:r w:rsidRPr="00715236">
        <w:rPr>
          <w:i/>
        </w:rPr>
        <w:instrText>2024</w:instrText>
      </w:r>
      <w:bookmarkEnd w:id="2"/>
      <w:r w:rsidRPr="005E4C48">
        <w:rPr>
          <w:i/>
        </w:rPr>
        <w:instrText xml:space="preserve"> - Spravodajkyňa: Sandra Kalniete)"\l</w:instrText>
      </w:r>
      <w:r w:rsidRPr="00715236">
        <w:rPr>
          <w:i/>
        </w:rPr>
        <w:instrText>3</w:instrText>
      </w:r>
      <w:r w:rsidRPr="005E4C48">
        <w:rPr>
          <w:i/>
        </w:rPr>
        <w:instrText xml:space="preserve"> \n&gt; \* MERGEFORMAT </w:instrText>
      </w:r>
      <w:r w:rsidRPr="005E4C48">
        <w:rPr>
          <w:i/>
        </w:rPr>
        <w:fldChar w:fldCharType="end"/>
      </w:r>
    </w:p>
    <w:p w:rsidR="00EB7354" w:rsidRPr="005E4C48" w:rsidRDefault="009C2174">
      <w:pPr>
        <w:rPr>
          <w:vanish/>
        </w:rPr>
      </w:pPr>
      <w:bookmarkStart w:id="3" w:name="Commission"/>
      <w:r w:rsidRPr="005E4C48">
        <w:rPr>
          <w:vanish/>
        </w:rPr>
        <w:t>Výbor pre medzinárodný obchod</w:t>
      </w:r>
      <w:bookmarkEnd w:id="3"/>
    </w:p>
    <w:p w:rsidR="00EB7354" w:rsidRPr="005E4C48" w:rsidRDefault="009C2174">
      <w:pPr>
        <w:rPr>
          <w:vanish/>
        </w:rPr>
      </w:pPr>
      <w:bookmarkStart w:id="4" w:name="PE"/>
      <w:r w:rsidRPr="005E4C48">
        <w:rPr>
          <w:vanish/>
        </w:rPr>
        <w:t>PE</w:t>
      </w:r>
      <w:r w:rsidRPr="00715236">
        <w:rPr>
          <w:vanish/>
        </w:rPr>
        <w:t>758</w:t>
      </w:r>
      <w:r w:rsidRPr="005E4C48">
        <w:rPr>
          <w:vanish/>
        </w:rPr>
        <w:t>.</w:t>
      </w:r>
      <w:r w:rsidRPr="00715236">
        <w:rPr>
          <w:vanish/>
        </w:rPr>
        <w:t>681</w:t>
      </w:r>
      <w:bookmarkEnd w:id="4"/>
    </w:p>
    <w:p w:rsidR="00EB7354" w:rsidRPr="005E4C48" w:rsidRDefault="009C2174">
      <w:pPr>
        <w:pStyle w:val="ATHeading3"/>
      </w:pPr>
      <w:bookmarkStart w:id="5" w:name="Sujet"/>
      <w:r w:rsidRPr="005E4C48">
        <w:t xml:space="preserve">Legislatívne uznesenie Európskeho parlamentu z </w:t>
      </w:r>
      <w:r w:rsidR="0069498B" w:rsidRPr="00715236">
        <w:t>23</w:t>
      </w:r>
      <w:r w:rsidRPr="005E4C48">
        <w:t xml:space="preserve">. apríla </w:t>
      </w:r>
      <w:r w:rsidRPr="00715236">
        <w:t>2024</w:t>
      </w:r>
      <w:r w:rsidRPr="005E4C48">
        <w:t xml:space="preserve"> o návrhu nariadenia Európskeho parlamentu a Rady o dočasných opatreniach na liberalizáciu obchodu, ktorými sa dopĺňajú obchodné koncesie uplatniteľné na ukrajinské výrobky podľa Dohody o pridružení medzi Európskou úniou a Európskym spoločenstvom pre atómovú energiu a ich členskými štátmi na jednej strane a Ukrajinou na strane druhej</w:t>
      </w:r>
      <w:bookmarkEnd w:id="5"/>
      <w:r w:rsidRPr="005E4C48">
        <w:t xml:space="preserve"> </w:t>
      </w:r>
      <w:bookmarkStart w:id="6" w:name="References"/>
      <w:r w:rsidRPr="005E4C48">
        <w:t>(COM(</w:t>
      </w:r>
      <w:r w:rsidRPr="00715236">
        <w:t>2024</w:t>
      </w:r>
      <w:r w:rsidRPr="005E4C48">
        <w:t>)</w:t>
      </w:r>
      <w:r w:rsidRPr="00715236">
        <w:t>0050</w:t>
      </w:r>
      <w:r w:rsidRPr="005E4C48">
        <w:t xml:space="preserve"> – C</w:t>
      </w:r>
      <w:r w:rsidRPr="00715236">
        <w:t>9</w:t>
      </w:r>
      <w:r w:rsidRPr="005E4C48">
        <w:t>-</w:t>
      </w:r>
      <w:r w:rsidRPr="00715236">
        <w:t>0021</w:t>
      </w:r>
      <w:r w:rsidRPr="005E4C48">
        <w:t>/</w:t>
      </w:r>
      <w:r w:rsidRPr="00715236">
        <w:t>2024</w:t>
      </w:r>
      <w:r w:rsidRPr="005E4C48">
        <w:t xml:space="preserve"> – </w:t>
      </w:r>
      <w:r w:rsidRPr="00715236">
        <w:t>2024</w:t>
      </w:r>
      <w:r w:rsidRPr="005E4C48">
        <w:t>/</w:t>
      </w:r>
      <w:r w:rsidRPr="00715236">
        <w:t>0028</w:t>
      </w:r>
      <w:r w:rsidRPr="005E4C48">
        <w:t>(COD))</w:t>
      </w:r>
      <w:bookmarkEnd w:id="6"/>
    </w:p>
    <w:p w:rsidR="00EB7354" w:rsidRPr="005E4C48" w:rsidRDefault="009C2174">
      <w:pPr>
        <w:pStyle w:val="NormalBold"/>
      </w:pPr>
      <w:bookmarkStart w:id="7" w:name="TextBodyBegin"/>
      <w:bookmarkEnd w:id="7"/>
      <w:r w:rsidRPr="005E4C48">
        <w:t>(Riadny legislatívny postup: prvé čítanie)</w:t>
      </w:r>
    </w:p>
    <w:p w:rsidR="00EB7354" w:rsidRPr="005E4C48" w:rsidRDefault="009C2174">
      <w:pPr>
        <w:pStyle w:val="EPComma"/>
      </w:pPr>
      <w:r w:rsidRPr="005E4C48">
        <w:rPr>
          <w:i/>
        </w:rPr>
        <w:t>Európsky parlament</w:t>
      </w:r>
      <w:r w:rsidRPr="005E4C48">
        <w:t>,</w:t>
      </w:r>
    </w:p>
    <w:p w:rsidR="00EB7354" w:rsidRPr="005E4C48" w:rsidRDefault="009C2174">
      <w:pPr>
        <w:pStyle w:val="NormalHanging12a"/>
      </w:pPr>
      <w:r w:rsidRPr="005E4C48">
        <w:t>–</w:t>
      </w:r>
      <w:r w:rsidRPr="005E4C48">
        <w:tab/>
        <w:t>so zreteľom na návrh Komisie pre Európsky parlament a Radu (COM(</w:t>
      </w:r>
      <w:r w:rsidRPr="00715236">
        <w:t>2024</w:t>
      </w:r>
      <w:r w:rsidRPr="005E4C48">
        <w:t>)</w:t>
      </w:r>
      <w:r w:rsidRPr="00715236">
        <w:t>0050</w:t>
      </w:r>
      <w:r w:rsidRPr="005E4C48">
        <w:t>),</w:t>
      </w:r>
    </w:p>
    <w:p w:rsidR="00EB7354" w:rsidRPr="005E4C48" w:rsidRDefault="009C2174">
      <w:pPr>
        <w:pStyle w:val="NormalHanging12a"/>
      </w:pPr>
      <w:r w:rsidRPr="005E4C48">
        <w:t>–</w:t>
      </w:r>
      <w:r w:rsidRPr="005E4C48">
        <w:tab/>
        <w:t xml:space="preserve">so zreteľom na článok </w:t>
      </w:r>
      <w:r w:rsidRPr="00715236">
        <w:t>294</w:t>
      </w:r>
      <w:r w:rsidRPr="005E4C48">
        <w:t xml:space="preserve"> ods. </w:t>
      </w:r>
      <w:r w:rsidRPr="00715236">
        <w:t>2</w:t>
      </w:r>
      <w:r w:rsidRPr="005E4C48">
        <w:t xml:space="preserve"> a článok </w:t>
      </w:r>
      <w:r w:rsidRPr="00715236">
        <w:t>207</w:t>
      </w:r>
      <w:r w:rsidRPr="005E4C48">
        <w:t xml:space="preserve"> ods. </w:t>
      </w:r>
      <w:r w:rsidRPr="00715236">
        <w:t>2</w:t>
      </w:r>
      <w:r w:rsidRPr="005E4C48">
        <w:t xml:space="preserve"> Zmluvy o fungovaní Európskej únie, v súlade s ktorými Komisia predložila návrh Európskemu parlamentu (C</w:t>
      </w:r>
      <w:r w:rsidRPr="00715236">
        <w:t>9</w:t>
      </w:r>
      <w:r w:rsidRPr="005E4C48">
        <w:noBreakHyphen/>
      </w:r>
      <w:r w:rsidRPr="00715236">
        <w:t>0021</w:t>
      </w:r>
      <w:r w:rsidRPr="005E4C48">
        <w:t>/</w:t>
      </w:r>
      <w:r w:rsidRPr="00715236">
        <w:t>2024</w:t>
      </w:r>
      <w:r w:rsidRPr="005E4C48">
        <w:t>),</w:t>
      </w:r>
    </w:p>
    <w:p w:rsidR="00EB7354" w:rsidRPr="005E4C48" w:rsidRDefault="009C2174">
      <w:pPr>
        <w:pStyle w:val="NormalHanging12a"/>
      </w:pPr>
      <w:r w:rsidRPr="005E4C48">
        <w:t>–</w:t>
      </w:r>
      <w:r w:rsidRPr="005E4C48">
        <w:tab/>
        <w:t xml:space="preserve">so zreteľom na článok </w:t>
      </w:r>
      <w:r w:rsidRPr="00715236">
        <w:t>294</w:t>
      </w:r>
      <w:r w:rsidRPr="005E4C48">
        <w:t xml:space="preserve"> ods. </w:t>
      </w:r>
      <w:r w:rsidRPr="00715236">
        <w:t>3</w:t>
      </w:r>
      <w:r w:rsidRPr="005E4C48">
        <w:t xml:space="preserve"> Zmluvy o fungovaní Európskej únie,</w:t>
      </w:r>
    </w:p>
    <w:p w:rsidR="00EB7354" w:rsidRPr="005E4C48" w:rsidRDefault="009C2174">
      <w:pPr>
        <w:pStyle w:val="NormalHanging12a"/>
      </w:pPr>
      <w:r w:rsidRPr="005E4C48">
        <w:t>–</w:t>
      </w:r>
      <w:r w:rsidRPr="005E4C48">
        <w:tab/>
      </w:r>
      <w:r w:rsidR="0069498B" w:rsidRPr="005E4C48">
        <w:t xml:space="preserve">so zreteľom na predbežnú dohodu schválenú gestorským výborom podľa článku </w:t>
      </w:r>
      <w:r w:rsidR="0069498B" w:rsidRPr="00715236">
        <w:t>74</w:t>
      </w:r>
      <w:r w:rsidR="0069498B" w:rsidRPr="005E4C48">
        <w:t xml:space="preserve"> ods. </w:t>
      </w:r>
      <w:r w:rsidR="0069498B" w:rsidRPr="00715236">
        <w:t>4</w:t>
      </w:r>
      <w:r w:rsidR="0069498B" w:rsidRPr="005E4C48">
        <w:t xml:space="preserve"> rokovacieho poriadku, a na záväzok zástupcu Rady</w:t>
      </w:r>
      <w:r w:rsidR="00DC6DC2" w:rsidRPr="005E4C48">
        <w:t xml:space="preserve">, vyjadrený v liste z </w:t>
      </w:r>
      <w:r w:rsidR="00DC6DC2" w:rsidRPr="00715236">
        <w:t>8</w:t>
      </w:r>
      <w:r w:rsidR="00DC6DC2" w:rsidRPr="005E4C48">
        <w:t>. apríla</w:t>
      </w:r>
      <w:r w:rsidRPr="005E4C48">
        <w:t> </w:t>
      </w:r>
      <w:r w:rsidRPr="00715236">
        <w:t>2024</w:t>
      </w:r>
      <w:r w:rsidRPr="005E4C48">
        <w:t xml:space="preserve">, schváliť pozíciu Európskeho parlamentu v súlade s článkom </w:t>
      </w:r>
      <w:r w:rsidRPr="00715236">
        <w:t>294</w:t>
      </w:r>
      <w:r w:rsidRPr="005E4C48">
        <w:t xml:space="preserve"> ods. </w:t>
      </w:r>
      <w:r w:rsidRPr="00715236">
        <w:t>4</w:t>
      </w:r>
      <w:r w:rsidRPr="005E4C48">
        <w:t xml:space="preserve"> Zmluvy o fungovaní Európskej únie,</w:t>
      </w:r>
    </w:p>
    <w:p w:rsidR="00EB7354" w:rsidRPr="005E4C48" w:rsidRDefault="009C2174">
      <w:pPr>
        <w:pStyle w:val="NormalHanging12a"/>
      </w:pPr>
      <w:r w:rsidRPr="005E4C48">
        <w:t>–</w:t>
      </w:r>
      <w:r w:rsidRPr="005E4C48">
        <w:tab/>
        <w:t xml:space="preserve">so zreteľom na článok </w:t>
      </w:r>
      <w:r w:rsidRPr="00715236">
        <w:t>59</w:t>
      </w:r>
      <w:r w:rsidRPr="005E4C48">
        <w:t xml:space="preserve"> rokovacieho poriadku,</w:t>
      </w:r>
    </w:p>
    <w:p w:rsidR="00EB7354" w:rsidRPr="005E4C48" w:rsidRDefault="009C2174">
      <w:pPr>
        <w:pStyle w:val="NormalHanging12a"/>
      </w:pPr>
      <w:r w:rsidRPr="005E4C48">
        <w:t>–</w:t>
      </w:r>
      <w:r w:rsidRPr="005E4C48">
        <w:tab/>
        <w:t>so zreteľom na stanovisko Výboru pre poľnohospodárstvo a rozvoj vidieka,</w:t>
      </w:r>
    </w:p>
    <w:p w:rsidR="00EB7354" w:rsidRPr="005E4C48" w:rsidRDefault="009C2174">
      <w:pPr>
        <w:pStyle w:val="NormalHanging12a"/>
      </w:pPr>
      <w:r w:rsidRPr="005E4C48">
        <w:t>–</w:t>
      </w:r>
      <w:r w:rsidRPr="005E4C48">
        <w:tab/>
        <w:t>so zreteľom na správu Výboru pre medzinárodný obchod (A</w:t>
      </w:r>
      <w:r w:rsidRPr="00715236">
        <w:t>9</w:t>
      </w:r>
      <w:r w:rsidRPr="005E4C48">
        <w:noBreakHyphen/>
      </w:r>
      <w:r w:rsidRPr="00715236">
        <w:t>0077</w:t>
      </w:r>
      <w:r w:rsidRPr="005E4C48">
        <w:t>/</w:t>
      </w:r>
      <w:r w:rsidRPr="00715236">
        <w:t>2024</w:t>
      </w:r>
      <w:r w:rsidRPr="005E4C48">
        <w:t>),</w:t>
      </w:r>
    </w:p>
    <w:p w:rsidR="00EB7354" w:rsidRPr="005E4C48" w:rsidRDefault="009C2174">
      <w:pPr>
        <w:pStyle w:val="NormalHanging12a"/>
      </w:pPr>
      <w:r w:rsidRPr="00715236">
        <w:t>1</w:t>
      </w:r>
      <w:r w:rsidRPr="005E4C48">
        <w:t>.</w:t>
      </w:r>
      <w:r w:rsidRPr="005E4C48">
        <w:tab/>
        <w:t>prijíma nasledujúcu pozíciu v prvom čítaní;</w:t>
      </w:r>
    </w:p>
    <w:p w:rsidR="000C1B9E" w:rsidRPr="005E4C48" w:rsidRDefault="000C1B9E">
      <w:pPr>
        <w:pStyle w:val="NormalHanging12a"/>
      </w:pPr>
      <w:r w:rsidRPr="00715236">
        <w:t>2</w:t>
      </w:r>
      <w:r w:rsidRPr="005E4C48">
        <w:t xml:space="preserve">. </w:t>
      </w:r>
      <w:r w:rsidRPr="005E4C48">
        <w:tab/>
        <w:t xml:space="preserve">berie na vedomie vyhlásenia Komisie, ktoré sú uvedené v prílohe k tomuto uzneseniu a </w:t>
      </w:r>
      <w:r w:rsidRPr="005E4C48">
        <w:lastRenderedPageBreak/>
        <w:t xml:space="preserve">ktoré budú uverejnené v sérii C </w:t>
      </w:r>
      <w:r w:rsidRPr="005E4C48">
        <w:rPr>
          <w:i/>
        </w:rPr>
        <w:t>Úradného vestníka Európskej únie</w:t>
      </w:r>
      <w:r w:rsidRPr="005E4C48">
        <w:t>;</w:t>
      </w:r>
    </w:p>
    <w:p w:rsidR="00EB7354" w:rsidRPr="005E4C48" w:rsidRDefault="000C1B9E">
      <w:pPr>
        <w:pStyle w:val="NormalHanging12a"/>
      </w:pPr>
      <w:r w:rsidRPr="00715236">
        <w:t>3</w:t>
      </w:r>
      <w:r w:rsidR="009C2174" w:rsidRPr="005E4C48">
        <w:t>.</w:t>
      </w:r>
      <w:r w:rsidR="009C2174" w:rsidRPr="005E4C48">
        <w:tab/>
        <w:t>žiada Komisiu, aby mu vec znovu predložila, ak nahrádza, podstatne mení alebo má v úmysle podstatne zmeniť svoj návrh;</w:t>
      </w:r>
    </w:p>
    <w:p w:rsidR="00EB7354" w:rsidRPr="005E4C48" w:rsidRDefault="000C1B9E">
      <w:pPr>
        <w:pStyle w:val="NormalHanging12a"/>
        <w:sectPr w:rsidR="00EB7354" w:rsidRPr="005E4C4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15236">
        <w:t>4</w:t>
      </w:r>
      <w:r w:rsidR="0053304C">
        <w:t>.</w:t>
      </w:r>
      <w:bookmarkStart w:id="8" w:name="_GoBack"/>
      <w:bookmarkEnd w:id="8"/>
      <w:r w:rsidRPr="005E4C48">
        <w:tab/>
      </w:r>
      <w:r w:rsidR="009C2174" w:rsidRPr="005E4C48">
        <w:t>poveruje svoju predsedníčku, aby postúpila túto pozíciu Rade, Komisii a národným parlamentom.</w:t>
      </w:r>
    </w:p>
    <w:p w:rsidR="00EB7354" w:rsidRPr="005E4C48" w:rsidRDefault="009C2174">
      <w:pPr>
        <w:pStyle w:val="Institutionquiagit"/>
        <w:keepNext w:val="0"/>
        <w:spacing w:before="120"/>
        <w:jc w:val="left"/>
        <w:outlineLvl w:val="0"/>
        <w:rPr>
          <w:b/>
        </w:rPr>
      </w:pPr>
      <w:r w:rsidRPr="005E4C48">
        <w:rPr>
          <w:b/>
        </w:rPr>
        <w:lastRenderedPageBreak/>
        <w:t>P</w:t>
      </w:r>
      <w:r w:rsidRPr="00715236">
        <w:rPr>
          <w:b/>
        </w:rPr>
        <w:t>9</w:t>
      </w:r>
      <w:r w:rsidRPr="005E4C48">
        <w:rPr>
          <w:b/>
        </w:rPr>
        <w:t>_TC</w:t>
      </w:r>
      <w:r w:rsidRPr="00715236">
        <w:rPr>
          <w:b/>
        </w:rPr>
        <w:t>1</w:t>
      </w:r>
      <w:r w:rsidRPr="005E4C48">
        <w:rPr>
          <w:b/>
        </w:rPr>
        <w:t>-COD(</w:t>
      </w:r>
      <w:r w:rsidRPr="00715236">
        <w:rPr>
          <w:b/>
        </w:rPr>
        <w:t>2024</w:t>
      </w:r>
      <w:r w:rsidRPr="005E4C48">
        <w:rPr>
          <w:b/>
        </w:rPr>
        <w:t>)</w:t>
      </w:r>
      <w:r w:rsidRPr="00715236">
        <w:rPr>
          <w:b/>
        </w:rPr>
        <w:t>0028</w:t>
      </w:r>
    </w:p>
    <w:p w:rsidR="00EB7354" w:rsidRDefault="009C2174"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  <w:r w:rsidRPr="005E4C48">
        <w:rPr>
          <w:b/>
        </w:rPr>
        <w:t xml:space="preserve">Pozícia Európskeho parlamentu prijatá v prvom čítaní </w:t>
      </w:r>
      <w:r w:rsidR="004A5B87" w:rsidRPr="00715236">
        <w:rPr>
          <w:b/>
        </w:rPr>
        <w:t>23</w:t>
      </w:r>
      <w:r w:rsidRPr="005E4C48">
        <w:rPr>
          <w:b/>
        </w:rPr>
        <w:t xml:space="preserve">. </w:t>
      </w:r>
      <w:r w:rsidR="004A5B87" w:rsidRPr="005E4C48">
        <w:rPr>
          <w:b/>
        </w:rPr>
        <w:t>apríla</w:t>
      </w:r>
      <w:r w:rsidRPr="005E4C48">
        <w:rPr>
          <w:b/>
        </w:rPr>
        <w:t xml:space="preserve"> </w:t>
      </w:r>
      <w:r w:rsidRPr="00715236">
        <w:rPr>
          <w:b/>
        </w:rPr>
        <w:t>2024</w:t>
      </w:r>
      <w:r w:rsidRPr="005E4C48">
        <w:rPr>
          <w:b/>
        </w:rPr>
        <w:t xml:space="preserve"> na účely prijatia nariadenia Európskeho parlamentu a Rady (EÚ) </w:t>
      </w:r>
      <w:r w:rsidRPr="00715236">
        <w:rPr>
          <w:b/>
        </w:rPr>
        <w:t>2024</w:t>
      </w:r>
      <w:r w:rsidRPr="005E4C48">
        <w:rPr>
          <w:b/>
        </w:rPr>
        <w:t xml:space="preserve">/... </w:t>
      </w:r>
      <w:r w:rsidR="004A5B87" w:rsidRPr="005E4C48">
        <w:rPr>
          <w:rFonts w:eastAsia="Calibri"/>
          <w:b/>
          <w:szCs w:val="24"/>
          <w:lang w:eastAsia="en-US"/>
        </w:rPr>
        <w:t>o dočasných opatreniach na liberalizáciu obchodu, ktorými sa dopĺňajú obchodné koncesie uplatniteľné na ukrajinské výrobky podľa Dohody o pridružení medzi Európskou úniou a Európskym spoločenstvom pre atómovú energiu a ich členskými štátmi na jednej strane a Ukrajinou na strane druhej</w:t>
      </w:r>
    </w:p>
    <w:p w:rsidR="00695690" w:rsidRDefault="00695690"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</w:p>
    <w:p w:rsidR="00695690" w:rsidRPr="00731EF8" w:rsidRDefault="00695690" w:rsidP="00695690">
      <w:r w:rsidRPr="00731EF8">
        <w:rPr>
          <w:i/>
          <w:iCs/>
        </w:rPr>
        <w:t xml:space="preserve">(Keďže bola dosiahnutá dohoda medzi Európskym parlamentom a Radou, pozícia Európskeho parlamentu </w:t>
      </w:r>
      <w:r w:rsidRPr="00695690">
        <w:rPr>
          <w:i/>
          <w:iCs/>
        </w:rPr>
        <w:t>zodpovedá záverečnému legislatívnemu aktu, nariadeniu (EÚ) 202</w:t>
      </w:r>
      <w:r>
        <w:rPr>
          <w:i/>
          <w:iCs/>
        </w:rPr>
        <w:t>4</w:t>
      </w:r>
      <w:r w:rsidRPr="00695690">
        <w:rPr>
          <w:i/>
          <w:iCs/>
        </w:rPr>
        <w:t>/</w:t>
      </w:r>
      <w:r>
        <w:rPr>
          <w:i/>
          <w:iCs/>
        </w:rPr>
        <w:t>1392</w:t>
      </w:r>
      <w:r w:rsidRPr="00695690">
        <w:rPr>
          <w:i/>
          <w:iCs/>
        </w:rPr>
        <w:t>.)</w:t>
      </w:r>
    </w:p>
    <w:p w:rsidR="00695690" w:rsidRDefault="00695690"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</w:p>
    <w:p w:rsidR="004A5B87" w:rsidRDefault="004A5B87" w:rsidP="004A5B87">
      <w:pPr>
        <w:widowControl/>
        <w:rPr>
          <w:rFonts w:eastAsia="Calibri"/>
          <w:szCs w:val="24"/>
          <w:lang w:eastAsia="en-US"/>
        </w:rPr>
      </w:pPr>
    </w:p>
    <w:p w:rsidR="00715236" w:rsidRPr="005E4C48" w:rsidRDefault="00715236" w:rsidP="004A5B87">
      <w:pPr>
        <w:widowControl/>
        <w:rPr>
          <w:rFonts w:eastAsia="Calibri"/>
          <w:szCs w:val="24"/>
          <w:lang w:eastAsia="en-US"/>
        </w:rPr>
        <w:sectPr w:rsidR="00715236" w:rsidRPr="005E4C4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A5B87" w:rsidRPr="005E4C48" w:rsidRDefault="004A5B87" w:rsidP="004A5B87">
      <w:pPr>
        <w:widowControl/>
        <w:jc w:val="right"/>
        <w:rPr>
          <w:rFonts w:eastAsia="Calibri"/>
          <w:szCs w:val="24"/>
          <w:lang w:eastAsia="en-US"/>
        </w:rPr>
      </w:pPr>
      <w:r w:rsidRPr="005E4C48">
        <w:rPr>
          <w:rFonts w:eastAsia="Calibri"/>
          <w:szCs w:val="24"/>
          <w:lang w:eastAsia="en-US"/>
        </w:rPr>
        <w:lastRenderedPageBreak/>
        <w:t xml:space="preserve">PRÍLOHA K LEGISLATÍVNEMU UZNESENIU </w:t>
      </w:r>
    </w:p>
    <w:p w:rsidR="002F7CB1" w:rsidRPr="005E4C48" w:rsidRDefault="002F7CB1" w:rsidP="002F7CB1">
      <w:pPr>
        <w:spacing w:before="360"/>
        <w:jc w:val="center"/>
        <w:rPr>
          <w:b/>
          <w:bCs/>
          <w:szCs w:val="24"/>
          <w:lang w:eastAsia="en-US"/>
        </w:rPr>
      </w:pPr>
      <w:r w:rsidRPr="005E4C48">
        <w:rPr>
          <w:rFonts w:eastAsia="Calibri"/>
          <w:b/>
          <w:szCs w:val="24"/>
          <w:lang w:eastAsia="en-US"/>
        </w:rPr>
        <w:t xml:space="preserve">Vyhlásenie Komisie o monitorovaní dovozu obilnín z Ukrajiny pri príležitosti prijatia nariadenia </w:t>
      </w:r>
      <w:r w:rsidR="00695690">
        <w:rPr>
          <w:rFonts w:eastAsia="Calibri"/>
          <w:b/>
          <w:szCs w:val="24"/>
          <w:lang w:eastAsia="en-US"/>
        </w:rPr>
        <w:t xml:space="preserve">(EÚ) </w:t>
      </w:r>
      <w:r w:rsidRPr="00715236">
        <w:rPr>
          <w:rFonts w:eastAsia="Calibri"/>
          <w:b/>
          <w:szCs w:val="24"/>
          <w:lang w:eastAsia="en-US"/>
        </w:rPr>
        <w:t>2024</w:t>
      </w:r>
      <w:r w:rsidRPr="005E4C48">
        <w:rPr>
          <w:rFonts w:eastAsia="Calibri"/>
          <w:b/>
          <w:szCs w:val="24"/>
          <w:lang w:eastAsia="en-US"/>
        </w:rPr>
        <w:t>/</w:t>
      </w:r>
      <w:r w:rsidR="00695690">
        <w:rPr>
          <w:rFonts w:eastAsia="Calibri"/>
          <w:b/>
          <w:szCs w:val="24"/>
          <w:lang w:eastAsia="en-US"/>
        </w:rPr>
        <w:t>1392</w:t>
      </w:r>
    </w:p>
    <w:p w:rsidR="002F7CB1" w:rsidRPr="005E4C48" w:rsidRDefault="002F7CB1" w:rsidP="002F7CB1">
      <w:pPr>
        <w:widowControl/>
        <w:spacing w:before="360" w:after="120" w:line="360" w:lineRule="auto"/>
        <w:rPr>
          <w:szCs w:val="24"/>
          <w:lang w:eastAsia="en-US"/>
        </w:rPr>
      </w:pPr>
      <w:r w:rsidRPr="005E4C48">
        <w:rPr>
          <w:rFonts w:eastAsia="Calibri"/>
          <w:szCs w:val="22"/>
          <w:lang w:eastAsia="en-US"/>
        </w:rPr>
        <w:t>Útočná vojna Ruska proti Ukrajine narušila už existujúce dodávateľské reťazce. EÚ poskytuje Ukrajine podporu s cieľom obnoviť normálny tok obilnín a iného tovaru, najmä cez koridory solidarity, a zabezpečiť, aby sa vývoz obilnín mohol dostať na miesto určenia, vrátane a predovšetkým na trhy tretích krajín, s cieľom podporiť globálnu potravinovú bezpečnosť.</w:t>
      </w:r>
    </w:p>
    <w:p w:rsidR="002F7CB1" w:rsidRPr="005E4C48" w:rsidRDefault="002F7CB1" w:rsidP="002F7CB1">
      <w:pPr>
        <w:widowControl/>
        <w:spacing w:before="120" w:after="120" w:line="360" w:lineRule="auto"/>
        <w:rPr>
          <w:szCs w:val="24"/>
          <w:lang w:eastAsia="en-US"/>
        </w:rPr>
      </w:pPr>
      <w:r w:rsidRPr="005E4C48">
        <w:rPr>
          <w:rFonts w:eastAsia="Calibri"/>
          <w:szCs w:val="22"/>
          <w:lang w:eastAsia="en-US"/>
        </w:rPr>
        <w:t>Komisia je odhodlaná podporovať Ukrajinu a zároveň chrániť záujmy producentov obilnín v EÚ a zabezpečiť riadne fungovanie trhu s obilninami v EÚ.</w:t>
      </w:r>
    </w:p>
    <w:p w:rsidR="002F7CB1" w:rsidRPr="005E4C48" w:rsidRDefault="002F7CB1" w:rsidP="002F7CB1">
      <w:pPr>
        <w:widowControl/>
        <w:spacing w:before="120" w:after="120" w:line="360" w:lineRule="auto"/>
        <w:rPr>
          <w:szCs w:val="24"/>
          <w:lang w:eastAsia="en-US"/>
        </w:rPr>
      </w:pPr>
      <w:r w:rsidRPr="005E4C48">
        <w:rPr>
          <w:rFonts w:eastAsia="Calibri"/>
          <w:szCs w:val="22"/>
          <w:lang w:eastAsia="en-US"/>
        </w:rPr>
        <w:t xml:space="preserve">Vzhľadom na význam produkcie obilnín a trhov s obilninami bude Komisia venovať osobitnú pozornosť monitorovaniu dovozu obilnín, najmä pšenice, a najmä koncentrácii takéhoto dovozu v členských štátoch susediacich s Ukrajinou. Komisia sa vo svojom pravidelnom dialógu s Ukrajinou bude zaoberať všetkými otázkami, ktoré vyplynú z monitorovania. Komisia pripomína, že dovoz z Ukrajiny môže podliehať dohľadu podľa kapitoly IV nariadenia Európskeho parlamentu a Rady (EÚ) </w:t>
      </w:r>
      <w:r w:rsidRPr="00715236">
        <w:rPr>
          <w:rFonts w:eastAsia="Calibri"/>
          <w:szCs w:val="22"/>
          <w:lang w:eastAsia="en-US"/>
        </w:rPr>
        <w:t>2015</w:t>
      </w:r>
      <w:r w:rsidRPr="005E4C48">
        <w:rPr>
          <w:rFonts w:eastAsia="Calibri"/>
          <w:szCs w:val="22"/>
          <w:lang w:eastAsia="en-US"/>
        </w:rPr>
        <w:t>/</w:t>
      </w:r>
      <w:r w:rsidRPr="00715236">
        <w:rPr>
          <w:rFonts w:eastAsia="Calibri"/>
          <w:szCs w:val="22"/>
          <w:lang w:eastAsia="en-US"/>
        </w:rPr>
        <w:t>478</w:t>
      </w:r>
      <w:r w:rsidRPr="005E4C48">
        <w:rPr>
          <w:rFonts w:eastAsia="Calibri"/>
          <w:szCs w:val="22"/>
          <w:lang w:eastAsia="en-US"/>
        </w:rPr>
        <w:t xml:space="preserve"> z </w:t>
      </w:r>
      <w:r w:rsidRPr="00715236">
        <w:rPr>
          <w:rFonts w:eastAsia="Calibri"/>
          <w:szCs w:val="22"/>
          <w:lang w:eastAsia="en-US"/>
        </w:rPr>
        <w:t>11</w:t>
      </w:r>
      <w:r w:rsidRPr="005E4C48">
        <w:rPr>
          <w:rFonts w:eastAsia="Calibri"/>
          <w:szCs w:val="22"/>
          <w:lang w:eastAsia="en-US"/>
        </w:rPr>
        <w:t xml:space="preserve">. marca </w:t>
      </w:r>
      <w:r w:rsidRPr="00715236">
        <w:rPr>
          <w:rFonts w:eastAsia="Calibri"/>
          <w:szCs w:val="22"/>
          <w:lang w:eastAsia="en-US"/>
        </w:rPr>
        <w:t>2015</w:t>
      </w:r>
      <w:r w:rsidRPr="005E4C48">
        <w:rPr>
          <w:rFonts w:eastAsia="Calibri"/>
          <w:szCs w:val="22"/>
          <w:lang w:eastAsia="en-US"/>
        </w:rPr>
        <w:t xml:space="preserve"> o spoločných pravidlách na dovozy, ktorý môže mať formu dovozných licencií, ak hrozí, že dovozné trendy spôsobia ujmu výrobcom z Únie a ak si to vyžadujú záujmy Únie. V tejto súvislosti bude Komisia podľa potreby využívať nástroje, ktoré má k dispozícii. Komisia bude naďalej pravidelne podávať členským štátom správy o výsledkoch pravidelného dialógu s Ukrajinou.</w:t>
      </w:r>
    </w:p>
    <w:p w:rsidR="002F7CB1" w:rsidRPr="005E4C48" w:rsidRDefault="002F7CB1" w:rsidP="002F7CB1">
      <w:pPr>
        <w:widowControl/>
        <w:spacing w:before="120" w:after="120" w:line="360" w:lineRule="auto"/>
        <w:rPr>
          <w:rFonts w:eastAsia="Calibri"/>
          <w:szCs w:val="22"/>
          <w:lang w:eastAsia="en-US"/>
        </w:rPr>
      </w:pPr>
      <w:r w:rsidRPr="005E4C48">
        <w:rPr>
          <w:rFonts w:eastAsia="Calibri"/>
          <w:szCs w:val="22"/>
          <w:lang w:eastAsia="en-US"/>
        </w:rPr>
        <w:t>Pokiaľ ide o výrobky, na ktoré sa vzťahujú autonómne obchodné opatrenia, Komisia pripomína, že v nariadení sa stanovuje aj posilnený ochranný mechanizmus. Komisia po prvýkrát zaviedla túto možnosť a je pripravená aktivovať tento mechanizmus v prípade nepriaznivých účinkov na trh jedného alebo viacerých členských štátov, a nielen na trh EÚ ako celok. V tejto súvislosti Komisia v plnom rozsahu využije svoje právomoci na to, aby pre dovoz pšenice z Ukrajiny z úradnej moci iniciovala posilnený ochranný mechanizmus.</w:t>
      </w:r>
    </w:p>
    <w:p w:rsidR="002F7CB1" w:rsidRPr="005E4C48" w:rsidRDefault="002F7CB1" w:rsidP="002F7CB1">
      <w:pPr>
        <w:widowControl/>
        <w:spacing w:before="120" w:after="120" w:line="360" w:lineRule="auto"/>
        <w:rPr>
          <w:rFonts w:eastAsia="Calibri"/>
          <w:szCs w:val="22"/>
          <w:lang w:eastAsia="en-US"/>
        </w:rPr>
      </w:pPr>
      <w:r w:rsidRPr="005E4C48">
        <w:rPr>
          <w:rFonts w:eastAsia="Calibri"/>
          <w:szCs w:val="22"/>
          <w:lang w:eastAsia="en-US"/>
        </w:rPr>
        <w:t xml:space="preserve">Komisia pripomína, že v rokoch </w:t>
      </w:r>
      <w:r w:rsidRPr="00715236">
        <w:rPr>
          <w:rFonts w:eastAsia="Calibri"/>
          <w:szCs w:val="22"/>
          <w:lang w:eastAsia="en-US"/>
        </w:rPr>
        <w:t>2022</w:t>
      </w:r>
      <w:r w:rsidRPr="005E4C48">
        <w:rPr>
          <w:rFonts w:eastAsia="Calibri"/>
          <w:szCs w:val="22"/>
          <w:lang w:eastAsia="en-US"/>
        </w:rPr>
        <w:t xml:space="preserve"> a </w:t>
      </w:r>
      <w:r w:rsidRPr="00715236">
        <w:rPr>
          <w:rFonts w:eastAsia="Calibri"/>
          <w:szCs w:val="22"/>
          <w:lang w:eastAsia="en-US"/>
        </w:rPr>
        <w:t>2023</w:t>
      </w:r>
      <w:r w:rsidRPr="005E4C48">
        <w:rPr>
          <w:rFonts w:eastAsia="Calibri"/>
          <w:szCs w:val="22"/>
          <w:lang w:eastAsia="en-US"/>
        </w:rPr>
        <w:t xml:space="preserve"> prijala opatrenia na podporu európskych poľnohospodárov vo všetkých členských štátoch, najmä v členských štátoch susediacich s Ukrajinou.</w:t>
      </w:r>
    </w:p>
    <w:p w:rsidR="002F7CB1" w:rsidRPr="005E4C48" w:rsidRDefault="002F7CB1" w:rsidP="002F7CB1">
      <w:pPr>
        <w:widowControl/>
        <w:rPr>
          <w:rFonts w:eastAsia="Calibri"/>
          <w:szCs w:val="22"/>
          <w:lang w:eastAsia="en-US"/>
        </w:rPr>
      </w:pPr>
      <w:r w:rsidRPr="005E4C48">
        <w:rPr>
          <w:rFonts w:eastAsia="Calibri"/>
          <w:szCs w:val="22"/>
          <w:lang w:eastAsia="en-US"/>
        </w:rPr>
        <w:br w:type="page"/>
      </w:r>
    </w:p>
    <w:p w:rsidR="002F7CB1" w:rsidRPr="005E4C48" w:rsidRDefault="002F7CB1" w:rsidP="002F7CB1">
      <w:pPr>
        <w:spacing w:before="360"/>
        <w:jc w:val="center"/>
        <w:rPr>
          <w:b/>
          <w:szCs w:val="24"/>
        </w:rPr>
      </w:pPr>
      <w:r w:rsidRPr="005E4C48">
        <w:rPr>
          <w:b/>
          <w:szCs w:val="24"/>
        </w:rPr>
        <w:lastRenderedPageBreak/>
        <w:t xml:space="preserve">Vyhlásenie Komisie o postupe preskúmania podľa článku </w:t>
      </w:r>
      <w:r w:rsidRPr="00715236">
        <w:rPr>
          <w:b/>
          <w:szCs w:val="24"/>
        </w:rPr>
        <w:t>29</w:t>
      </w:r>
      <w:r w:rsidRPr="005E4C48">
        <w:rPr>
          <w:b/>
          <w:szCs w:val="24"/>
        </w:rPr>
        <w:t xml:space="preserve"> dohody o pridružení pri príležitosti prijatia nariadenia </w:t>
      </w:r>
      <w:r w:rsidR="00695690">
        <w:rPr>
          <w:b/>
          <w:szCs w:val="24"/>
        </w:rPr>
        <w:t xml:space="preserve">(EÚ) </w:t>
      </w:r>
      <w:r w:rsidRPr="00715236">
        <w:rPr>
          <w:b/>
          <w:szCs w:val="24"/>
        </w:rPr>
        <w:t>2024</w:t>
      </w:r>
      <w:r w:rsidRPr="005E4C48">
        <w:rPr>
          <w:b/>
          <w:szCs w:val="24"/>
        </w:rPr>
        <w:t>/</w:t>
      </w:r>
      <w:r w:rsidR="00695690">
        <w:rPr>
          <w:b/>
          <w:szCs w:val="24"/>
        </w:rPr>
        <w:t>1392</w:t>
      </w:r>
    </w:p>
    <w:p w:rsidR="002F7CB1" w:rsidRPr="005E4C48" w:rsidRDefault="002F7CB1" w:rsidP="002F7CB1">
      <w:pPr>
        <w:widowControl/>
        <w:spacing w:before="360" w:after="120" w:line="360" w:lineRule="auto"/>
        <w:rPr>
          <w:rFonts w:eastAsia="Calibri"/>
          <w:szCs w:val="22"/>
          <w:lang w:eastAsia="en-US"/>
        </w:rPr>
      </w:pPr>
      <w:r w:rsidRPr="005E4C48">
        <w:rPr>
          <w:rFonts w:eastAsia="Calibri"/>
          <w:szCs w:val="22"/>
          <w:lang w:eastAsia="en-US"/>
        </w:rPr>
        <w:t xml:space="preserve">Komisia potvrdzuje, že hneď ako spoluzákonodarcovia prijmú nové autonómne obchodné opatrenia, podnikne potrebné kroky podľa článku </w:t>
      </w:r>
      <w:r w:rsidRPr="00715236">
        <w:rPr>
          <w:rFonts w:eastAsia="Calibri"/>
          <w:szCs w:val="22"/>
          <w:lang w:eastAsia="en-US"/>
        </w:rPr>
        <w:t>29</w:t>
      </w:r>
      <w:r w:rsidRPr="005E4C48">
        <w:rPr>
          <w:rFonts w:eastAsia="Calibri"/>
          <w:szCs w:val="22"/>
          <w:lang w:eastAsia="en-US"/>
        </w:rPr>
        <w:t xml:space="preserve"> dohody o pridružení, aby prostredníctvom konzultácií s Ukrajinou pokračovala v procese recipročnej liberalizácie ciel.</w:t>
      </w:r>
    </w:p>
    <w:p w:rsidR="002F7CB1" w:rsidRPr="005E4C48" w:rsidRDefault="002F7CB1" w:rsidP="002F7CB1">
      <w:pPr>
        <w:widowControl/>
        <w:spacing w:before="120" w:after="120" w:line="360" w:lineRule="auto"/>
        <w:rPr>
          <w:rFonts w:eastAsia="Calibri"/>
          <w:szCs w:val="22"/>
          <w:lang w:eastAsia="en-US"/>
        </w:rPr>
      </w:pPr>
      <w:r w:rsidRPr="005E4C48">
        <w:rPr>
          <w:rFonts w:eastAsia="Calibri"/>
          <w:szCs w:val="22"/>
          <w:lang w:eastAsia="en-US"/>
        </w:rPr>
        <w:t>Komisia bude intenzívne zapájať Európsky parlament a bude ho informovať o pokroku týchto konzultácií s Ukrajinou. Komisia v tejto súvislosti náležite zohľadní prípadné pripomienky Európskeho parlamentu.</w:t>
      </w:r>
    </w:p>
    <w:p w:rsidR="002F7CB1" w:rsidRPr="005E4C48" w:rsidRDefault="002F7CB1" w:rsidP="002F7CB1">
      <w:pPr>
        <w:widowControl/>
        <w:spacing w:before="120" w:after="120" w:line="360" w:lineRule="auto"/>
        <w:rPr>
          <w:rFonts w:eastAsia="Calibri"/>
          <w:szCs w:val="22"/>
          <w:lang w:eastAsia="en-US"/>
        </w:rPr>
      </w:pPr>
      <w:r w:rsidRPr="005E4C48">
        <w:rPr>
          <w:rFonts w:eastAsia="Calibri"/>
          <w:szCs w:val="22"/>
          <w:lang w:eastAsia="en-US"/>
        </w:rPr>
        <w:t xml:space="preserve">Komisia pripomína, že tieto pracovné postupy nepredstavujú precedens pre doložky o preskúmaní v žiadnej inej dohode a neodchyľujú sa od článku </w:t>
      </w:r>
      <w:r w:rsidRPr="00715236">
        <w:rPr>
          <w:rFonts w:eastAsia="Calibri"/>
          <w:szCs w:val="22"/>
          <w:lang w:eastAsia="en-US"/>
        </w:rPr>
        <w:t>218</w:t>
      </w:r>
      <w:r w:rsidRPr="005E4C48">
        <w:rPr>
          <w:rFonts w:eastAsia="Calibri"/>
          <w:szCs w:val="22"/>
          <w:lang w:eastAsia="en-US"/>
        </w:rPr>
        <w:t xml:space="preserve"> ZFEÚ.</w:t>
      </w:r>
    </w:p>
    <w:p w:rsidR="002F7CB1" w:rsidRPr="005E4C48" w:rsidRDefault="002F7CB1" w:rsidP="002F7CB1">
      <w:pPr>
        <w:widowControl/>
        <w:spacing w:before="120" w:after="120" w:line="360" w:lineRule="auto"/>
        <w:rPr>
          <w:szCs w:val="24"/>
        </w:rPr>
      </w:pPr>
      <w:bookmarkStart w:id="9" w:name="_Hlk162345814"/>
      <w:r w:rsidRPr="005E4C48">
        <w:rPr>
          <w:rFonts w:eastAsia="Calibri"/>
          <w:szCs w:val="22"/>
          <w:lang w:eastAsia="en-US"/>
        </w:rPr>
        <w:t>Výsledok tohto procesu poskytne Ukrajine aj EÚ, poľnohospodárom a podnikom hospodársku istotu a stabilný obchod. Bude to tiež dôležitý krok k obnove Ukrajiny a jej ďalšej integrácii do vnútorného trhu EÚ</w:t>
      </w:r>
      <w:r w:rsidRPr="005E4C48">
        <w:t xml:space="preserve"> v rámci budúceho pristúpenia krajiny k Únii.</w:t>
      </w:r>
    </w:p>
    <w:bookmarkEnd w:id="9"/>
    <w:p w:rsidR="004A5B87" w:rsidRPr="005E4C48" w:rsidRDefault="004A5B87" w:rsidP="004A5B87">
      <w:pPr>
        <w:spacing w:after="240"/>
        <w:jc w:val="center"/>
      </w:pPr>
    </w:p>
    <w:sectPr w:rsidR="004A5B87" w:rsidRPr="005E4C4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354" w:rsidRDefault="009C2174">
      <w:r>
        <w:separator/>
      </w:r>
    </w:p>
  </w:endnote>
  <w:endnote w:type="continuationSeparator" w:id="0">
    <w:p w:rsidR="00EB7354" w:rsidRDefault="009C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354" w:rsidRDefault="00EB735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354" w:rsidRDefault="00EB735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354" w:rsidRDefault="00EB735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354" w:rsidRDefault="009C2174">
      <w:r>
        <w:separator/>
      </w:r>
    </w:p>
  </w:footnote>
  <w:footnote w:type="continuationSeparator" w:id="0">
    <w:p w:rsidR="00EB7354" w:rsidRDefault="009C2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354" w:rsidRDefault="00EB735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354" w:rsidRDefault="00EB735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354" w:rsidRDefault="00EB735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7/2024"/>
    <w:docVar w:name="dvlangue" w:val="SK"/>
    <w:docVar w:name="dvnumam" w:val="26"/>
    <w:docVar w:name="dvpe" w:val="758.681"/>
    <w:docVar w:name="dvrapporteur" w:val="Spravodajkyňa: "/>
    <w:docVar w:name="dvstar" w:val="***I"/>
    <w:docVar w:name="dvtitre" w:val="Legislatívne uznesenie Európskeho parlamentu z xx. marca 2024 o návrhu nariadenia Európskeho parlamentu a Rady o dočasných opatreniach na liberalizáciu obchodu, ktorými sa dopĺňajú obchodné koncesie uplatniteľné na ukrajinské výrobky podľa Dohody o pridružení medzi Európskou úniou a Európskym spoločenstvom pre atómovú energiu a ich členskými štátmi na jednej strane a Ukrajinou na strane druhej(COM(2024)0050 – C9-0021/2024 – 2024/0028(COD))"/>
  </w:docVars>
  <w:rsids>
    <w:rsidRoot w:val="00EB7354"/>
    <w:rsid w:val="000C0E7E"/>
    <w:rsid w:val="000C1B9E"/>
    <w:rsid w:val="00261C63"/>
    <w:rsid w:val="002F7CB1"/>
    <w:rsid w:val="00394438"/>
    <w:rsid w:val="003B4ADC"/>
    <w:rsid w:val="004A5B87"/>
    <w:rsid w:val="0053304C"/>
    <w:rsid w:val="00552274"/>
    <w:rsid w:val="005B3B49"/>
    <w:rsid w:val="005E4C48"/>
    <w:rsid w:val="0069498B"/>
    <w:rsid w:val="00695690"/>
    <w:rsid w:val="00715236"/>
    <w:rsid w:val="009C2174"/>
    <w:rsid w:val="00D234E8"/>
    <w:rsid w:val="00DC6DC2"/>
    <w:rsid w:val="00EB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38E00A"/>
  <w15:chartTrackingRefBased/>
  <w15:docId w15:val="{91A8B998-D823-4639-838B-41C07B7BF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rsid w:val="00D234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234E8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E587B-FAF1-429D-89FB-3BD8B4D30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826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2024-09-11T09:21:00Z</dcterms:created>
  <dcterms:modified xsi:type="dcterms:W3CDTF">2024-09-11T09:21:00Z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P9_TA(2024)0304_</vt:lpwstr>
  </property>
  <property fmtid="{D5CDD505-2E9C-101B-9397-08002B2CF9AE}" pid="4" name="&lt;Type&gt;">
    <vt:lpwstr>RR</vt:lpwstr>
  </property>
</Properties>
</file>