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D6DF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D6DF6" w:rsidRDefault="00345B3E" w:rsidP="0010095E">
            <w:pPr>
              <w:pStyle w:val="EPName"/>
            </w:pPr>
            <w:r w:rsidRPr="003D6DF6">
              <w:t>Parlamento Europeu</w:t>
            </w:r>
          </w:p>
          <w:p w:rsidR="00751A4A" w:rsidRPr="003D6DF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35FC0">
              <w:t>2019</w:t>
            </w:r>
            <w:r w:rsidRPr="003D6DF6">
              <w:t>-</w:t>
            </w:r>
            <w:r w:rsidRPr="00D35FC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D6DF6" w:rsidRDefault="00187494" w:rsidP="0010095E">
            <w:pPr>
              <w:pStyle w:val="EPLogo"/>
            </w:pPr>
            <w:r w:rsidRPr="003D6DF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D6DF6" w:rsidRDefault="00D058B8" w:rsidP="004C5D52">
      <w:pPr>
        <w:pStyle w:val="LineTop"/>
      </w:pPr>
    </w:p>
    <w:p w:rsidR="00680577" w:rsidRPr="003D6DF6" w:rsidRDefault="00345B3E" w:rsidP="00680577">
      <w:pPr>
        <w:pStyle w:val="EPBodyTA1"/>
      </w:pPr>
      <w:r w:rsidRPr="003D6DF6">
        <w:t>TEXTOS APROVADOS</w:t>
      </w:r>
    </w:p>
    <w:p w:rsidR="00D058B8" w:rsidRPr="003D6DF6" w:rsidRDefault="00D058B8" w:rsidP="00D058B8">
      <w:pPr>
        <w:pStyle w:val="LineBottom"/>
      </w:pPr>
    </w:p>
    <w:p w:rsidR="00345B3E" w:rsidRPr="003D6DF6" w:rsidRDefault="00345B3E" w:rsidP="00345B3E">
      <w:pPr>
        <w:pStyle w:val="ATHeading1"/>
      </w:pPr>
      <w:bookmarkStart w:id="0" w:name="TANumber"/>
      <w:r w:rsidRPr="003D6DF6">
        <w:t>P</w:t>
      </w:r>
      <w:r w:rsidRPr="00D35FC0">
        <w:t>9</w:t>
      </w:r>
      <w:r w:rsidRPr="003D6DF6">
        <w:t>_TA(</w:t>
      </w:r>
      <w:r w:rsidRPr="00D35FC0">
        <w:t>2024</w:t>
      </w:r>
      <w:r w:rsidRPr="003D6DF6">
        <w:t>)</w:t>
      </w:r>
      <w:r w:rsidRPr="00D35FC0">
        <w:t>0</w:t>
      </w:r>
      <w:bookmarkEnd w:id="0"/>
      <w:r w:rsidR="000350D9" w:rsidRPr="00D35FC0">
        <w:t>305</w:t>
      </w:r>
    </w:p>
    <w:p w:rsidR="00345B3E" w:rsidRPr="003D6DF6" w:rsidRDefault="00345B3E" w:rsidP="00345B3E">
      <w:pPr>
        <w:pStyle w:val="ATHeading2"/>
      </w:pPr>
      <w:bookmarkStart w:id="1" w:name="title"/>
      <w:r w:rsidRPr="003D6DF6">
        <w:t>Isenção de visto para os titulares de passaportes sérvios emitidos pela Direção de Coordenação sérvia</w:t>
      </w:r>
      <w:bookmarkEnd w:id="1"/>
    </w:p>
    <w:p w:rsidR="00345B3E" w:rsidRPr="003D6DF6" w:rsidRDefault="00345B3E" w:rsidP="00345B3E">
      <w:pPr>
        <w:rPr>
          <w:i/>
          <w:vanish/>
        </w:rPr>
      </w:pPr>
      <w:r w:rsidRPr="003D6DF6">
        <w:rPr>
          <w:i/>
        </w:rPr>
        <w:fldChar w:fldCharType="begin"/>
      </w:r>
      <w:r w:rsidRPr="003D6DF6">
        <w:rPr>
          <w:i/>
        </w:rPr>
        <w:instrText xml:space="preserve"> TC"(</w:instrText>
      </w:r>
      <w:bookmarkStart w:id="2" w:name="DocNumber"/>
      <w:r w:rsidRPr="003D6DF6">
        <w:rPr>
          <w:i/>
        </w:rPr>
        <w:instrText>A</w:instrText>
      </w:r>
      <w:r w:rsidRPr="00D35FC0">
        <w:rPr>
          <w:i/>
        </w:rPr>
        <w:instrText>9</w:instrText>
      </w:r>
      <w:r w:rsidRPr="003D6DF6">
        <w:rPr>
          <w:i/>
        </w:rPr>
        <w:instrText>-</w:instrText>
      </w:r>
      <w:r w:rsidRPr="00D35FC0">
        <w:rPr>
          <w:i/>
        </w:rPr>
        <w:instrText>0172</w:instrText>
      </w:r>
      <w:r w:rsidRPr="003D6DF6">
        <w:rPr>
          <w:i/>
        </w:rPr>
        <w:instrText>/</w:instrText>
      </w:r>
      <w:r w:rsidRPr="00D35FC0">
        <w:rPr>
          <w:i/>
        </w:rPr>
        <w:instrText>2024</w:instrText>
      </w:r>
      <w:bookmarkEnd w:id="2"/>
      <w:r w:rsidRPr="003D6DF6">
        <w:rPr>
          <w:i/>
        </w:rPr>
        <w:instrText xml:space="preserve"> - Relator: Matjaž Nemec)"\l</w:instrText>
      </w:r>
      <w:r w:rsidRPr="00D35FC0">
        <w:rPr>
          <w:i/>
        </w:rPr>
        <w:instrText>3</w:instrText>
      </w:r>
      <w:r w:rsidRPr="003D6DF6">
        <w:rPr>
          <w:i/>
        </w:rPr>
        <w:instrText xml:space="preserve"> \n&gt; \* MERGEFORMAT </w:instrText>
      </w:r>
      <w:r w:rsidRPr="003D6DF6">
        <w:rPr>
          <w:i/>
        </w:rPr>
        <w:fldChar w:fldCharType="end"/>
      </w:r>
    </w:p>
    <w:p w:rsidR="00345B3E" w:rsidRPr="003D6DF6" w:rsidRDefault="00345B3E" w:rsidP="00345B3E">
      <w:pPr>
        <w:rPr>
          <w:vanish/>
        </w:rPr>
      </w:pPr>
      <w:bookmarkStart w:id="3" w:name="Commission"/>
      <w:r w:rsidRPr="003D6DF6">
        <w:rPr>
          <w:vanish/>
        </w:rPr>
        <w:t>Comissão das Liberdades Cívicas, da Justiça e dos Assuntos Internos</w:t>
      </w:r>
      <w:bookmarkEnd w:id="3"/>
    </w:p>
    <w:p w:rsidR="00345B3E" w:rsidRPr="003D6DF6" w:rsidRDefault="00345B3E" w:rsidP="00345B3E">
      <w:pPr>
        <w:rPr>
          <w:vanish/>
        </w:rPr>
      </w:pPr>
      <w:bookmarkStart w:id="4" w:name="PE"/>
      <w:r w:rsidRPr="003D6DF6">
        <w:rPr>
          <w:vanish/>
        </w:rPr>
        <w:t>PE</w:t>
      </w:r>
      <w:r w:rsidRPr="00D35FC0">
        <w:rPr>
          <w:vanish/>
        </w:rPr>
        <w:t>759</w:t>
      </w:r>
      <w:r w:rsidRPr="003D6DF6">
        <w:rPr>
          <w:vanish/>
        </w:rPr>
        <w:t>.</w:t>
      </w:r>
      <w:r w:rsidRPr="00D35FC0">
        <w:rPr>
          <w:vanish/>
        </w:rPr>
        <w:t>740</w:t>
      </w:r>
      <w:bookmarkEnd w:id="4"/>
    </w:p>
    <w:p w:rsidR="00345B3E" w:rsidRPr="003D6DF6" w:rsidRDefault="00345B3E" w:rsidP="00345B3E">
      <w:pPr>
        <w:pStyle w:val="ATHeading3"/>
      </w:pPr>
      <w:bookmarkStart w:id="5" w:name="Sujet"/>
      <w:r w:rsidRPr="003D6DF6">
        <w:t xml:space="preserve">Resolução legislativa do Parlamento Europeu, de </w:t>
      </w:r>
      <w:r w:rsidR="00EC396C" w:rsidRPr="00D35FC0">
        <w:t>23</w:t>
      </w:r>
      <w:r w:rsidR="00EC396C" w:rsidRPr="003D6DF6">
        <w:t xml:space="preserve"> </w:t>
      </w:r>
      <w:r w:rsidRPr="003D6DF6">
        <w:t xml:space="preserve">de </w:t>
      </w:r>
      <w:r w:rsidR="00EC396C" w:rsidRPr="003D6DF6">
        <w:t xml:space="preserve">abril </w:t>
      </w:r>
      <w:r w:rsidRPr="003D6DF6">
        <w:t xml:space="preserve">de </w:t>
      </w:r>
      <w:r w:rsidRPr="00D35FC0">
        <w:t>2024</w:t>
      </w:r>
      <w:r w:rsidRPr="003D6DF6">
        <w:t xml:space="preserve">, sobre a proposta de regulamento do Parlamento Europeu e do Conselho que altera o Regulamento (UE) </w:t>
      </w:r>
      <w:r w:rsidRPr="00D35FC0">
        <w:t>2018</w:t>
      </w:r>
      <w:r w:rsidRPr="003D6DF6">
        <w:t>/</w:t>
      </w:r>
      <w:r w:rsidRPr="00D35FC0">
        <w:t>1806</w:t>
      </w:r>
      <w:r w:rsidRPr="003D6DF6">
        <w:t xml:space="preserve"> no que diz respeito aos titulares de passaportes sérvios emitidos pela Direção de Coordenação sérvia (Koordinaciona uprava)</w:t>
      </w:r>
      <w:bookmarkEnd w:id="5"/>
      <w:r w:rsidRPr="003D6DF6">
        <w:t xml:space="preserve"> </w:t>
      </w:r>
      <w:bookmarkStart w:id="6" w:name="References"/>
      <w:r w:rsidRPr="003D6DF6">
        <w:t>(COM(</w:t>
      </w:r>
      <w:r w:rsidRPr="00D35FC0">
        <w:t>2023</w:t>
      </w:r>
      <w:r w:rsidRPr="003D6DF6">
        <w:t>)</w:t>
      </w:r>
      <w:r w:rsidRPr="00D35FC0">
        <w:t>0733</w:t>
      </w:r>
      <w:r w:rsidRPr="003D6DF6">
        <w:t xml:space="preserve"> – C</w:t>
      </w:r>
      <w:r w:rsidRPr="00D35FC0">
        <w:t>9</w:t>
      </w:r>
      <w:r w:rsidRPr="003D6DF6">
        <w:t>-</w:t>
      </w:r>
      <w:r w:rsidRPr="00D35FC0">
        <w:t>0412</w:t>
      </w:r>
      <w:r w:rsidRPr="003D6DF6">
        <w:t>/</w:t>
      </w:r>
      <w:r w:rsidRPr="00D35FC0">
        <w:t>2023</w:t>
      </w:r>
      <w:r w:rsidRPr="003D6DF6">
        <w:t xml:space="preserve"> – </w:t>
      </w:r>
      <w:r w:rsidRPr="00D35FC0">
        <w:t>2023</w:t>
      </w:r>
      <w:r w:rsidRPr="003D6DF6">
        <w:t>/</w:t>
      </w:r>
      <w:r w:rsidRPr="00D35FC0">
        <w:t>0418</w:t>
      </w:r>
      <w:r w:rsidRPr="003D6DF6">
        <w:t>(COD))</w:t>
      </w:r>
      <w:bookmarkEnd w:id="6"/>
    </w:p>
    <w:p w:rsidR="00345B3E" w:rsidRPr="003D6DF6" w:rsidRDefault="00345B3E" w:rsidP="00345B3E"/>
    <w:p w:rsidR="000B4C85" w:rsidRPr="003D6DF6" w:rsidRDefault="000B4C85" w:rsidP="000B4C85">
      <w:pPr>
        <w:pStyle w:val="NormalBold"/>
      </w:pPr>
      <w:bookmarkStart w:id="7" w:name="TextBodyBegin"/>
      <w:bookmarkEnd w:id="7"/>
      <w:r w:rsidRPr="003D6DF6">
        <w:t>(Processo legislativo ordinário: primeira leitura)</w:t>
      </w:r>
    </w:p>
    <w:p w:rsidR="000B4C85" w:rsidRPr="003D6DF6" w:rsidRDefault="000B4C85" w:rsidP="000B4C85">
      <w:pPr>
        <w:pStyle w:val="EPComma"/>
      </w:pPr>
      <w:r w:rsidRPr="003D6DF6">
        <w:rPr>
          <w:i/>
          <w:iCs/>
        </w:rPr>
        <w:t>O Parlamento Europeu</w:t>
      </w:r>
      <w:r w:rsidRPr="003D6DF6">
        <w:t>,</w:t>
      </w:r>
    </w:p>
    <w:p w:rsidR="000B4C85" w:rsidRPr="003D6DF6" w:rsidRDefault="000B4C85" w:rsidP="000B4C85">
      <w:pPr>
        <w:pStyle w:val="NormalHanging12a"/>
      </w:pPr>
      <w:r w:rsidRPr="003D6DF6">
        <w:t>–</w:t>
      </w:r>
      <w:r w:rsidRPr="003D6DF6">
        <w:tab/>
        <w:t>Tendo em conta a proposta da Comissão ao Parlamento e ao Conselho (COM(</w:t>
      </w:r>
      <w:r w:rsidRPr="00D35FC0">
        <w:t>2023</w:t>
      </w:r>
      <w:r w:rsidRPr="003D6DF6">
        <w:t>)</w:t>
      </w:r>
      <w:r w:rsidRPr="00D35FC0">
        <w:t>0733</w:t>
      </w:r>
      <w:r w:rsidRPr="003D6DF6">
        <w:t>),</w:t>
      </w:r>
    </w:p>
    <w:p w:rsidR="000B4C85" w:rsidRPr="003D6DF6" w:rsidRDefault="000B4C85" w:rsidP="000B4C85">
      <w:pPr>
        <w:pStyle w:val="NormalHanging12a"/>
      </w:pPr>
      <w:r w:rsidRPr="003D6DF6">
        <w:t>–</w:t>
      </w:r>
      <w:r w:rsidRPr="003D6DF6">
        <w:tab/>
        <w:t>Tendo em conta o artigo </w:t>
      </w:r>
      <w:r w:rsidRPr="00D35FC0">
        <w:t>294</w:t>
      </w:r>
      <w:r w:rsidRPr="003D6DF6">
        <w:t>.º, n.º </w:t>
      </w:r>
      <w:r w:rsidRPr="00D35FC0">
        <w:t>2</w:t>
      </w:r>
      <w:r w:rsidRPr="003D6DF6">
        <w:t>, e o artigo </w:t>
      </w:r>
      <w:r w:rsidRPr="00D35FC0">
        <w:t>77</w:t>
      </w:r>
      <w:r w:rsidRPr="003D6DF6">
        <w:t>.º, n.º </w:t>
      </w:r>
      <w:r w:rsidRPr="00D35FC0">
        <w:t>2</w:t>
      </w:r>
      <w:r w:rsidRPr="003D6DF6">
        <w:t>, alínea a), do Tratado sobre o Funcionamento da União Europeia, nos termos dos quais a proposta lhe foi apresentada pela Comissão (C</w:t>
      </w:r>
      <w:r w:rsidRPr="00D35FC0">
        <w:t>9</w:t>
      </w:r>
      <w:r w:rsidRPr="003D6DF6">
        <w:noBreakHyphen/>
      </w:r>
      <w:r w:rsidRPr="00D35FC0">
        <w:t>0412</w:t>
      </w:r>
      <w:r w:rsidRPr="003D6DF6">
        <w:t>/</w:t>
      </w:r>
      <w:r w:rsidRPr="00D35FC0">
        <w:t>2023</w:t>
      </w:r>
      <w:r w:rsidRPr="003D6DF6">
        <w:t>),</w:t>
      </w:r>
    </w:p>
    <w:p w:rsidR="000B4C85" w:rsidRPr="003D6DF6" w:rsidRDefault="000B4C85" w:rsidP="000B4C85">
      <w:pPr>
        <w:pStyle w:val="NormalHanging12a"/>
      </w:pPr>
      <w:r w:rsidRPr="003D6DF6">
        <w:t>–</w:t>
      </w:r>
      <w:r w:rsidRPr="003D6DF6">
        <w:tab/>
        <w:t xml:space="preserve">Tendo em conta o artigo </w:t>
      </w:r>
      <w:r w:rsidRPr="00D35FC0">
        <w:t>294</w:t>
      </w:r>
      <w:r w:rsidRPr="003D6DF6">
        <w:t>.º, n.º </w:t>
      </w:r>
      <w:r w:rsidRPr="00D35FC0">
        <w:t>3</w:t>
      </w:r>
      <w:r w:rsidRPr="003D6DF6">
        <w:t>, do Tratado sobre o Funcionamento da União Europeia,</w:t>
      </w:r>
    </w:p>
    <w:p w:rsidR="008E4BC9" w:rsidRPr="003D6DF6" w:rsidRDefault="008E4BC9" w:rsidP="000B4C85">
      <w:pPr>
        <w:pStyle w:val="NormalHanging12a"/>
      </w:pPr>
      <w:r w:rsidRPr="003D6DF6">
        <w:t>–</w:t>
      </w:r>
      <w:r w:rsidRPr="003D6DF6">
        <w:tab/>
        <w:t xml:space="preserve">Tendo em conta o compromisso assumido pelo representante do Conselho, em carta de </w:t>
      </w:r>
      <w:r w:rsidRPr="00D35FC0">
        <w:t>10</w:t>
      </w:r>
      <w:r w:rsidRPr="003D6DF6">
        <w:t xml:space="preserve"> de abril de </w:t>
      </w:r>
      <w:r w:rsidRPr="00D35FC0">
        <w:t>2024</w:t>
      </w:r>
      <w:r w:rsidRPr="003D6DF6">
        <w:t xml:space="preserve">, de aprovar a posição do Parlamento, </w:t>
      </w:r>
      <w:r w:rsidR="002078CE" w:rsidRPr="003D6DF6">
        <w:t xml:space="preserve">nos termos do artigo </w:t>
      </w:r>
      <w:r w:rsidR="002078CE" w:rsidRPr="00D35FC0">
        <w:t>294</w:t>
      </w:r>
      <w:r w:rsidR="002078CE" w:rsidRPr="003D6DF6">
        <w:t>.º, n.º </w:t>
      </w:r>
      <w:r w:rsidRPr="00D35FC0">
        <w:t>4</w:t>
      </w:r>
      <w:r w:rsidRPr="003D6DF6">
        <w:t>, do Tratado sobre o Funcionamento da União Europeia,</w:t>
      </w:r>
    </w:p>
    <w:p w:rsidR="000B4C85" w:rsidRPr="003D6DF6" w:rsidRDefault="000B4C85" w:rsidP="000B4C85">
      <w:pPr>
        <w:pStyle w:val="NormalHanging12a"/>
      </w:pPr>
      <w:r w:rsidRPr="003D6DF6">
        <w:t>–</w:t>
      </w:r>
      <w:r w:rsidRPr="003D6DF6">
        <w:tab/>
        <w:t xml:space="preserve">Tendo em conta o artigo </w:t>
      </w:r>
      <w:r w:rsidRPr="00D35FC0">
        <w:t>59</w:t>
      </w:r>
      <w:r w:rsidRPr="003D6DF6">
        <w:t>.º do seu Regimento,</w:t>
      </w:r>
    </w:p>
    <w:p w:rsidR="000B4C85" w:rsidRPr="003D6DF6" w:rsidRDefault="000B4C85" w:rsidP="000B4C85">
      <w:pPr>
        <w:pStyle w:val="NormalHanging12a"/>
      </w:pPr>
      <w:r w:rsidRPr="003D6DF6">
        <w:t>–</w:t>
      </w:r>
      <w:r w:rsidRPr="003D6DF6">
        <w:tab/>
        <w:t>Tendo em conta o relatório da Comissão das Liberdades Cívicas, da Justiça e dos Assuntos Internos (A</w:t>
      </w:r>
      <w:r w:rsidRPr="00D35FC0">
        <w:t>9</w:t>
      </w:r>
      <w:r w:rsidRPr="003D6DF6">
        <w:noBreakHyphen/>
      </w:r>
      <w:r w:rsidRPr="00D35FC0">
        <w:t>0172</w:t>
      </w:r>
      <w:r w:rsidRPr="003D6DF6">
        <w:t>/</w:t>
      </w:r>
      <w:r w:rsidRPr="00D35FC0">
        <w:t>2024</w:t>
      </w:r>
      <w:r w:rsidRPr="003D6DF6">
        <w:t>),</w:t>
      </w:r>
    </w:p>
    <w:p w:rsidR="000B4C85" w:rsidRPr="003D6DF6" w:rsidRDefault="000B4C85" w:rsidP="000B4C85">
      <w:pPr>
        <w:pStyle w:val="NormalHanging12a"/>
      </w:pPr>
      <w:r w:rsidRPr="00D35FC0">
        <w:t>1</w:t>
      </w:r>
      <w:r w:rsidRPr="003D6DF6">
        <w:t>.</w:t>
      </w:r>
      <w:r w:rsidRPr="003D6DF6">
        <w:tab/>
        <w:t>Aprova a posição em primeira leitura</w:t>
      </w:r>
      <w:r w:rsidR="008E4BC9" w:rsidRPr="003D6DF6">
        <w:t xml:space="preserve"> que se segue</w:t>
      </w:r>
      <w:r w:rsidRPr="003D6DF6">
        <w:t>;</w:t>
      </w:r>
    </w:p>
    <w:p w:rsidR="000B4C85" w:rsidRPr="003D6DF6" w:rsidRDefault="000B4C85" w:rsidP="000B4C85">
      <w:pPr>
        <w:pStyle w:val="NormalHanging12a"/>
      </w:pPr>
      <w:r w:rsidRPr="00D35FC0">
        <w:t>2</w:t>
      </w:r>
      <w:r w:rsidRPr="003D6DF6">
        <w:t>.</w:t>
      </w:r>
      <w:r w:rsidRPr="003D6DF6">
        <w:tab/>
        <w:t>Requer à Comissão que lhe submeta de novo a sua proposta, se a substituir, se a alterar substancialmente ou se pretender alterá</w:t>
      </w:r>
      <w:r w:rsidRPr="003D6DF6">
        <w:noBreakHyphen/>
        <w:t>la substancialmente;</w:t>
      </w:r>
    </w:p>
    <w:p w:rsidR="000B4C85" w:rsidRPr="003D6DF6" w:rsidRDefault="000B4C85" w:rsidP="000B4C85">
      <w:pPr>
        <w:pStyle w:val="NormalHanging12a"/>
      </w:pPr>
      <w:r w:rsidRPr="00D35FC0">
        <w:lastRenderedPageBreak/>
        <w:t>3</w:t>
      </w:r>
      <w:r w:rsidRPr="003D6DF6">
        <w:t>.</w:t>
      </w:r>
      <w:r w:rsidRPr="003D6DF6">
        <w:tab/>
        <w:t>Encarrega a sua Presidente de transmitir a posição do Parlamento ao Conselho, à Comissão e aos parlamentos nacionais.</w:t>
      </w:r>
    </w:p>
    <w:p w:rsidR="000B4C85" w:rsidRPr="003D6DF6" w:rsidRDefault="000B4C85" w:rsidP="000B4C85"/>
    <w:p w:rsidR="00B62E22" w:rsidRPr="003D6DF6" w:rsidRDefault="00B62E22" w:rsidP="00345B3E">
      <w:pPr>
        <w:sectPr w:rsidR="00B62E22" w:rsidRPr="003D6DF6" w:rsidSect="003C7BD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B62E22" w:rsidRPr="003D6DF6" w:rsidRDefault="00B62E22" w:rsidP="00B62E2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D6DF6">
        <w:rPr>
          <w:rFonts w:eastAsia="Calibri"/>
          <w:b/>
          <w:bCs/>
          <w:color w:val="000000"/>
          <w:szCs w:val="24"/>
        </w:rPr>
        <w:lastRenderedPageBreak/>
        <w:t>P</w:t>
      </w:r>
      <w:r w:rsidRPr="00D35FC0">
        <w:rPr>
          <w:rFonts w:eastAsia="Calibri"/>
          <w:b/>
          <w:bCs/>
          <w:color w:val="000000"/>
          <w:szCs w:val="24"/>
        </w:rPr>
        <w:t>9</w:t>
      </w:r>
      <w:r w:rsidRPr="003D6DF6">
        <w:rPr>
          <w:rFonts w:eastAsia="Calibri"/>
          <w:b/>
          <w:bCs/>
          <w:color w:val="000000"/>
          <w:szCs w:val="24"/>
        </w:rPr>
        <w:t>_TC</w:t>
      </w:r>
      <w:r w:rsidRPr="00D35FC0">
        <w:rPr>
          <w:rFonts w:eastAsia="Calibri"/>
          <w:b/>
          <w:bCs/>
          <w:color w:val="000000"/>
          <w:szCs w:val="24"/>
        </w:rPr>
        <w:t>1</w:t>
      </w:r>
      <w:r w:rsidRPr="003D6DF6">
        <w:rPr>
          <w:rFonts w:eastAsia="Calibri"/>
          <w:b/>
          <w:bCs/>
          <w:color w:val="000000"/>
          <w:szCs w:val="24"/>
        </w:rPr>
        <w:t>-COD(</w:t>
      </w:r>
      <w:r w:rsidRPr="00D35FC0">
        <w:rPr>
          <w:rFonts w:eastAsia="Calibri"/>
          <w:b/>
          <w:bCs/>
          <w:color w:val="000000"/>
          <w:szCs w:val="24"/>
        </w:rPr>
        <w:t>2023</w:t>
      </w:r>
      <w:r w:rsidRPr="003D6DF6">
        <w:rPr>
          <w:rFonts w:eastAsia="Calibri"/>
          <w:b/>
          <w:bCs/>
          <w:color w:val="000000"/>
          <w:szCs w:val="24"/>
        </w:rPr>
        <w:t>)</w:t>
      </w:r>
      <w:r w:rsidRPr="00D35FC0">
        <w:rPr>
          <w:rFonts w:eastAsia="Calibri"/>
          <w:b/>
          <w:bCs/>
          <w:color w:val="000000"/>
          <w:szCs w:val="24"/>
        </w:rPr>
        <w:t>0418</w:t>
      </w:r>
    </w:p>
    <w:p w:rsidR="00E365E1" w:rsidRDefault="00B62E22" w:rsidP="0048569A">
      <w:pPr>
        <w:spacing w:after="240"/>
        <w:rPr>
          <w:b/>
        </w:rPr>
      </w:pPr>
      <w:r w:rsidRPr="003D6DF6">
        <w:rPr>
          <w:b/>
        </w:rPr>
        <w:t xml:space="preserve">Posição do Parlamento Europeu aprovada em primeira leitura em </w:t>
      </w:r>
      <w:r w:rsidRPr="00D35FC0">
        <w:rPr>
          <w:b/>
        </w:rPr>
        <w:t>23</w:t>
      </w:r>
      <w:r w:rsidRPr="003D6DF6">
        <w:rPr>
          <w:b/>
        </w:rPr>
        <w:t xml:space="preserve"> de abril de </w:t>
      </w:r>
      <w:r w:rsidRPr="00D35FC0">
        <w:rPr>
          <w:b/>
        </w:rPr>
        <w:t>2024</w:t>
      </w:r>
      <w:r w:rsidRPr="003D6DF6">
        <w:rPr>
          <w:b/>
        </w:rPr>
        <w:t xml:space="preserve"> tendo em vista a adoção do Regulamento (UE) </w:t>
      </w:r>
      <w:r w:rsidRPr="00D35FC0">
        <w:rPr>
          <w:b/>
        </w:rPr>
        <w:t>2024</w:t>
      </w:r>
      <w:r w:rsidRPr="003D6DF6">
        <w:rPr>
          <w:b/>
        </w:rPr>
        <w:t xml:space="preserve">/... do Parlamento Europeu e do Conselho que altera o Regulamento (UE) </w:t>
      </w:r>
      <w:r w:rsidRPr="00D35FC0">
        <w:rPr>
          <w:b/>
        </w:rPr>
        <w:t>2018</w:t>
      </w:r>
      <w:r w:rsidRPr="003D6DF6">
        <w:rPr>
          <w:b/>
        </w:rPr>
        <w:t>/</w:t>
      </w:r>
      <w:r w:rsidRPr="00D35FC0">
        <w:rPr>
          <w:b/>
        </w:rPr>
        <w:t>1806</w:t>
      </w:r>
      <w:r w:rsidRPr="003D6DF6">
        <w:rPr>
          <w:b/>
        </w:rPr>
        <w:t xml:space="preserve"> no que diz respeito aos titulares de passaportes sérvios emitidos pela Direção de Coordenação sérvia (</w:t>
      </w:r>
      <w:r w:rsidRPr="003D6DF6">
        <w:rPr>
          <w:b/>
          <w:i/>
        </w:rPr>
        <w:t>Koordinaciona uprava</w:t>
      </w:r>
      <w:r w:rsidRPr="003D6DF6">
        <w:rPr>
          <w:b/>
        </w:rPr>
        <w:t>)</w:t>
      </w:r>
    </w:p>
    <w:p w:rsidR="0048569A" w:rsidRPr="0048569A" w:rsidRDefault="0048569A" w:rsidP="00345B3E">
      <w:r w:rsidRPr="00120E25">
        <w:rPr>
          <w:i/>
        </w:rPr>
        <w:t xml:space="preserve">(Uma vez que foi alcançado um acordo entre o Parlamento e o Conselho, a posição do Parlamento corresponde ao texto legislativo final, </w:t>
      </w:r>
      <w:r>
        <w:rPr>
          <w:i/>
        </w:rPr>
        <w:t>Regulamento (UE) 2024/2495</w:t>
      </w:r>
      <w:bookmarkStart w:id="9" w:name="_GoBack"/>
      <w:bookmarkEnd w:id="9"/>
      <w:r w:rsidRPr="00120E25">
        <w:rPr>
          <w:i/>
        </w:rPr>
        <w:t>.)</w:t>
      </w:r>
    </w:p>
    <w:sectPr w:rsidR="0048569A" w:rsidRPr="0048569A" w:rsidSect="003C7BD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B3E" w:rsidRPr="003C7BD5" w:rsidRDefault="00345B3E">
      <w:r w:rsidRPr="003C7BD5">
        <w:separator/>
      </w:r>
    </w:p>
  </w:endnote>
  <w:endnote w:type="continuationSeparator" w:id="0">
    <w:p w:rsidR="00345B3E" w:rsidRPr="003C7BD5" w:rsidRDefault="00345B3E">
      <w:r w:rsidRPr="003C7B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B3E" w:rsidRPr="003C7BD5" w:rsidRDefault="00345B3E">
      <w:r w:rsidRPr="003C7BD5">
        <w:separator/>
      </w:r>
    </w:p>
  </w:footnote>
  <w:footnote w:type="continuationSeparator" w:id="0">
    <w:p w:rsidR="00345B3E" w:rsidRPr="003C7BD5" w:rsidRDefault="00345B3E">
      <w:r w:rsidRPr="003C7BD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PT"/>
    <w:docVar w:name="dvnumam" w:val="0"/>
    <w:docVar w:name="dvpe" w:val="759.740"/>
    <w:docVar w:name="dvrapporteur" w:val="Relator: "/>
    <w:docVar w:name="dvstar" w:val="***I"/>
    <w:docVar w:name="dvtitre" w:val="Resolução legislativa do Parlamento Europeu, de ... de ... de 2024, sobre a proposta de regulamento do Parlamento Europeu e do Conselho que altera o Regulamento (UE) 2018/1806 no que diz respeito aos titulares de passaportes sérvios emitidos pela Direção de Coordenação sérvia (Koordinaciona uprava)(COM(2023)0733 – C9-0412/2023 – 2023/0418(COD))"/>
  </w:docVars>
  <w:rsids>
    <w:rsidRoot w:val="00345B3E"/>
    <w:rsid w:val="00002272"/>
    <w:rsid w:val="000350D9"/>
    <w:rsid w:val="00064002"/>
    <w:rsid w:val="000677B9"/>
    <w:rsid w:val="000831BA"/>
    <w:rsid w:val="000A42CC"/>
    <w:rsid w:val="000B4C85"/>
    <w:rsid w:val="000E7DD9"/>
    <w:rsid w:val="0010095E"/>
    <w:rsid w:val="00125B37"/>
    <w:rsid w:val="00187494"/>
    <w:rsid w:val="001F32AE"/>
    <w:rsid w:val="002078CE"/>
    <w:rsid w:val="002767FF"/>
    <w:rsid w:val="002B18FE"/>
    <w:rsid w:val="002B5493"/>
    <w:rsid w:val="00343214"/>
    <w:rsid w:val="00345B3E"/>
    <w:rsid w:val="00361C00"/>
    <w:rsid w:val="00395FA1"/>
    <w:rsid w:val="003C7BD5"/>
    <w:rsid w:val="003D6DF6"/>
    <w:rsid w:val="003E15D4"/>
    <w:rsid w:val="00411CCE"/>
    <w:rsid w:val="0041666E"/>
    <w:rsid w:val="00421060"/>
    <w:rsid w:val="004506EC"/>
    <w:rsid w:val="00471C19"/>
    <w:rsid w:val="0048569A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04CD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4BC9"/>
    <w:rsid w:val="00930C23"/>
    <w:rsid w:val="0093193B"/>
    <w:rsid w:val="009509D8"/>
    <w:rsid w:val="00950B64"/>
    <w:rsid w:val="00981893"/>
    <w:rsid w:val="00A1687D"/>
    <w:rsid w:val="00A43E52"/>
    <w:rsid w:val="00A4678D"/>
    <w:rsid w:val="00A60FE2"/>
    <w:rsid w:val="00A778C7"/>
    <w:rsid w:val="00AB441E"/>
    <w:rsid w:val="00AB6293"/>
    <w:rsid w:val="00AE0928"/>
    <w:rsid w:val="00AF3B82"/>
    <w:rsid w:val="00B12E95"/>
    <w:rsid w:val="00B22876"/>
    <w:rsid w:val="00B558F0"/>
    <w:rsid w:val="00B62E22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5FC0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396C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ED898"/>
  <w15:chartTrackingRefBased/>
  <w15:docId w15:val="{92860E75-9381-467A-A9DB-D348FA16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B4C85"/>
    <w:pPr>
      <w:spacing w:before="480" w:after="240"/>
    </w:pPr>
  </w:style>
  <w:style w:type="paragraph" w:customStyle="1" w:styleId="NormalBold">
    <w:name w:val="NormalBold"/>
    <w:basedOn w:val="Normal"/>
    <w:rsid w:val="000B4C85"/>
    <w:rPr>
      <w:b/>
    </w:rPr>
  </w:style>
  <w:style w:type="paragraph" w:customStyle="1" w:styleId="NormalHanging12a">
    <w:name w:val="NormalHanging12a"/>
    <w:basedOn w:val="Normal"/>
    <w:rsid w:val="000B4C85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B62E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2E22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7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86720-9CD4-4390-9724-9677FBD0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2025-01-29T16:42:00Z</dcterms:created>
  <dcterms:modified xsi:type="dcterms:W3CDTF">2025-01-29T16:42:00Z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