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1E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1E2C" w:rsidRDefault="00F05B0D" w:rsidP="0010095E">
            <w:pPr>
              <w:pStyle w:val="EPName"/>
            </w:pPr>
            <w:r w:rsidRPr="00911E2C">
              <w:t>Evropský parlament</w:t>
            </w:r>
          </w:p>
          <w:p w:rsidR="00751A4A" w:rsidRPr="00911E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1E2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11E2C" w:rsidRDefault="00187494" w:rsidP="0010095E">
            <w:pPr>
              <w:pStyle w:val="EPLogo"/>
            </w:pPr>
            <w:r w:rsidRPr="00911E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1E2C" w:rsidRDefault="00D058B8" w:rsidP="004C5D52">
      <w:pPr>
        <w:pStyle w:val="LineTop"/>
      </w:pPr>
    </w:p>
    <w:p w:rsidR="00680577" w:rsidRPr="00911E2C" w:rsidRDefault="00F05B0D" w:rsidP="00680577">
      <w:pPr>
        <w:pStyle w:val="EPBodyTA1"/>
      </w:pPr>
      <w:r w:rsidRPr="00911E2C">
        <w:t>PŘIJATÉ TEXTY</w:t>
      </w:r>
    </w:p>
    <w:p w:rsidR="00D058B8" w:rsidRPr="00911E2C" w:rsidRDefault="00D058B8" w:rsidP="00D058B8">
      <w:pPr>
        <w:pStyle w:val="LineBottom"/>
      </w:pPr>
    </w:p>
    <w:p w:rsidR="00F05B0D" w:rsidRPr="00911E2C" w:rsidRDefault="00F05B0D" w:rsidP="00F05B0D">
      <w:pPr>
        <w:pStyle w:val="ATHeading1"/>
      </w:pPr>
      <w:bookmarkStart w:id="0" w:name="TANumber"/>
      <w:r w:rsidRPr="00911E2C">
        <w:t>P9_TA(2024)0</w:t>
      </w:r>
      <w:r w:rsidR="007F6ACF">
        <w:t>308</w:t>
      </w:r>
      <w:bookmarkEnd w:id="0"/>
    </w:p>
    <w:p w:rsidR="00F05B0D" w:rsidRPr="00911E2C" w:rsidRDefault="00F05B0D" w:rsidP="00F05B0D">
      <w:pPr>
        <w:pStyle w:val="ATHeading2"/>
      </w:pPr>
      <w:bookmarkStart w:id="1" w:name="title"/>
      <w:r w:rsidRPr="00911E2C">
        <w:t>Společná pravidla na podporu oprav zboží</w:t>
      </w:r>
      <w:bookmarkEnd w:id="1"/>
    </w:p>
    <w:p w:rsidR="00F05B0D" w:rsidRPr="00911E2C" w:rsidRDefault="00F05B0D" w:rsidP="00F05B0D">
      <w:pPr>
        <w:rPr>
          <w:i/>
          <w:vanish/>
        </w:rPr>
      </w:pPr>
      <w:r w:rsidRPr="00911E2C">
        <w:rPr>
          <w:i/>
        </w:rPr>
        <w:fldChar w:fldCharType="begin"/>
      </w:r>
      <w:r w:rsidRPr="00911E2C">
        <w:rPr>
          <w:i/>
        </w:rPr>
        <w:instrText xml:space="preserve"> TC"(</w:instrText>
      </w:r>
      <w:bookmarkStart w:id="2" w:name="DocNumber"/>
      <w:r w:rsidRPr="00911E2C">
        <w:rPr>
          <w:i/>
        </w:rPr>
        <w:instrText>A9-0316/2023</w:instrText>
      </w:r>
      <w:bookmarkEnd w:id="2"/>
      <w:r w:rsidRPr="00911E2C">
        <w:rPr>
          <w:i/>
        </w:rPr>
        <w:instrText xml:space="preserve"> - Zpravodaj: René Repasi)"\l3 \n&gt; \* MERGEFORMAT </w:instrText>
      </w:r>
      <w:r w:rsidRPr="00911E2C">
        <w:rPr>
          <w:i/>
        </w:rPr>
        <w:fldChar w:fldCharType="end"/>
      </w:r>
    </w:p>
    <w:p w:rsidR="00F05B0D" w:rsidRPr="00911E2C" w:rsidRDefault="00F05B0D" w:rsidP="00F05B0D">
      <w:pPr>
        <w:rPr>
          <w:vanish/>
        </w:rPr>
      </w:pPr>
      <w:bookmarkStart w:id="3" w:name="Commission"/>
      <w:r w:rsidRPr="00911E2C">
        <w:rPr>
          <w:vanish/>
        </w:rPr>
        <w:t>Výbor pro vnitřní trh a ochranu spotřebitelů</w:t>
      </w:r>
      <w:bookmarkEnd w:id="3"/>
    </w:p>
    <w:p w:rsidR="00F05B0D" w:rsidRPr="00911E2C" w:rsidRDefault="00F05B0D" w:rsidP="00F05B0D">
      <w:pPr>
        <w:rPr>
          <w:vanish/>
        </w:rPr>
      </w:pPr>
      <w:bookmarkStart w:id="4" w:name="PE"/>
      <w:r w:rsidRPr="00911E2C">
        <w:rPr>
          <w:vanish/>
        </w:rPr>
        <w:t>PE749.950</w:t>
      </w:r>
      <w:bookmarkEnd w:id="4"/>
    </w:p>
    <w:p w:rsidR="00F05B0D" w:rsidRPr="00911E2C" w:rsidRDefault="00F05B0D" w:rsidP="00F05B0D">
      <w:pPr>
        <w:pStyle w:val="ATHeading3"/>
      </w:pPr>
      <w:bookmarkStart w:id="5" w:name="Sujet"/>
      <w:r w:rsidRPr="00911E2C">
        <w:t xml:space="preserve">Legislativní usnesení </w:t>
      </w:r>
      <w:r w:rsidR="000C574B">
        <w:t>Evropského parlamentu ze dne 23. dubna</w:t>
      </w:r>
      <w:r w:rsidRPr="00911E2C">
        <w:t xml:space="preserve"> 2024 o návrhu směrnice Evropského parlamentu a Rady o společných pravidlech na podporu oprav zboží a o změně nařízení (EU) 2017/2394 a směrnic (EU) 2019/771 a (EU) 2020/1828</w:t>
      </w:r>
      <w:bookmarkEnd w:id="5"/>
      <w:r w:rsidRPr="00911E2C">
        <w:t xml:space="preserve"> </w:t>
      </w:r>
      <w:bookmarkStart w:id="6" w:name="References"/>
      <w:r w:rsidRPr="00911E2C">
        <w:t>(COM(2023)0155 – C9-0117/2023 – 2023/0083(COD))</w:t>
      </w:r>
      <w:bookmarkEnd w:id="6"/>
    </w:p>
    <w:p w:rsidR="00835C07" w:rsidRPr="00911E2C" w:rsidRDefault="00835C07" w:rsidP="00835C07">
      <w:pPr>
        <w:pStyle w:val="NormalBold"/>
      </w:pPr>
      <w:bookmarkStart w:id="7" w:name="TextBodyBegin"/>
      <w:bookmarkEnd w:id="7"/>
      <w:r w:rsidRPr="00911E2C">
        <w:t>(Řádný legislativní postup: první čtení)</w:t>
      </w:r>
    </w:p>
    <w:p w:rsidR="00835C07" w:rsidRPr="00911E2C" w:rsidRDefault="00835C07" w:rsidP="00835C07">
      <w:pPr>
        <w:pStyle w:val="EPComma"/>
      </w:pPr>
      <w:r w:rsidRPr="00911E2C">
        <w:rPr>
          <w:i/>
        </w:rPr>
        <w:t>Evropský parlament</w:t>
      </w:r>
      <w:r w:rsidRPr="00911E2C">
        <w:t>,</w:t>
      </w:r>
    </w:p>
    <w:p w:rsidR="00835C07" w:rsidRPr="00911E2C" w:rsidRDefault="00835C07" w:rsidP="00835C07">
      <w:pPr>
        <w:pStyle w:val="NormalHanging12a"/>
      </w:pPr>
      <w:r w:rsidRPr="00911E2C">
        <w:t>–</w:t>
      </w:r>
      <w:r w:rsidRPr="00911E2C">
        <w:tab/>
        <w:t>s ohledem na návrh Komise předložený Evropskému parlamentu a Radě (COM(2023)0155),</w:t>
      </w:r>
    </w:p>
    <w:p w:rsidR="00835C07" w:rsidRPr="00911E2C" w:rsidRDefault="00835C07" w:rsidP="00835C07">
      <w:pPr>
        <w:pStyle w:val="NormalHanging12a"/>
      </w:pPr>
      <w:r w:rsidRPr="00911E2C">
        <w:t>–</w:t>
      </w:r>
      <w:r w:rsidRPr="00911E2C">
        <w:tab/>
        <w:t>s ohledem na čl. 294 odst. 2 a článek 114 Smlouvy o fungování Evropské unie, v souladu se kterými Komise předložila svůj návrh Parlamentu (C9</w:t>
      </w:r>
      <w:r w:rsidRPr="00911E2C">
        <w:noBreakHyphen/>
        <w:t>01</w:t>
      </w:r>
      <w:r w:rsidR="0056169E">
        <w:t>1</w:t>
      </w:r>
      <w:r w:rsidRPr="00911E2C">
        <w:t>7/2023),</w:t>
      </w:r>
    </w:p>
    <w:p w:rsidR="00835C07" w:rsidRDefault="00835C07" w:rsidP="00835C07">
      <w:pPr>
        <w:pStyle w:val="NormalHanging12a"/>
      </w:pPr>
      <w:r w:rsidRPr="00911E2C">
        <w:t>–</w:t>
      </w:r>
      <w:r w:rsidRPr="00911E2C">
        <w:tab/>
        <w:t>s ohledem na čl. 294 odst. 3 Smlouvy o fungování Evropské unie,</w:t>
      </w:r>
    </w:p>
    <w:p w:rsidR="0056169E" w:rsidRDefault="0056169E" w:rsidP="00835C07">
      <w:pPr>
        <w:pStyle w:val="NormalHanging12a"/>
      </w:pPr>
      <w:r w:rsidRPr="0056169E">
        <w:t>–</w:t>
      </w:r>
      <w:r w:rsidRPr="0056169E">
        <w:tab/>
        <w:t>s ohledem na stanovisko Evropského hospodářského a sociálního výboru</w:t>
      </w:r>
      <w:r>
        <w:t xml:space="preserve"> ze dne 14. června 2023</w:t>
      </w:r>
      <w:r>
        <w:rPr>
          <w:rStyle w:val="FootnoteReference"/>
        </w:rPr>
        <w:footnoteReference w:id="1"/>
      </w:r>
      <w:r>
        <w:t>,</w:t>
      </w:r>
    </w:p>
    <w:p w:rsidR="0056169E" w:rsidRDefault="0056169E" w:rsidP="00835C07">
      <w:pPr>
        <w:pStyle w:val="NormalHanging12a"/>
      </w:pPr>
      <w:r w:rsidRPr="0056169E">
        <w:t>–</w:t>
      </w:r>
      <w:r w:rsidRPr="0056169E">
        <w:tab/>
        <w:t>s ohled</w:t>
      </w:r>
      <w:r>
        <w:t>em na stanovisko Výboru regionů ze dne 10. října 2023</w:t>
      </w:r>
      <w:r>
        <w:rPr>
          <w:rStyle w:val="FootnoteReference"/>
        </w:rPr>
        <w:footnoteReference w:id="2"/>
      </w:r>
      <w:r>
        <w:t>,</w:t>
      </w:r>
    </w:p>
    <w:p w:rsidR="0056169E" w:rsidRPr="00911E2C" w:rsidRDefault="0056169E" w:rsidP="00835C07">
      <w:pPr>
        <w:pStyle w:val="NormalHanging12a"/>
      </w:pPr>
      <w:r w:rsidRPr="0056169E">
        <w:t>–</w:t>
      </w:r>
      <w:r w:rsidRPr="0056169E">
        <w:tab/>
        <w:t xml:space="preserve">s ohledem na předběžnou dohodu přijatou příslušným výborem podle čl. 74 odst. 4 jednacího řádu a s ohledem na to, že se zástupce Rady dopisem ze </w:t>
      </w:r>
      <w:r>
        <w:t>dne 14. února 2024</w:t>
      </w:r>
      <w:r w:rsidRPr="0056169E">
        <w:t xml:space="preserve"> zavázal schválit postoj Parlamentu v souladu s čl. 294 odst. 4 Smlouvy o fungování Evropské unie,</w:t>
      </w:r>
    </w:p>
    <w:p w:rsidR="00835C07" w:rsidRPr="00911E2C" w:rsidRDefault="00835C07" w:rsidP="00835C07">
      <w:pPr>
        <w:pStyle w:val="NormalHanging12a"/>
      </w:pPr>
      <w:r w:rsidRPr="00911E2C">
        <w:t>–</w:t>
      </w:r>
      <w:r w:rsidRPr="00911E2C">
        <w:tab/>
        <w:t>s ohledem na článek 59 jednacího řádu,</w:t>
      </w:r>
    </w:p>
    <w:p w:rsidR="00835C07" w:rsidRPr="00911E2C" w:rsidRDefault="00835C07" w:rsidP="00835C07">
      <w:pPr>
        <w:pStyle w:val="NormalHanging12a"/>
      </w:pPr>
      <w:r w:rsidRPr="00911E2C">
        <w:t>–</w:t>
      </w:r>
      <w:r w:rsidRPr="00911E2C">
        <w:tab/>
        <w:t>s ohledem na stanoviska Výboru pro životní prostředí, veřejné zdraví a bezpečnost potravin,</w:t>
      </w:r>
    </w:p>
    <w:p w:rsidR="00835C07" w:rsidRPr="00911E2C" w:rsidRDefault="00835C07" w:rsidP="00835C07">
      <w:pPr>
        <w:pStyle w:val="NormalHanging12a"/>
      </w:pPr>
      <w:r w:rsidRPr="00911E2C">
        <w:lastRenderedPageBreak/>
        <w:t>–</w:t>
      </w:r>
      <w:r w:rsidRPr="00911E2C">
        <w:tab/>
        <w:t>s ohledem na zprávu Výboru pro vnitřní trh a ochranu spotřebitelů (A9-0316/2023),</w:t>
      </w:r>
    </w:p>
    <w:p w:rsidR="00835C07" w:rsidRPr="00911E2C" w:rsidRDefault="00835C07" w:rsidP="00835C07">
      <w:pPr>
        <w:pStyle w:val="NormalHanging12a"/>
      </w:pPr>
      <w:r w:rsidRPr="00911E2C">
        <w:t>1.</w:t>
      </w:r>
      <w:r w:rsidRPr="00911E2C">
        <w:tab/>
        <w:t>přijímá níže uvedený postoj v prvním čtení</w:t>
      </w:r>
      <w:r w:rsidR="0056169E">
        <w:rPr>
          <w:rStyle w:val="FootnoteReference"/>
        </w:rPr>
        <w:footnoteReference w:id="3"/>
      </w:r>
      <w:r w:rsidRPr="00911E2C">
        <w:t>;</w:t>
      </w:r>
    </w:p>
    <w:p w:rsidR="00835C07" w:rsidRPr="00911E2C" w:rsidRDefault="00835C07" w:rsidP="00835C07">
      <w:pPr>
        <w:pStyle w:val="NormalHanging12a"/>
      </w:pPr>
      <w:r w:rsidRPr="00911E2C">
        <w:t>2.</w:t>
      </w:r>
      <w:r w:rsidRPr="00911E2C">
        <w:tab/>
        <w:t>vyzývá Komisi, aby věc znovu postoupila Parlamentu, jestliže svůj návrh nahradí jiným textem, podstatně jej změní nebo má v úmyslu jej podstatně změnit;</w:t>
      </w:r>
    </w:p>
    <w:p w:rsidR="00835C07" w:rsidRPr="00911E2C" w:rsidRDefault="00835C07" w:rsidP="00835C07">
      <w:pPr>
        <w:pStyle w:val="NormalHanging12a"/>
      </w:pPr>
      <w:r w:rsidRPr="00911E2C">
        <w:t>3.</w:t>
      </w:r>
      <w:r w:rsidRPr="00911E2C">
        <w:tab/>
        <w:t>pověřuje svou předsedkyni, aby předala postoj Parlamentu Radě</w:t>
      </w:r>
      <w:r w:rsidR="0056169E">
        <w:t xml:space="preserve"> a</w:t>
      </w:r>
      <w:r w:rsidRPr="00911E2C">
        <w:t xml:space="preserve"> Komisi, jakož i vnitrostátním parlamentům.</w:t>
      </w:r>
    </w:p>
    <w:p w:rsidR="0056169E" w:rsidRDefault="0056169E">
      <w:pPr>
        <w:widowControl/>
        <w:sectPr w:rsidR="0056169E" w:rsidSect="00911E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6169E" w:rsidRPr="00E1788A" w:rsidRDefault="0056169E" w:rsidP="0056169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1788A">
        <w:rPr>
          <w:rFonts w:eastAsia="Calibri"/>
          <w:b/>
          <w:bCs/>
          <w:color w:val="000000"/>
          <w:szCs w:val="24"/>
        </w:rPr>
        <w:lastRenderedPageBreak/>
        <w:t>P9_TC1-COD(2023)0083</w:t>
      </w:r>
    </w:p>
    <w:p w:rsidR="0056169E" w:rsidRDefault="0056169E" w:rsidP="0056169E">
      <w:pPr>
        <w:pStyle w:val="Statut"/>
        <w:spacing w:before="240" w:line="240" w:lineRule="auto"/>
        <w:jc w:val="left"/>
        <w:rPr>
          <w:b/>
        </w:rPr>
      </w:pPr>
      <w:r w:rsidRPr="0056169E">
        <w:rPr>
          <w:b/>
        </w:rPr>
        <w:t>Postoj Evropského parlamentu přijatý v prvním čtení dne 23. dubna 2024 k přijetí směrnice Evropského parlamentu a Rady (EU) 2024/… o společných pravidlech na podporu oprav zboží a o změně nařízení (EU) 2017/2394 a směrnic (EU) 2019/771 a (EU) 2020/1828</w:t>
      </w:r>
    </w:p>
    <w:p w:rsidR="00331186" w:rsidRPr="00331186" w:rsidRDefault="00331186" w:rsidP="00331186">
      <w:pPr>
        <w:pStyle w:val="Typedudocument"/>
        <w:spacing w:line="240" w:lineRule="auto"/>
        <w:jc w:val="left"/>
        <w:rPr>
          <w:b w:val="0"/>
        </w:rPr>
      </w:pPr>
      <w:r w:rsidRPr="00331186">
        <w:rPr>
          <w:b w:val="0"/>
          <w:i/>
        </w:rPr>
        <w:t xml:space="preserve">(Vzhledem k tomu, že bylo dosaženo dohody mezi Parlamentem a Radou, postoj Parlamentu odpovídá konečnému znění legislativního aktu, </w:t>
      </w:r>
      <w:r>
        <w:rPr>
          <w:b w:val="0"/>
          <w:i/>
        </w:rPr>
        <w:t>směrnici</w:t>
      </w:r>
      <w:bookmarkStart w:id="8" w:name="_GoBack"/>
      <w:bookmarkEnd w:id="8"/>
      <w:r w:rsidRPr="00331186">
        <w:rPr>
          <w:b w:val="0"/>
          <w:i/>
        </w:rPr>
        <w:t xml:space="preserve"> (EU) 2024/</w:t>
      </w:r>
      <w:r>
        <w:rPr>
          <w:b w:val="0"/>
          <w:i/>
        </w:rPr>
        <w:t>1799</w:t>
      </w:r>
      <w:r w:rsidRPr="00331186">
        <w:rPr>
          <w:b w:val="0"/>
          <w:i/>
        </w:rPr>
        <w:t>.)</w:t>
      </w:r>
    </w:p>
    <w:sectPr w:rsidR="00331186" w:rsidRPr="00331186" w:rsidSect="00911E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B0D" w:rsidRPr="00911E2C" w:rsidRDefault="00F05B0D">
      <w:r w:rsidRPr="00911E2C">
        <w:separator/>
      </w:r>
    </w:p>
  </w:endnote>
  <w:endnote w:type="continuationSeparator" w:id="0">
    <w:p w:rsidR="00F05B0D" w:rsidRPr="00911E2C" w:rsidRDefault="00F05B0D">
      <w:r w:rsidRPr="00911E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E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E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E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B0D" w:rsidRPr="00911E2C" w:rsidRDefault="00F05B0D">
      <w:r w:rsidRPr="00911E2C">
        <w:separator/>
      </w:r>
    </w:p>
  </w:footnote>
  <w:footnote w:type="continuationSeparator" w:id="0">
    <w:p w:rsidR="00F05B0D" w:rsidRPr="00911E2C" w:rsidRDefault="00F05B0D">
      <w:r w:rsidRPr="00911E2C">
        <w:continuationSeparator/>
      </w:r>
    </w:p>
  </w:footnote>
  <w:footnote w:id="1">
    <w:p w:rsidR="0056169E" w:rsidRPr="00010326" w:rsidRDefault="0056169E" w:rsidP="00331186">
      <w:pPr>
        <w:pStyle w:val="FootnoteText"/>
        <w:ind w:left="567" w:hanging="567"/>
        <w:rPr>
          <w:sz w:val="24"/>
          <w:szCs w:val="24"/>
          <w:lang w:val="cs-CZ"/>
        </w:rPr>
      </w:pPr>
      <w:r w:rsidRPr="00010326">
        <w:rPr>
          <w:rStyle w:val="FootnoteReference"/>
          <w:sz w:val="24"/>
          <w:szCs w:val="24"/>
        </w:rPr>
        <w:footnoteRef/>
      </w:r>
      <w:r w:rsidRPr="00010326">
        <w:rPr>
          <w:sz w:val="24"/>
          <w:szCs w:val="24"/>
          <w:lang w:val="fi-FI"/>
        </w:rPr>
        <w:t xml:space="preserve"> </w:t>
      </w:r>
      <w:r w:rsidRPr="00010326">
        <w:rPr>
          <w:sz w:val="24"/>
          <w:szCs w:val="24"/>
          <w:lang w:val="fi-FI"/>
        </w:rPr>
        <w:tab/>
      </w:r>
      <w:proofErr w:type="spellStart"/>
      <w:r w:rsidRPr="00010326">
        <w:rPr>
          <w:sz w:val="24"/>
          <w:szCs w:val="24"/>
          <w:lang w:val="fi-FI"/>
        </w:rPr>
        <w:t>Úř</w:t>
      </w:r>
      <w:proofErr w:type="spellEnd"/>
      <w:r w:rsidRPr="00010326">
        <w:rPr>
          <w:sz w:val="24"/>
          <w:szCs w:val="24"/>
          <w:lang w:val="fi-FI"/>
        </w:rPr>
        <w:t xml:space="preserve">. </w:t>
      </w:r>
      <w:proofErr w:type="spellStart"/>
      <w:r w:rsidRPr="00010326">
        <w:rPr>
          <w:sz w:val="24"/>
          <w:szCs w:val="24"/>
          <w:lang w:val="fi-FI"/>
        </w:rPr>
        <w:t>věst</w:t>
      </w:r>
      <w:proofErr w:type="spellEnd"/>
      <w:r w:rsidRPr="00010326">
        <w:rPr>
          <w:sz w:val="24"/>
          <w:szCs w:val="24"/>
          <w:lang w:val="fi-FI"/>
        </w:rPr>
        <w:t xml:space="preserve">. C 293, 18.8.2023, </w:t>
      </w:r>
      <w:r w:rsidR="00B84F5E">
        <w:rPr>
          <w:sz w:val="24"/>
          <w:szCs w:val="24"/>
          <w:lang w:val="fi-FI"/>
        </w:rPr>
        <w:t>s</w:t>
      </w:r>
      <w:r w:rsidRPr="00010326">
        <w:rPr>
          <w:sz w:val="24"/>
          <w:szCs w:val="24"/>
          <w:lang w:val="fi-FI"/>
        </w:rPr>
        <w:t>. 77.</w:t>
      </w:r>
    </w:p>
  </w:footnote>
  <w:footnote w:id="2">
    <w:p w:rsidR="0056169E" w:rsidRPr="00010326" w:rsidRDefault="0056169E" w:rsidP="00331186">
      <w:pPr>
        <w:pStyle w:val="FootnoteText"/>
        <w:ind w:left="567" w:hanging="567"/>
        <w:rPr>
          <w:sz w:val="24"/>
          <w:szCs w:val="24"/>
          <w:lang w:val="cs-CZ"/>
        </w:rPr>
      </w:pPr>
      <w:r w:rsidRPr="00010326">
        <w:rPr>
          <w:rStyle w:val="FootnoteReference"/>
          <w:sz w:val="24"/>
          <w:szCs w:val="24"/>
        </w:rPr>
        <w:footnoteRef/>
      </w:r>
      <w:r w:rsidRPr="00010326">
        <w:rPr>
          <w:sz w:val="24"/>
          <w:szCs w:val="24"/>
          <w:lang w:val="cs-CZ"/>
        </w:rPr>
        <w:t xml:space="preserve"> </w:t>
      </w:r>
      <w:r w:rsidRPr="00010326">
        <w:rPr>
          <w:sz w:val="24"/>
          <w:szCs w:val="24"/>
          <w:lang w:val="cs-CZ"/>
        </w:rPr>
        <w:tab/>
      </w:r>
      <w:proofErr w:type="spellStart"/>
      <w:r w:rsidRPr="00010326">
        <w:rPr>
          <w:sz w:val="24"/>
          <w:szCs w:val="24"/>
          <w:lang w:val="cs-CZ"/>
        </w:rPr>
        <w:t>Úř</w:t>
      </w:r>
      <w:proofErr w:type="spellEnd"/>
      <w:r w:rsidRPr="00010326">
        <w:rPr>
          <w:sz w:val="24"/>
          <w:szCs w:val="24"/>
          <w:lang w:val="cs-CZ"/>
        </w:rPr>
        <w:t xml:space="preserve">. </w:t>
      </w:r>
      <w:proofErr w:type="spellStart"/>
      <w:r w:rsidRPr="00010326">
        <w:rPr>
          <w:sz w:val="24"/>
          <w:szCs w:val="24"/>
          <w:lang w:val="cs-CZ"/>
        </w:rPr>
        <w:t>věst</w:t>
      </w:r>
      <w:proofErr w:type="spellEnd"/>
      <w:r w:rsidRPr="00010326">
        <w:rPr>
          <w:sz w:val="24"/>
          <w:szCs w:val="24"/>
          <w:lang w:val="cs-CZ"/>
        </w:rPr>
        <w:t xml:space="preserve">. C, C/2023/1330, 22.12.2023, ELI: </w:t>
      </w:r>
      <w:hyperlink r:id="rId1" w:history="1">
        <w:r w:rsidRPr="00331186">
          <w:rPr>
            <w:rStyle w:val="Hyperlink"/>
            <w:sz w:val="24"/>
            <w:szCs w:val="24"/>
            <w:lang w:val="cs-CZ"/>
          </w:rPr>
          <w:t>http://data.europa.eu/eli/C/2023/1330/oj</w:t>
        </w:r>
      </w:hyperlink>
      <w:r w:rsidRPr="00010326">
        <w:rPr>
          <w:sz w:val="24"/>
          <w:szCs w:val="24"/>
          <w:lang w:val="cs-CZ"/>
        </w:rPr>
        <w:t>.</w:t>
      </w:r>
    </w:p>
  </w:footnote>
  <w:footnote w:id="3">
    <w:p w:rsidR="0056169E" w:rsidRPr="00010326" w:rsidRDefault="0056169E" w:rsidP="00331186">
      <w:pPr>
        <w:pStyle w:val="FootnoteText"/>
        <w:ind w:left="567" w:hanging="567"/>
        <w:rPr>
          <w:sz w:val="24"/>
          <w:szCs w:val="24"/>
          <w:lang w:val="cs-CZ"/>
        </w:rPr>
      </w:pPr>
      <w:r w:rsidRPr="00010326">
        <w:rPr>
          <w:rStyle w:val="FootnoteReference"/>
          <w:sz w:val="24"/>
          <w:szCs w:val="24"/>
        </w:rPr>
        <w:footnoteRef/>
      </w:r>
      <w:r w:rsidRPr="00010326">
        <w:rPr>
          <w:sz w:val="24"/>
          <w:szCs w:val="24"/>
          <w:lang w:val="cs-CZ"/>
        </w:rPr>
        <w:t xml:space="preserve"> </w:t>
      </w:r>
      <w:r w:rsidRPr="00010326">
        <w:rPr>
          <w:sz w:val="24"/>
          <w:szCs w:val="24"/>
          <w:lang w:val="cs-CZ"/>
        </w:rPr>
        <w:tab/>
        <w:t>Tento postoj nahrazuje pozměňovací</w:t>
      </w:r>
      <w:r w:rsidRPr="0056169E">
        <w:rPr>
          <w:sz w:val="24"/>
          <w:szCs w:val="24"/>
          <w:lang w:val="cs-CZ"/>
        </w:rPr>
        <w:t xml:space="preserve"> návrhy přijaté dne 21. listopadu 2023 (Přijaté texty P9_TA(2023)0400</w:t>
      </w:r>
      <w:r w:rsidRPr="00010326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E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E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E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2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1"/>
  </w:num>
  <w:num w:numId="3">
    <w:abstractNumId w:val="18"/>
  </w:num>
  <w:num w:numId="4">
    <w:abstractNumId w:val="1"/>
  </w:num>
  <w:num w:numId="5">
    <w:abstractNumId w:val="19"/>
  </w:num>
  <w:num w:numId="6">
    <w:abstractNumId w:val="15"/>
  </w:num>
  <w:num w:numId="7">
    <w:abstractNumId w:val="3"/>
  </w:num>
  <w:num w:numId="8">
    <w:abstractNumId w:val="23"/>
  </w:num>
  <w:num w:numId="9">
    <w:abstractNumId w:val="25"/>
  </w:num>
  <w:num w:numId="10">
    <w:abstractNumId w:val="13"/>
  </w:num>
  <w:num w:numId="11">
    <w:abstractNumId w:val="21"/>
  </w:num>
  <w:num w:numId="12">
    <w:abstractNumId w:val="16"/>
  </w:num>
  <w:num w:numId="13">
    <w:abstractNumId w:val="12"/>
  </w:num>
  <w:num w:numId="14">
    <w:abstractNumId w:val="7"/>
  </w:num>
  <w:num w:numId="15">
    <w:abstractNumId w:val="5"/>
  </w:num>
  <w:num w:numId="16">
    <w:abstractNumId w:val="17"/>
  </w:num>
  <w:num w:numId="17">
    <w:abstractNumId w:val="24"/>
  </w:num>
  <w:num w:numId="18">
    <w:abstractNumId w:val="0"/>
  </w:num>
  <w:num w:numId="19">
    <w:abstractNumId w:val="8"/>
  </w:num>
  <w:num w:numId="20">
    <w:abstractNumId w:val="4"/>
  </w:num>
  <w:num w:numId="21">
    <w:abstractNumId w:val="9"/>
  </w:num>
  <w:num w:numId="22">
    <w:abstractNumId w:val="14"/>
  </w:num>
  <w:num w:numId="23">
    <w:abstractNumId w:val="6"/>
  </w:num>
  <w:num w:numId="24">
    <w:abstractNumId w:val="26"/>
  </w:num>
  <w:num w:numId="25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CS"/>
    <w:docVar w:name="dvnumam" w:val="140"/>
    <w:docVar w:name="dvpe" w:val="749.950"/>
    <w:docVar w:name="dvrapporteur" w:val="Zpravodaj: "/>
    <w:docVar w:name="dvstar" w:val="***I"/>
    <w:docVar w:name="dvtitre" w:val="Legislativní usnesení Evropského parlamentu ze dne.... 2024 o návrhu směrnice Evropského parlamentu a Rady o společných pravidlech na podporu oprav zboží a o změně nařízení (EU) 2017/2394 a směrnic (EU) 2019/771 a (EU) 2020/1828(COM(2023)0155 – C9-0117/2023 – 2023/0083(COD))"/>
  </w:docVars>
  <w:rsids>
    <w:rsidRoot w:val="00F05B0D"/>
    <w:rsid w:val="00002272"/>
    <w:rsid w:val="00010326"/>
    <w:rsid w:val="00064002"/>
    <w:rsid w:val="000677B9"/>
    <w:rsid w:val="000831BA"/>
    <w:rsid w:val="000A42CC"/>
    <w:rsid w:val="000C574B"/>
    <w:rsid w:val="000E7DD9"/>
    <w:rsid w:val="0010095E"/>
    <w:rsid w:val="00125B37"/>
    <w:rsid w:val="00187494"/>
    <w:rsid w:val="001F32AE"/>
    <w:rsid w:val="002767FF"/>
    <w:rsid w:val="002B18FE"/>
    <w:rsid w:val="002B5493"/>
    <w:rsid w:val="0033118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69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ACF"/>
    <w:rsid w:val="00817416"/>
    <w:rsid w:val="00835C07"/>
    <w:rsid w:val="00842779"/>
    <w:rsid w:val="00865F67"/>
    <w:rsid w:val="00881A7B"/>
    <w:rsid w:val="008840E5"/>
    <w:rsid w:val="00887B3E"/>
    <w:rsid w:val="008C2AC6"/>
    <w:rsid w:val="00911E2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0C6"/>
    <w:rsid w:val="00B22876"/>
    <w:rsid w:val="00B558F0"/>
    <w:rsid w:val="00B84F5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B0D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40DE6"/>
  <w15:chartTrackingRefBased/>
  <w15:docId w15:val="{DB31AE24-391E-4710-A133-87DFF3CC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35C0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35C0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35C0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35C0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35C0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35C0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835C0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35C0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35C0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835C0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35C0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35C0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35C07"/>
    <w:pPr>
      <w:spacing w:after="120"/>
    </w:pPr>
  </w:style>
  <w:style w:type="paragraph" w:customStyle="1" w:styleId="PageHeading">
    <w:name w:val="PageHeading"/>
    <w:basedOn w:val="Normal"/>
    <w:rsid w:val="00835C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35C07"/>
    <w:rPr>
      <w:b/>
    </w:rPr>
  </w:style>
  <w:style w:type="character" w:customStyle="1" w:styleId="NormalBoldChar">
    <w:name w:val="NormalBold Char"/>
    <w:basedOn w:val="DefaultParagraphFont"/>
    <w:link w:val="NormalBold"/>
    <w:rsid w:val="00835C07"/>
    <w:rPr>
      <w:b/>
      <w:sz w:val="24"/>
      <w:lang w:val="cs-CZ"/>
    </w:rPr>
  </w:style>
  <w:style w:type="paragraph" w:customStyle="1" w:styleId="NormalBold12a">
    <w:name w:val="NormalBold12a"/>
    <w:basedOn w:val="Normal"/>
    <w:rsid w:val="00835C07"/>
    <w:pPr>
      <w:spacing w:after="240"/>
    </w:pPr>
    <w:rPr>
      <w:b/>
    </w:rPr>
  </w:style>
  <w:style w:type="paragraph" w:customStyle="1" w:styleId="AmJustText">
    <w:name w:val="AmJustText"/>
    <w:basedOn w:val="Normal"/>
    <w:rsid w:val="00835C0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35C0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35C07"/>
    <w:pPr>
      <w:spacing w:after="480"/>
      <w:ind w:left="1417"/>
    </w:pPr>
  </w:style>
  <w:style w:type="paragraph" w:customStyle="1" w:styleId="CoverNormal">
    <w:name w:val="CoverNormal"/>
    <w:basedOn w:val="Normal"/>
    <w:rsid w:val="00835C07"/>
    <w:pPr>
      <w:ind w:left="1418"/>
    </w:pPr>
  </w:style>
  <w:style w:type="paragraph" w:customStyle="1" w:styleId="AmCrossRef">
    <w:name w:val="AmCrossRef"/>
    <w:basedOn w:val="Normal"/>
    <w:rsid w:val="00835C0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35C0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35C0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35C0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35C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35C0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35C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C07"/>
    <w:rPr>
      <w:sz w:val="24"/>
      <w:lang w:val="cs-CZ"/>
    </w:rPr>
  </w:style>
  <w:style w:type="paragraph" w:customStyle="1" w:styleId="AmOrLang">
    <w:name w:val="AmOrLang"/>
    <w:basedOn w:val="Normal"/>
    <w:rsid w:val="00835C0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35C0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35C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35C07"/>
    <w:pPr>
      <w:spacing w:before="240"/>
    </w:pPr>
    <w:rPr>
      <w:b/>
    </w:rPr>
  </w:style>
  <w:style w:type="paragraph" w:customStyle="1" w:styleId="EPBody">
    <w:name w:val="EPBody"/>
    <w:basedOn w:val="Normal"/>
    <w:rsid w:val="00835C0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35C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5C07"/>
    <w:pPr>
      <w:spacing w:before="480" w:after="240"/>
    </w:pPr>
  </w:style>
  <w:style w:type="paragraph" w:customStyle="1" w:styleId="Lgendesigne">
    <w:name w:val="Légende signe"/>
    <w:basedOn w:val="Normal"/>
    <w:rsid w:val="00835C0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5C0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5C07"/>
    <w:rPr>
      <w:sz w:val="18"/>
    </w:rPr>
  </w:style>
  <w:style w:type="paragraph" w:customStyle="1" w:styleId="EntPE">
    <w:name w:val="EntPE"/>
    <w:basedOn w:val="Normal12"/>
    <w:rsid w:val="00835C0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835C0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835C07"/>
    <w:rPr>
      <w:noProof/>
      <w:sz w:val="24"/>
      <w:lang w:val="cs-CZ"/>
    </w:rPr>
  </w:style>
  <w:style w:type="paragraph" w:customStyle="1" w:styleId="Normal6">
    <w:name w:val="Normal6"/>
    <w:basedOn w:val="Normal"/>
    <w:link w:val="Normal6Char"/>
    <w:rsid w:val="00835C0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835C07"/>
    <w:rPr>
      <w:sz w:val="24"/>
      <w:lang w:val="cs-CZ"/>
    </w:rPr>
  </w:style>
  <w:style w:type="paragraph" w:customStyle="1" w:styleId="Normal12Italic">
    <w:name w:val="Normal12Italic"/>
    <w:basedOn w:val="Normal12"/>
    <w:rsid w:val="00835C07"/>
    <w:rPr>
      <w:i/>
    </w:rPr>
  </w:style>
  <w:style w:type="character" w:customStyle="1" w:styleId="erpldocument-subtitle-author">
    <w:name w:val="erpl_document-subtitle-author"/>
    <w:basedOn w:val="DefaultParagraphFont"/>
    <w:rsid w:val="00835C07"/>
  </w:style>
  <w:style w:type="paragraph" w:customStyle="1" w:styleId="AMNumberTabs0">
    <w:name w:val="AMNumberTabs"/>
    <w:basedOn w:val="Normal"/>
    <w:rsid w:val="00835C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35C0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35C07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835C07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iPriority w:val="99"/>
    <w:unhideWhenUsed/>
    <w:rsid w:val="00835C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5C0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83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35C0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C0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5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35C07"/>
    <w:rPr>
      <w:b/>
      <w:bCs/>
      <w:lang w:val="cs-CZ"/>
    </w:rPr>
  </w:style>
  <w:style w:type="paragraph" w:styleId="Revision">
    <w:name w:val="Revision"/>
    <w:hidden/>
    <w:uiPriority w:val="99"/>
    <w:semiHidden/>
    <w:rsid w:val="00835C07"/>
    <w:rPr>
      <w:sz w:val="24"/>
      <w:lang w:val="cs-CZ"/>
    </w:rPr>
  </w:style>
  <w:style w:type="paragraph" w:customStyle="1" w:styleId="Normal12a">
    <w:name w:val="Normal12a"/>
    <w:basedOn w:val="Normal"/>
    <w:rsid w:val="00835C07"/>
    <w:pPr>
      <w:spacing w:after="240"/>
    </w:pPr>
  </w:style>
  <w:style w:type="paragraph" w:customStyle="1" w:styleId="PageHeadingNotTOC">
    <w:name w:val="PageHeadingNotTOC"/>
    <w:basedOn w:val="Normal"/>
    <w:rsid w:val="00835C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35C0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835C07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835C07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835C07"/>
    <w:rPr>
      <w:b/>
      <w:sz w:val="24"/>
      <w:lang w:val="cs-CZ"/>
    </w:rPr>
  </w:style>
  <w:style w:type="paragraph" w:customStyle="1" w:styleId="RollCallSymbols14pt">
    <w:name w:val="RollCallSymbols14pt"/>
    <w:basedOn w:val="Normal"/>
    <w:rsid w:val="00835C0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35C0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35C0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35C07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835C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C07"/>
    <w:rPr>
      <w:sz w:val="24"/>
      <w:lang w:val="cs-CZ"/>
    </w:rPr>
  </w:style>
  <w:style w:type="paragraph" w:customStyle="1" w:styleId="NormalCentered">
    <w:name w:val="Normal Centered"/>
    <w:basedOn w:val="Normal"/>
    <w:rsid w:val="0056169E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56169E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56169E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56169E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56169E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56169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6169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6169E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6169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6169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56169E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56169E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56169E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56169E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56169E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56169E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56169E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56169E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56169E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56169E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56169E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56169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56169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56169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56169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56169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56169E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56169E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56169E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56169E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56169E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56169E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56169E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56169E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56169E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56169E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56169E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56169E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56169E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56169E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56169E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56169E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56169E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56169E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56169E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56169E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56169E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56169E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56169E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56169E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56169E"/>
    <w:pPr>
      <w:numPr>
        <w:numId w:val="8"/>
      </w:numPr>
    </w:pPr>
  </w:style>
  <w:style w:type="paragraph" w:customStyle="1" w:styleId="DashEqual1">
    <w:name w:val="Dash Equal 1"/>
    <w:basedOn w:val="Dash1"/>
    <w:rsid w:val="0056169E"/>
    <w:pPr>
      <w:numPr>
        <w:numId w:val="9"/>
      </w:numPr>
    </w:pPr>
  </w:style>
  <w:style w:type="paragraph" w:customStyle="1" w:styleId="DashEqual2">
    <w:name w:val="Dash Equal 2"/>
    <w:basedOn w:val="Dash2"/>
    <w:rsid w:val="0056169E"/>
    <w:pPr>
      <w:numPr>
        <w:numId w:val="10"/>
      </w:numPr>
    </w:pPr>
  </w:style>
  <w:style w:type="paragraph" w:customStyle="1" w:styleId="DashEqual3">
    <w:name w:val="Dash Equal 3"/>
    <w:basedOn w:val="Dash3"/>
    <w:rsid w:val="0056169E"/>
    <w:pPr>
      <w:numPr>
        <w:numId w:val="11"/>
      </w:numPr>
    </w:pPr>
  </w:style>
  <w:style w:type="paragraph" w:customStyle="1" w:styleId="DashEqual4">
    <w:name w:val="Dash Equal 4"/>
    <w:basedOn w:val="Dash4"/>
    <w:rsid w:val="0056169E"/>
    <w:pPr>
      <w:numPr>
        <w:numId w:val="12"/>
      </w:numPr>
    </w:pPr>
  </w:style>
  <w:style w:type="character" w:customStyle="1" w:styleId="Marker">
    <w:name w:val="Marker"/>
    <w:basedOn w:val="DefaultParagraphFont"/>
    <w:rsid w:val="0056169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6169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6169E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6169E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56169E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56169E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56169E"/>
    <w:pPr>
      <w:jc w:val="center"/>
    </w:pPr>
  </w:style>
  <w:style w:type="paragraph" w:customStyle="1" w:styleId="Jardin">
    <w:name w:val="Jardin"/>
    <w:basedOn w:val="Normal"/>
    <w:rsid w:val="0056169E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56169E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6169E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56169E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6169E"/>
    <w:rPr>
      <w:b/>
    </w:rPr>
  </w:style>
  <w:style w:type="paragraph" w:customStyle="1" w:styleId="Annex">
    <w:name w:val="Annex"/>
    <w:basedOn w:val="Normal"/>
    <w:next w:val="Normal"/>
    <w:rsid w:val="0056169E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6169E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6169E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6169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6169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6169E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6169E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56169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6169E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6169E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6169E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56169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6169E"/>
    <w:rPr>
      <w:color w:val="808080"/>
    </w:rPr>
  </w:style>
  <w:style w:type="paragraph" w:customStyle="1" w:styleId="Point1">
    <w:name w:val="Point 1"/>
    <w:basedOn w:val="Normal"/>
    <w:rsid w:val="0056169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56169E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56169E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56169E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56169E"/>
    <w:pPr>
      <w:widowControl/>
      <w:numPr>
        <w:numId w:val="2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56169E"/>
    <w:pPr>
      <w:widowControl/>
      <w:numPr>
        <w:ilvl w:val="1"/>
        <w:numId w:val="2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56169E"/>
    <w:pPr>
      <w:widowControl/>
      <w:numPr>
        <w:ilvl w:val="2"/>
        <w:numId w:val="2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56169E"/>
    <w:pPr>
      <w:widowControl/>
      <w:numPr>
        <w:ilvl w:val="3"/>
        <w:numId w:val="2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56169E"/>
    <w:pPr>
      <w:widowControl/>
      <w:numPr>
        <w:ilvl w:val="4"/>
        <w:numId w:val="2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56169E"/>
    <w:pPr>
      <w:widowControl/>
      <w:numPr>
        <w:ilvl w:val="5"/>
        <w:numId w:val="2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56169E"/>
    <w:pPr>
      <w:widowControl/>
      <w:numPr>
        <w:ilvl w:val="6"/>
        <w:numId w:val="2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6169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artTitle">
    <w:name w:val="PartTitle"/>
    <w:basedOn w:val="Normal"/>
    <w:next w:val="Normal"/>
    <w:rsid w:val="0056169E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Point0number">
    <w:name w:val="Point 0 (number)"/>
    <w:basedOn w:val="Normal"/>
    <w:rsid w:val="0056169E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56169E"/>
    <w:pPr>
      <w:widowControl/>
      <w:numPr>
        <w:ilvl w:val="2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56169E"/>
    <w:pPr>
      <w:widowControl/>
      <w:numPr>
        <w:ilvl w:val="4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56169E"/>
    <w:pPr>
      <w:widowControl/>
      <w:numPr>
        <w:ilvl w:val="6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56169E"/>
    <w:pPr>
      <w:widowControl/>
      <w:numPr>
        <w:ilvl w:val="1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56169E"/>
    <w:pPr>
      <w:widowControl/>
      <w:numPr>
        <w:ilvl w:val="3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56169E"/>
    <w:pPr>
      <w:widowControl/>
      <w:numPr>
        <w:ilvl w:val="5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56169E"/>
    <w:pPr>
      <w:widowControl/>
      <w:numPr>
        <w:ilvl w:val="7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56169E"/>
    <w:pPr>
      <w:widowControl/>
      <w:numPr>
        <w:ilvl w:val="8"/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56169E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6169E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6169E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6169E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6169E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6169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6169E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56169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6169E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56169E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56169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6169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56169E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56169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diff-tte-added">
    <w:name w:val="diff-tte-added"/>
    <w:basedOn w:val="DefaultParagraphFont"/>
    <w:rsid w:val="0056169E"/>
    <w:rPr>
      <w:b/>
      <w:i/>
    </w:rPr>
  </w:style>
  <w:style w:type="character" w:styleId="Hyperlink">
    <w:name w:val="Hyperlink"/>
    <w:basedOn w:val="DefaultParagraphFont"/>
    <w:uiPriority w:val="99"/>
    <w:unhideWhenUsed/>
    <w:rsid w:val="0056169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169E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56169E"/>
  </w:style>
  <w:style w:type="character" w:customStyle="1" w:styleId="jpfdse">
    <w:name w:val="jpfdse"/>
    <w:basedOn w:val="DefaultParagraphFont"/>
    <w:rsid w:val="0056169E"/>
  </w:style>
  <w:style w:type="character" w:customStyle="1" w:styleId="highlight">
    <w:name w:val="highlight"/>
    <w:basedOn w:val="DefaultParagraphFont"/>
    <w:rsid w:val="00561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27A1A-0D8A-4BE5-A3B2-E3C1755B9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1931</Characters>
  <Application>Microsoft Office Word</Application>
  <DocSecurity>0</DocSecurity>
  <Lines>36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2024-09-05T13:38:00Z</dcterms:created>
  <dcterms:modified xsi:type="dcterms:W3CDTF">2024-09-05T13:38:00Z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