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7BD0" w14:paraId="267EAD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E136A9" w14:textId="77777777" w:rsidR="00751A4A" w:rsidRPr="00917BD0" w:rsidRDefault="00407596" w:rsidP="0010095E">
            <w:pPr>
              <w:pStyle w:val="EPName"/>
            </w:pPr>
            <w:r w:rsidRPr="00917BD0">
              <w:t>Europa-Parlamentet</w:t>
            </w:r>
          </w:p>
          <w:p w14:paraId="6AFAE3BC" w14:textId="77777777" w:rsidR="00751A4A" w:rsidRPr="00917B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7BD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5FF842E" w14:textId="77777777" w:rsidR="00751A4A" w:rsidRPr="00917BD0" w:rsidRDefault="00187494" w:rsidP="0010095E">
            <w:pPr>
              <w:pStyle w:val="EPLogo"/>
            </w:pPr>
            <w:r w:rsidRPr="00917BD0">
              <w:rPr>
                <w:noProof/>
                <w:lang w:eastAsia="da-DK"/>
              </w:rPr>
              <w:drawing>
                <wp:inline distT="0" distB="0" distL="0" distR="0" wp14:anchorId="180462F1" wp14:editId="7B5477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CB65F2" w14:textId="77777777" w:rsidR="00D058B8" w:rsidRPr="00917BD0" w:rsidRDefault="00D058B8" w:rsidP="004C5D52">
      <w:pPr>
        <w:pStyle w:val="LineTop"/>
      </w:pPr>
    </w:p>
    <w:p w14:paraId="6A12E23B" w14:textId="77777777" w:rsidR="00680577" w:rsidRPr="00917BD0" w:rsidRDefault="00407596" w:rsidP="00680577">
      <w:pPr>
        <w:pStyle w:val="EPBodyTA1"/>
      </w:pPr>
      <w:r w:rsidRPr="00917BD0">
        <w:t>VEDTAGNE TEKSTER</w:t>
      </w:r>
    </w:p>
    <w:p w14:paraId="717DF228" w14:textId="77777777" w:rsidR="00D058B8" w:rsidRPr="00917BD0" w:rsidRDefault="00D058B8" w:rsidP="00D058B8">
      <w:pPr>
        <w:pStyle w:val="LineBottom"/>
      </w:pPr>
    </w:p>
    <w:p w14:paraId="07BFEAFC" w14:textId="537E0393" w:rsidR="00407596" w:rsidRPr="00917BD0" w:rsidRDefault="00407596" w:rsidP="00407596">
      <w:pPr>
        <w:pStyle w:val="ATHeading1"/>
      </w:pPr>
      <w:bookmarkStart w:id="0" w:name="TANumber"/>
      <w:r w:rsidRPr="00917BD0">
        <w:t>P9_</w:t>
      </w:r>
      <w:proofErr w:type="gramStart"/>
      <w:r w:rsidRPr="00917BD0">
        <w:t>TA(</w:t>
      </w:r>
      <w:proofErr w:type="gramEnd"/>
      <w:r w:rsidR="00731640">
        <w:t>2024</w:t>
      </w:r>
      <w:r w:rsidRPr="00917BD0">
        <w:t>)0</w:t>
      </w:r>
      <w:bookmarkEnd w:id="0"/>
      <w:r w:rsidR="00B16B48">
        <w:t>308</w:t>
      </w:r>
    </w:p>
    <w:p w14:paraId="68A68229" w14:textId="77777777" w:rsidR="00407596" w:rsidRPr="00917BD0" w:rsidRDefault="004904E1" w:rsidP="00407596">
      <w:pPr>
        <w:pStyle w:val="ATHeading2"/>
      </w:pPr>
      <w:r w:rsidRPr="004904E1">
        <w:t>Fælles regler til fremme af afhjælpning af varer</w:t>
      </w:r>
    </w:p>
    <w:p w14:paraId="56DC5D13" w14:textId="77777777" w:rsidR="00407596" w:rsidRPr="00917BD0" w:rsidRDefault="00407596" w:rsidP="00407596">
      <w:pPr>
        <w:rPr>
          <w:i/>
          <w:vanish/>
        </w:rPr>
      </w:pPr>
      <w:r w:rsidRPr="00917BD0">
        <w:rPr>
          <w:i/>
        </w:rPr>
        <w:fldChar w:fldCharType="begin"/>
      </w:r>
      <w:r w:rsidRPr="00917BD0">
        <w:rPr>
          <w:i/>
        </w:rPr>
        <w:instrText xml:space="preserve"> TC"(</w:instrText>
      </w:r>
      <w:bookmarkStart w:id="1" w:name="DocNumber"/>
      <w:r w:rsidRPr="00917BD0">
        <w:rPr>
          <w:i/>
        </w:rPr>
        <w:instrText>A9-0316/2023</w:instrText>
      </w:r>
      <w:bookmarkEnd w:id="1"/>
      <w:r w:rsidRPr="00917BD0">
        <w:rPr>
          <w:i/>
        </w:rPr>
        <w:instrText xml:space="preserve"> - Ordfører: René Repasi)"\l3 \n&gt; \* MERGEFORMAT </w:instrText>
      </w:r>
      <w:r w:rsidRPr="00917BD0">
        <w:rPr>
          <w:i/>
        </w:rPr>
        <w:fldChar w:fldCharType="end"/>
      </w:r>
    </w:p>
    <w:p w14:paraId="5EEB773E" w14:textId="77777777" w:rsidR="00407596" w:rsidRPr="00917BD0" w:rsidRDefault="00407596" w:rsidP="00407596">
      <w:pPr>
        <w:rPr>
          <w:vanish/>
        </w:rPr>
      </w:pPr>
      <w:bookmarkStart w:id="2" w:name="Commission"/>
      <w:r w:rsidRPr="00917BD0">
        <w:rPr>
          <w:vanish/>
        </w:rPr>
        <w:t>Udvalget om International Handel</w:t>
      </w:r>
      <w:bookmarkEnd w:id="2"/>
    </w:p>
    <w:p w14:paraId="0A4A8175" w14:textId="77777777" w:rsidR="00407596" w:rsidRPr="00917BD0" w:rsidRDefault="00407596" w:rsidP="00407596">
      <w:pPr>
        <w:rPr>
          <w:vanish/>
        </w:rPr>
      </w:pPr>
      <w:bookmarkStart w:id="3" w:name="PE"/>
      <w:r w:rsidRPr="00917BD0">
        <w:rPr>
          <w:vanish/>
        </w:rPr>
        <w:t>PE749.950</w:t>
      </w:r>
      <w:bookmarkEnd w:id="3"/>
    </w:p>
    <w:p w14:paraId="6755299D" w14:textId="50EC3A05" w:rsidR="00407596" w:rsidRPr="00917BD0" w:rsidRDefault="00407596" w:rsidP="00407596">
      <w:pPr>
        <w:pStyle w:val="ATHeading3"/>
      </w:pPr>
      <w:bookmarkStart w:id="4" w:name="Sujet"/>
      <w:r w:rsidRPr="00917BD0">
        <w:t xml:space="preserve">Europa-Parlamentets lovgivningsmæssige beslutning af </w:t>
      </w:r>
      <w:r w:rsidR="00731640">
        <w:t>23. april 2024</w:t>
      </w:r>
      <w:r w:rsidRPr="00917BD0">
        <w:t xml:space="preserve"> om forslag til Europa-Parlamentets og Rådets direktiv om fælles regler til fremme af afhjælpning af varer og om ændring af forordning (EU) 2017/2394, direktiv (EU) 2019/771 og (EU) 2020/1828</w:t>
      </w:r>
      <w:bookmarkEnd w:id="4"/>
      <w:r w:rsidRPr="00917BD0">
        <w:t xml:space="preserve"> </w:t>
      </w:r>
      <w:bookmarkStart w:id="5" w:name="References"/>
      <w:r w:rsidRPr="00917BD0">
        <w:t>(</w:t>
      </w:r>
      <w:proofErr w:type="gramStart"/>
      <w:r w:rsidRPr="00917BD0">
        <w:t>COM(</w:t>
      </w:r>
      <w:proofErr w:type="gramEnd"/>
      <w:r w:rsidRPr="00917BD0">
        <w:t>2023)0155 – C9-0117/2023 – 2023/0083(COD))</w:t>
      </w:r>
      <w:bookmarkEnd w:id="5"/>
    </w:p>
    <w:p w14:paraId="766B4CAC" w14:textId="77777777" w:rsidR="001F49CE" w:rsidRPr="00917BD0" w:rsidRDefault="001F49CE" w:rsidP="001F49CE">
      <w:pPr>
        <w:pStyle w:val="NormalBold"/>
      </w:pPr>
      <w:bookmarkStart w:id="6" w:name="TextBodyBegin"/>
      <w:bookmarkEnd w:id="6"/>
      <w:r w:rsidRPr="00917BD0">
        <w:t>(Almindelig lovgivningsprocedure: førstebehandling)</w:t>
      </w:r>
    </w:p>
    <w:p w14:paraId="0D695D85" w14:textId="77777777" w:rsidR="001F49CE" w:rsidRPr="00917BD0" w:rsidRDefault="001F49CE" w:rsidP="001F49CE">
      <w:pPr>
        <w:pStyle w:val="EPComma"/>
      </w:pPr>
      <w:r w:rsidRPr="00917BD0">
        <w:rPr>
          <w:i/>
        </w:rPr>
        <w:t>Europa-Parlamentet</w:t>
      </w:r>
      <w:r w:rsidRPr="00917BD0">
        <w:t>,</w:t>
      </w:r>
    </w:p>
    <w:p w14:paraId="1E3574AF" w14:textId="77777777" w:rsidR="001F49CE" w:rsidRPr="00917BD0" w:rsidRDefault="001F49CE" w:rsidP="001F49CE">
      <w:pPr>
        <w:pStyle w:val="NormalHanging12a"/>
      </w:pPr>
      <w:r w:rsidRPr="00917BD0">
        <w:t>–</w:t>
      </w:r>
      <w:r w:rsidRPr="00917BD0">
        <w:tab/>
        <w:t>der henviser til Kommissionens forslag til Europa-Parlamentet og Rådet (</w:t>
      </w:r>
      <w:proofErr w:type="gramStart"/>
      <w:r w:rsidRPr="00917BD0">
        <w:t>COM(</w:t>
      </w:r>
      <w:proofErr w:type="gramEnd"/>
      <w:r w:rsidRPr="00917BD0">
        <w:t>2023)0155),</w:t>
      </w:r>
    </w:p>
    <w:p w14:paraId="03CA2E5A" w14:textId="77777777" w:rsidR="001F49CE" w:rsidRPr="00917BD0" w:rsidRDefault="001F49CE" w:rsidP="001F49CE">
      <w:pPr>
        <w:pStyle w:val="NormalHanging12a"/>
      </w:pPr>
      <w:r w:rsidRPr="00917BD0">
        <w:t>–</w:t>
      </w:r>
      <w:r w:rsidRPr="00917BD0">
        <w:tab/>
        <w:t>der henviser til artikel 294, stk. 2, og artikel 114 i traktaten om Den Europæiske Unions funktionsmåde, på grundlag af hvilke Kommissionen har forelagt forslaget for Europa-Parlamentet (C9</w:t>
      </w:r>
      <w:r w:rsidRPr="00917BD0">
        <w:noBreakHyphen/>
        <w:t>0117/2023),</w:t>
      </w:r>
    </w:p>
    <w:p w14:paraId="7E60DED3" w14:textId="77777777" w:rsidR="001F49CE" w:rsidRPr="00917BD0" w:rsidRDefault="001F49CE" w:rsidP="001F49CE">
      <w:pPr>
        <w:pStyle w:val="NormalHanging12a"/>
      </w:pPr>
      <w:r w:rsidRPr="00917BD0">
        <w:t>–</w:t>
      </w:r>
      <w:r w:rsidRPr="00917BD0">
        <w:tab/>
        <w:t>der henviser til artikel 294, stk. 3, i traktaten om Den Europæiske Unions funktionsmåde,</w:t>
      </w:r>
    </w:p>
    <w:p w14:paraId="39BC3BE8" w14:textId="1F558583" w:rsidR="00731640" w:rsidRDefault="00731640" w:rsidP="00B16B48">
      <w:pPr>
        <w:widowControl/>
        <w:spacing w:before="120" w:after="120"/>
        <w:ind w:left="567" w:hanging="567"/>
        <w:rPr>
          <w:rFonts w:eastAsia="Calibri"/>
          <w:szCs w:val="22"/>
          <w:lang w:eastAsia="en-US"/>
        </w:rPr>
      </w:pPr>
      <w:r w:rsidRPr="00917BD0">
        <w:t>–</w:t>
      </w:r>
      <w:r w:rsidRPr="00917BD0">
        <w:tab/>
        <w:t xml:space="preserve">der henviser til </w:t>
      </w:r>
      <w:r w:rsidRPr="00731640">
        <w:rPr>
          <w:rFonts w:eastAsia="Calibri"/>
          <w:szCs w:val="22"/>
          <w:lang w:eastAsia="en-US"/>
        </w:rPr>
        <w:t>udtalelse</w:t>
      </w:r>
      <w:r>
        <w:rPr>
          <w:rFonts w:eastAsia="Calibri"/>
          <w:szCs w:val="22"/>
          <w:lang w:eastAsia="en-US"/>
        </w:rPr>
        <w:t xml:space="preserve"> af 14. juni 2023</w:t>
      </w:r>
      <w:r w:rsidRPr="00731640">
        <w:rPr>
          <w:rFonts w:eastAsia="Calibri"/>
          <w:szCs w:val="22"/>
          <w:lang w:eastAsia="en-US"/>
        </w:rPr>
        <w:t xml:space="preserve"> fra Det Europæiske Økonomiske og Sociale Udvalg</w:t>
      </w:r>
      <w:r w:rsidRPr="00731640">
        <w:rPr>
          <w:rFonts w:eastAsia="Calibri"/>
          <w:b/>
          <w:szCs w:val="22"/>
          <w:vertAlign w:val="superscript"/>
          <w:lang w:eastAsia="en-US"/>
        </w:rPr>
        <w:footnoteReference w:id="1"/>
      </w:r>
      <w:r w:rsidRPr="00731640">
        <w:rPr>
          <w:rFonts w:eastAsia="Calibri"/>
          <w:szCs w:val="22"/>
          <w:lang w:eastAsia="en-US"/>
        </w:rPr>
        <w:t>,</w:t>
      </w:r>
    </w:p>
    <w:p w14:paraId="0553172A" w14:textId="4D3D320D" w:rsidR="00731640" w:rsidRPr="00731640" w:rsidRDefault="00731640" w:rsidP="00B16B48">
      <w:pPr>
        <w:widowControl/>
        <w:spacing w:before="120" w:after="120"/>
        <w:ind w:left="567" w:hanging="567"/>
        <w:rPr>
          <w:rFonts w:eastAsia="Calibri"/>
          <w:szCs w:val="22"/>
          <w:lang w:eastAsia="en-US"/>
        </w:rPr>
      </w:pPr>
      <w:r w:rsidRPr="00917BD0">
        <w:t>–</w:t>
      </w:r>
      <w:r w:rsidRPr="00917BD0">
        <w:tab/>
        <w:t xml:space="preserve">der henviser til </w:t>
      </w:r>
      <w:r w:rsidRPr="00731640">
        <w:rPr>
          <w:rFonts w:eastAsia="Calibri"/>
          <w:szCs w:val="22"/>
          <w:lang w:eastAsia="en-US"/>
        </w:rPr>
        <w:t xml:space="preserve">udtalelse </w:t>
      </w:r>
      <w:r>
        <w:rPr>
          <w:rFonts w:eastAsia="Calibri"/>
          <w:szCs w:val="22"/>
          <w:lang w:eastAsia="en-US"/>
        </w:rPr>
        <w:t xml:space="preserve">af 10. oktober 2023 </w:t>
      </w:r>
      <w:r w:rsidRPr="00731640">
        <w:rPr>
          <w:rFonts w:eastAsia="Calibri"/>
          <w:szCs w:val="22"/>
          <w:lang w:eastAsia="en-US"/>
        </w:rPr>
        <w:t xml:space="preserve">fra </w:t>
      </w:r>
      <w:r>
        <w:rPr>
          <w:rFonts w:eastAsia="Calibri"/>
          <w:szCs w:val="22"/>
          <w:lang w:eastAsia="en-US"/>
        </w:rPr>
        <w:t>Regionsudvalget</w:t>
      </w:r>
      <w:r w:rsidRPr="00731640">
        <w:rPr>
          <w:rFonts w:eastAsia="Calibri"/>
          <w:b/>
          <w:szCs w:val="22"/>
          <w:vertAlign w:val="superscript"/>
          <w:lang w:eastAsia="en-US"/>
        </w:rPr>
        <w:footnoteReference w:id="2"/>
      </w:r>
      <w:r w:rsidRPr="00731640">
        <w:rPr>
          <w:rFonts w:eastAsia="Calibri"/>
          <w:szCs w:val="22"/>
          <w:lang w:eastAsia="en-US"/>
        </w:rPr>
        <w:t>,</w:t>
      </w:r>
    </w:p>
    <w:p w14:paraId="362FAA71" w14:textId="106991F1" w:rsidR="00731640" w:rsidRDefault="00731640" w:rsidP="001F49CE">
      <w:pPr>
        <w:pStyle w:val="NormalHanging12a"/>
        <w:rPr>
          <w:noProof/>
          <w:szCs w:val="24"/>
        </w:rPr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14. februar 2024 forpligtede sig til at godkende Europa-Parlamentets holdning, jf. artikel 294, stk. 4, i traktaten om Den Europæiske Unions funktionsmåde</w:t>
      </w:r>
    </w:p>
    <w:p w14:paraId="65514454" w14:textId="4484D016" w:rsidR="001F49CE" w:rsidRPr="00917BD0" w:rsidRDefault="001F49CE" w:rsidP="001F49CE">
      <w:pPr>
        <w:pStyle w:val="NormalHanging12a"/>
      </w:pPr>
      <w:r w:rsidRPr="00917BD0">
        <w:t>–</w:t>
      </w:r>
      <w:r w:rsidRPr="00917BD0">
        <w:tab/>
        <w:t>der henviser til forretningsordenens artikel 59,</w:t>
      </w:r>
    </w:p>
    <w:p w14:paraId="79B73822" w14:textId="77777777" w:rsidR="001F49CE" w:rsidRPr="00917BD0" w:rsidRDefault="001F49CE" w:rsidP="001F49CE">
      <w:pPr>
        <w:pStyle w:val="NormalHanging12a"/>
      </w:pPr>
      <w:r w:rsidRPr="00917BD0">
        <w:t>–</w:t>
      </w:r>
      <w:r w:rsidRPr="00917BD0">
        <w:tab/>
        <w:t>der henviser til udtalelse fra Udvalget om Miljø, Folkesundhed og Fødevaresikkerhed,</w:t>
      </w:r>
    </w:p>
    <w:p w14:paraId="04F16698" w14:textId="77777777" w:rsidR="001F49CE" w:rsidRPr="00917BD0" w:rsidRDefault="001F49CE" w:rsidP="001F49CE">
      <w:pPr>
        <w:pStyle w:val="NormalHanging12a"/>
      </w:pPr>
      <w:r w:rsidRPr="00917BD0">
        <w:t>–</w:t>
      </w:r>
      <w:r w:rsidRPr="00917BD0">
        <w:tab/>
        <w:t>der henviser til betænkning fra Udvalget om det Indre Marked og Forbrugerbeskyttelse (A9-0316/2023),</w:t>
      </w:r>
    </w:p>
    <w:p w14:paraId="3BF97A9C" w14:textId="79588A60" w:rsidR="001F49CE" w:rsidRPr="00917BD0" w:rsidRDefault="001F49CE" w:rsidP="001F49CE">
      <w:pPr>
        <w:pStyle w:val="NormalHanging12a"/>
      </w:pPr>
      <w:r w:rsidRPr="00917BD0">
        <w:lastRenderedPageBreak/>
        <w:t>1.</w:t>
      </w:r>
      <w:r w:rsidRPr="00917BD0">
        <w:tab/>
        <w:t>vedtager nedenstående holdning ved førstebehandling</w:t>
      </w:r>
      <w:r w:rsidR="008F7B27">
        <w:rPr>
          <w:rStyle w:val="FootnoteReference"/>
        </w:rPr>
        <w:footnoteReference w:id="3"/>
      </w:r>
      <w:r w:rsidRPr="00917BD0">
        <w:t>;</w:t>
      </w:r>
    </w:p>
    <w:p w14:paraId="6CE17EA6" w14:textId="77777777" w:rsidR="001F49CE" w:rsidRPr="00917BD0" w:rsidRDefault="001F49CE" w:rsidP="001F49CE">
      <w:pPr>
        <w:pStyle w:val="NormalHanging12a"/>
      </w:pPr>
      <w:r w:rsidRPr="00917BD0">
        <w:t>2.</w:t>
      </w:r>
      <w:r w:rsidRPr="00917BD0">
        <w:tab/>
        <w:t>anmoder om fornyet forelæggelse, hvis Kommissionen erstatter, i væsentlig grad ændrer eller agter i væsentlig grad at ændre sit forslag;</w:t>
      </w:r>
    </w:p>
    <w:p w14:paraId="683738E3" w14:textId="77777777" w:rsidR="00731640" w:rsidRDefault="001F49CE" w:rsidP="004904E1">
      <w:pPr>
        <w:pStyle w:val="NormalHanging12a"/>
        <w:sectPr w:rsidR="00731640" w:rsidSect="00917BD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17BD0">
        <w:t>3.</w:t>
      </w:r>
      <w:r w:rsidRPr="00917BD0">
        <w:tab/>
        <w:t>pålægger sin formand at sende Parlamentets holdning til Rådet og Kommissionen samt til de nationale parlamenter.</w:t>
      </w:r>
    </w:p>
    <w:p w14:paraId="5E6F63DB" w14:textId="35D901E6" w:rsidR="00731640" w:rsidRDefault="00731640" w:rsidP="00731640">
      <w:pPr>
        <w:pStyle w:val="ATHeading3"/>
      </w:pPr>
      <w:r>
        <w:lastRenderedPageBreak/>
        <w:t>P9_TC1-</w:t>
      </w:r>
      <w:proofErr w:type="gramStart"/>
      <w:r>
        <w:t>COD(</w:t>
      </w:r>
      <w:proofErr w:type="gramEnd"/>
      <w:r>
        <w:t>2023)0083</w:t>
      </w:r>
    </w:p>
    <w:p w14:paraId="7256A385" w14:textId="03202C6F" w:rsidR="00731640" w:rsidRDefault="00731640" w:rsidP="00731640">
      <w:pPr>
        <w:pStyle w:val="Typedudocument"/>
        <w:spacing w:before="240" w:after="240"/>
        <w:jc w:val="left"/>
      </w:pPr>
      <w:r>
        <w:t xml:space="preserve">Europa-Parlamentets holdning fastlagt ved førstebehandlingen den 23. april 2024 med henblik på vedtagelse af Europa-Parlamentets og Rådets </w:t>
      </w:r>
      <w:r>
        <w:rPr>
          <w:rFonts w:eastAsia="Calibri"/>
        </w:rPr>
        <w:t>direktiv</w:t>
      </w:r>
      <w:r>
        <w:t xml:space="preserve"> (EU) </w:t>
      </w:r>
      <w:r>
        <w:rPr>
          <w:rFonts w:eastAsia="Calibri"/>
        </w:rPr>
        <w:t xml:space="preserve">2024/... om </w:t>
      </w:r>
      <w:r w:rsidRPr="00731640">
        <w:t>fælles regler til fremme af reparation af varer og om ændring af forordning (EU) 2017/2394 og direktiv (EU) 2019/771 og (EU) 2020/1828</w:t>
      </w:r>
    </w:p>
    <w:p w14:paraId="3649D550" w14:textId="77777777" w:rsidR="00B763C4" w:rsidRDefault="00B763C4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4989277E" w14:textId="055DFEB9" w:rsidR="00B763C4" w:rsidRPr="00A851C6" w:rsidRDefault="00B763C4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direktiv </w:t>
      </w:r>
      <w:r>
        <w:rPr>
          <w:i/>
        </w:rPr>
        <w:t>(EU) 2024/1799</w:t>
      </w:r>
      <w:bookmarkStart w:id="7" w:name="_GoBack"/>
      <w:bookmarkEnd w:id="7"/>
      <w:r>
        <w:rPr>
          <w:i/>
        </w:rPr>
        <w:t>.)</w:t>
      </w:r>
    </w:p>
    <w:p w14:paraId="04555434" w14:textId="5AC7991D" w:rsidR="00B763C4" w:rsidRPr="00B763C4" w:rsidRDefault="00B763C4" w:rsidP="00B763C4">
      <w:pPr>
        <w:rPr>
          <w:lang w:eastAsia="en-US"/>
        </w:rPr>
      </w:pPr>
    </w:p>
    <w:sectPr w:rsidR="00B763C4" w:rsidRPr="00B763C4" w:rsidSect="00917B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062E5" w14:textId="77777777" w:rsidR="00407596" w:rsidRPr="00917BD0" w:rsidRDefault="00407596">
      <w:r w:rsidRPr="00917BD0">
        <w:separator/>
      </w:r>
    </w:p>
  </w:endnote>
  <w:endnote w:type="continuationSeparator" w:id="0">
    <w:p w14:paraId="1F9BE444" w14:textId="77777777" w:rsidR="00407596" w:rsidRPr="00917BD0" w:rsidRDefault="00407596">
      <w:r w:rsidRPr="00917B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08BA9" w14:textId="77777777" w:rsidR="00407596" w:rsidRPr="00917BD0" w:rsidRDefault="00407596">
      <w:r w:rsidRPr="00917BD0">
        <w:separator/>
      </w:r>
    </w:p>
  </w:footnote>
  <w:footnote w:type="continuationSeparator" w:id="0">
    <w:p w14:paraId="4DDAEF38" w14:textId="77777777" w:rsidR="00407596" w:rsidRPr="00917BD0" w:rsidRDefault="00407596">
      <w:r w:rsidRPr="00917BD0">
        <w:continuationSeparator/>
      </w:r>
    </w:p>
  </w:footnote>
  <w:footnote w:id="1">
    <w:p w14:paraId="5FAC5E9A" w14:textId="77777777" w:rsidR="00731640" w:rsidRPr="00B16B48" w:rsidRDefault="00731640" w:rsidP="00731640">
      <w:pPr>
        <w:pStyle w:val="FootnoteText"/>
        <w:ind w:left="850" w:hanging="850"/>
        <w:rPr>
          <w:color w:val="000000"/>
          <w:sz w:val="24"/>
          <w:szCs w:val="24"/>
          <w:lang w:val="fi-FI"/>
        </w:rPr>
      </w:pPr>
      <w:r w:rsidRPr="00F5776A">
        <w:rPr>
          <w:rStyle w:val="FootnoteReference"/>
          <w:color w:val="000000"/>
          <w:sz w:val="24"/>
          <w:szCs w:val="24"/>
        </w:rPr>
        <w:footnoteRef/>
      </w:r>
      <w:r w:rsidRPr="00B16B48">
        <w:rPr>
          <w:color w:val="000000"/>
          <w:sz w:val="24"/>
          <w:szCs w:val="24"/>
          <w:lang w:val="fi-FI"/>
        </w:rPr>
        <w:tab/>
        <w:t>EUT C 293 af 18.8.2023, s. 77.</w:t>
      </w:r>
    </w:p>
  </w:footnote>
  <w:footnote w:id="2">
    <w:p w14:paraId="72B62A8F" w14:textId="215B363D" w:rsidR="00731640" w:rsidRPr="00B16B48" w:rsidRDefault="00731640" w:rsidP="00731640">
      <w:pPr>
        <w:pStyle w:val="FootnoteText"/>
        <w:ind w:left="850" w:hanging="850"/>
        <w:rPr>
          <w:rStyle w:val="Emphasis"/>
          <w:i w:val="0"/>
          <w:color w:val="000000" w:themeColor="text1"/>
          <w:shd w:val="clear" w:color="auto" w:fill="FFFFFF"/>
          <w:lang w:val="fi-FI"/>
        </w:rPr>
      </w:pPr>
      <w:r w:rsidRPr="00B16B48">
        <w:rPr>
          <w:rStyle w:val="FootnoteReference"/>
          <w:color w:val="000000" w:themeColor="text1"/>
          <w:sz w:val="24"/>
          <w:szCs w:val="24"/>
        </w:rPr>
        <w:footnoteRef/>
      </w:r>
      <w:r w:rsidRPr="00B16B48">
        <w:rPr>
          <w:color w:val="000000" w:themeColor="text1"/>
          <w:sz w:val="24"/>
          <w:szCs w:val="24"/>
          <w:lang w:val="fi-FI"/>
        </w:rPr>
        <w:tab/>
      </w:r>
      <w:r w:rsidRPr="00B16B48">
        <w:rPr>
          <w:rStyle w:val="Emphasis"/>
          <w:i w:val="0"/>
          <w:color w:val="000000" w:themeColor="text1"/>
          <w:sz w:val="24"/>
          <w:szCs w:val="24"/>
          <w:shd w:val="clear" w:color="auto" w:fill="FFFFFF"/>
          <w:lang w:val="fi-FI"/>
        </w:rPr>
        <w:t>EUT C, C/2023/1330, 22.12.2023, ELI: http://data.europa.eu/eli/C/2023/1330/oj.</w:t>
      </w:r>
    </w:p>
  </w:footnote>
  <w:footnote w:id="3">
    <w:p w14:paraId="54C17C16" w14:textId="63FAD69A" w:rsidR="008F7B27" w:rsidRPr="008F7B27" w:rsidRDefault="008F7B27" w:rsidP="00B16B48">
      <w:pPr>
        <w:pStyle w:val="NormalHanging12a"/>
        <w:ind w:left="851" w:hanging="851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rPr>
          <w:szCs w:val="24"/>
        </w:rPr>
        <w:t>Denne holdning erstatter de ændringer, der blev vedtaget den 21. november 2023 (Vedtagne tekster, P9_</w:t>
      </w:r>
      <w:proofErr w:type="gramStart"/>
      <w:r>
        <w:rPr>
          <w:szCs w:val="24"/>
        </w:rPr>
        <w:t>TA(</w:t>
      </w:r>
      <w:proofErr w:type="gramEnd"/>
      <w:r>
        <w:rPr>
          <w:szCs w:val="24"/>
        </w:rPr>
        <w:t>2023)0400).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44A870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A6F0F1A4" w:tentative="1">
      <w:start w:val="1"/>
      <w:numFmt w:val="lowerLetter"/>
      <w:lvlText w:val="%2."/>
      <w:lvlJc w:val="left"/>
      <w:pPr>
        <w:ind w:left="1440" w:hanging="360"/>
      </w:pPr>
    </w:lvl>
    <w:lvl w:ilvl="2" w:tplc="D72C2BC6" w:tentative="1">
      <w:start w:val="1"/>
      <w:numFmt w:val="lowerRoman"/>
      <w:lvlText w:val="%3."/>
      <w:lvlJc w:val="right"/>
      <w:pPr>
        <w:ind w:left="2160" w:hanging="180"/>
      </w:pPr>
    </w:lvl>
    <w:lvl w:ilvl="3" w:tplc="AAA89E64" w:tentative="1">
      <w:start w:val="1"/>
      <w:numFmt w:val="decimal"/>
      <w:lvlText w:val="%4."/>
      <w:lvlJc w:val="left"/>
      <w:pPr>
        <w:ind w:left="2880" w:hanging="360"/>
      </w:pPr>
    </w:lvl>
    <w:lvl w:ilvl="4" w:tplc="FAC61BC4" w:tentative="1">
      <w:start w:val="1"/>
      <w:numFmt w:val="lowerLetter"/>
      <w:lvlText w:val="%5."/>
      <w:lvlJc w:val="left"/>
      <w:pPr>
        <w:ind w:left="3600" w:hanging="360"/>
      </w:pPr>
    </w:lvl>
    <w:lvl w:ilvl="5" w:tplc="9A0435AE" w:tentative="1">
      <w:start w:val="1"/>
      <w:numFmt w:val="lowerRoman"/>
      <w:lvlText w:val="%6."/>
      <w:lvlJc w:val="right"/>
      <w:pPr>
        <w:ind w:left="4320" w:hanging="180"/>
      </w:pPr>
    </w:lvl>
    <w:lvl w:ilvl="6" w:tplc="C65A22AA" w:tentative="1">
      <w:start w:val="1"/>
      <w:numFmt w:val="decimal"/>
      <w:lvlText w:val="%7."/>
      <w:lvlJc w:val="left"/>
      <w:pPr>
        <w:ind w:left="5040" w:hanging="360"/>
      </w:pPr>
    </w:lvl>
    <w:lvl w:ilvl="7" w:tplc="16B45238" w:tentative="1">
      <w:start w:val="1"/>
      <w:numFmt w:val="lowerLetter"/>
      <w:lvlText w:val="%8."/>
      <w:lvlJc w:val="left"/>
      <w:pPr>
        <w:ind w:left="5760" w:hanging="360"/>
      </w:pPr>
    </w:lvl>
    <w:lvl w:ilvl="8" w:tplc="9E00122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DA"/>
    <w:docVar w:name="dvnumam" w:val="140"/>
    <w:docVar w:name="dvpe" w:val="749.950"/>
    <w:docVar w:name="dvrapporteur" w:val="Ordfører: "/>
    <w:docVar w:name="dvstar" w:val="***I"/>
    <w:docVar w:name="dvtitre" w:val="Europa-Parlamentets lovgivningsmæssige beslutning af xx.xx 2023 om forslag til Europa-Parlamentets og Rådets direktiv om fælles regler til fremme af afhjælpning af varer og om ændring af forordning (EU) 2017/2394, direktiv (EU) 2019/771 og (EU) 2020/1828(COM(2023)0155 – C9-0117/2023 – 2023/0083(COD))"/>
  </w:docVars>
  <w:rsids>
    <w:rsidRoot w:val="00407596"/>
    <w:rsid w:val="00002272"/>
    <w:rsid w:val="0001163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49CE"/>
    <w:rsid w:val="00245B86"/>
    <w:rsid w:val="00264829"/>
    <w:rsid w:val="002767FF"/>
    <w:rsid w:val="002B18FE"/>
    <w:rsid w:val="002B5493"/>
    <w:rsid w:val="00307079"/>
    <w:rsid w:val="00343214"/>
    <w:rsid w:val="00361C00"/>
    <w:rsid w:val="00395FA1"/>
    <w:rsid w:val="003E15D4"/>
    <w:rsid w:val="00407596"/>
    <w:rsid w:val="00411CCE"/>
    <w:rsid w:val="0041666E"/>
    <w:rsid w:val="00421060"/>
    <w:rsid w:val="004335DD"/>
    <w:rsid w:val="004707F5"/>
    <w:rsid w:val="00471C19"/>
    <w:rsid w:val="004867E3"/>
    <w:rsid w:val="004874D8"/>
    <w:rsid w:val="004904E1"/>
    <w:rsid w:val="00494A28"/>
    <w:rsid w:val="004C0004"/>
    <w:rsid w:val="004C5D52"/>
    <w:rsid w:val="0050292F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657B"/>
    <w:rsid w:val="006C6713"/>
    <w:rsid w:val="006F74FA"/>
    <w:rsid w:val="00731640"/>
    <w:rsid w:val="00731ADD"/>
    <w:rsid w:val="00734777"/>
    <w:rsid w:val="00747932"/>
    <w:rsid w:val="00751A4A"/>
    <w:rsid w:val="00756632"/>
    <w:rsid w:val="0076047C"/>
    <w:rsid w:val="00762C74"/>
    <w:rsid w:val="00786EC0"/>
    <w:rsid w:val="007D1690"/>
    <w:rsid w:val="007D64AF"/>
    <w:rsid w:val="007E22AD"/>
    <w:rsid w:val="00817416"/>
    <w:rsid w:val="00842779"/>
    <w:rsid w:val="00865F67"/>
    <w:rsid w:val="00881A7B"/>
    <w:rsid w:val="008840E5"/>
    <w:rsid w:val="00887B3E"/>
    <w:rsid w:val="008A7737"/>
    <w:rsid w:val="008C2AC6"/>
    <w:rsid w:val="008F7B27"/>
    <w:rsid w:val="00917BD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B48"/>
    <w:rsid w:val="00B22876"/>
    <w:rsid w:val="00B558F0"/>
    <w:rsid w:val="00B763C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67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B279D"/>
  <w15:chartTrackingRefBased/>
  <w15:docId w15:val="{D96CFC98-5882-4716-A1CC-01DB4484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F49C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F49C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F49C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F49C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F49C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F49CE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1F49CE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1F49CE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1F49CE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1F49C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F49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F49C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F49CE"/>
    <w:pPr>
      <w:spacing w:after="120"/>
    </w:pPr>
  </w:style>
  <w:style w:type="paragraph" w:customStyle="1" w:styleId="PageHeading">
    <w:name w:val="PageHeading"/>
    <w:basedOn w:val="Normal"/>
    <w:rsid w:val="001F49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F49CE"/>
    <w:rPr>
      <w:b/>
    </w:rPr>
  </w:style>
  <w:style w:type="character" w:customStyle="1" w:styleId="NormalBoldChar">
    <w:name w:val="NormalBold Char"/>
    <w:basedOn w:val="DefaultParagraphFont"/>
    <w:link w:val="NormalBold"/>
    <w:rsid w:val="001F49CE"/>
    <w:rPr>
      <w:b/>
      <w:sz w:val="24"/>
      <w:lang w:val="da-DK"/>
    </w:rPr>
  </w:style>
  <w:style w:type="paragraph" w:customStyle="1" w:styleId="NormalBold12a">
    <w:name w:val="NormalBold12a"/>
    <w:basedOn w:val="Normal"/>
    <w:rsid w:val="001F49CE"/>
    <w:pPr>
      <w:spacing w:after="240"/>
    </w:pPr>
    <w:rPr>
      <w:b/>
    </w:rPr>
  </w:style>
  <w:style w:type="paragraph" w:customStyle="1" w:styleId="AmJustText">
    <w:name w:val="AmJustText"/>
    <w:basedOn w:val="Normal"/>
    <w:rsid w:val="001F49C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F49C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F49CE"/>
    <w:pPr>
      <w:spacing w:after="480"/>
      <w:ind w:left="1417"/>
    </w:pPr>
  </w:style>
  <w:style w:type="paragraph" w:customStyle="1" w:styleId="CoverNormal">
    <w:name w:val="CoverNormal"/>
    <w:basedOn w:val="Normal"/>
    <w:rsid w:val="001F49CE"/>
    <w:pPr>
      <w:ind w:left="1418"/>
    </w:pPr>
  </w:style>
  <w:style w:type="paragraph" w:customStyle="1" w:styleId="AmCrossRef">
    <w:name w:val="AmCrossRef"/>
    <w:basedOn w:val="Normal"/>
    <w:rsid w:val="001F49C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F49C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F49C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F49C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F49C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F49CE"/>
    <w:pPr>
      <w:spacing w:before="240" w:after="1200"/>
    </w:pPr>
  </w:style>
  <w:style w:type="paragraph" w:styleId="Header">
    <w:name w:val="header"/>
    <w:basedOn w:val="Normal"/>
    <w:link w:val="HeaderChar"/>
    <w:rsid w:val="001F49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49CE"/>
    <w:rPr>
      <w:sz w:val="24"/>
      <w:lang w:val="da-DK"/>
    </w:rPr>
  </w:style>
  <w:style w:type="paragraph" w:customStyle="1" w:styleId="AmOrLang">
    <w:name w:val="AmOrLang"/>
    <w:basedOn w:val="Normal"/>
    <w:rsid w:val="001F49C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F49C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F49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F49CE"/>
    <w:pPr>
      <w:spacing w:before="240"/>
    </w:pPr>
    <w:rPr>
      <w:b/>
    </w:rPr>
  </w:style>
  <w:style w:type="paragraph" w:customStyle="1" w:styleId="EPBody">
    <w:name w:val="EPBody"/>
    <w:basedOn w:val="Normal"/>
    <w:rsid w:val="001F49C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F49C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F49CE"/>
    <w:pPr>
      <w:spacing w:before="480" w:after="240"/>
    </w:pPr>
  </w:style>
  <w:style w:type="paragraph" w:customStyle="1" w:styleId="Lgendesigne">
    <w:name w:val="Légende signe"/>
    <w:basedOn w:val="Normal"/>
    <w:rsid w:val="001F49C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F49C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F49CE"/>
    <w:rPr>
      <w:sz w:val="18"/>
    </w:rPr>
  </w:style>
  <w:style w:type="paragraph" w:customStyle="1" w:styleId="EntPE">
    <w:name w:val="EntPE"/>
    <w:basedOn w:val="Normal12"/>
    <w:rsid w:val="001F49C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F49CE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1F49CE"/>
    <w:rPr>
      <w:noProof/>
      <w:sz w:val="24"/>
      <w:lang w:val="da-DK"/>
    </w:rPr>
  </w:style>
  <w:style w:type="paragraph" w:customStyle="1" w:styleId="Normal6">
    <w:name w:val="Normal6"/>
    <w:basedOn w:val="Normal"/>
    <w:link w:val="Normal6Char"/>
    <w:rsid w:val="001F49C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F49CE"/>
    <w:rPr>
      <w:sz w:val="24"/>
      <w:lang w:val="da-DK"/>
    </w:rPr>
  </w:style>
  <w:style w:type="paragraph" w:customStyle="1" w:styleId="Normal12Italic">
    <w:name w:val="Normal12Italic"/>
    <w:basedOn w:val="Normal12"/>
    <w:rsid w:val="001F49CE"/>
    <w:rPr>
      <w:i/>
    </w:rPr>
  </w:style>
  <w:style w:type="character" w:customStyle="1" w:styleId="erpldocument-subtitle-author">
    <w:name w:val="erpl_document-subtitle-author"/>
    <w:basedOn w:val="DefaultParagraphFont"/>
    <w:rsid w:val="001F49CE"/>
  </w:style>
  <w:style w:type="paragraph" w:customStyle="1" w:styleId="AMNumberTabs0">
    <w:name w:val="AMNumberTabs"/>
    <w:basedOn w:val="Normal"/>
    <w:rsid w:val="001F49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F49C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F49CE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1F49CE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1F49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49CE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1F49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1F49C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9CE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F49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49CE"/>
    <w:rPr>
      <w:b/>
      <w:bCs/>
      <w:lang w:val="da-DK"/>
    </w:rPr>
  </w:style>
  <w:style w:type="paragraph" w:styleId="Revision">
    <w:name w:val="Revision"/>
    <w:hidden/>
    <w:uiPriority w:val="99"/>
    <w:semiHidden/>
    <w:rsid w:val="001F49CE"/>
    <w:rPr>
      <w:sz w:val="24"/>
      <w:lang w:val="da-DK"/>
    </w:rPr>
  </w:style>
  <w:style w:type="paragraph" w:customStyle="1" w:styleId="Normal12a">
    <w:name w:val="Normal12a"/>
    <w:basedOn w:val="Normal"/>
    <w:rsid w:val="001F49CE"/>
    <w:pPr>
      <w:spacing w:after="240"/>
    </w:pPr>
  </w:style>
  <w:style w:type="paragraph" w:customStyle="1" w:styleId="PageHeadingNotTOC">
    <w:name w:val="PageHeadingNotTOC"/>
    <w:basedOn w:val="Normal"/>
    <w:rsid w:val="001F49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F49C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1F49CE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1F49CE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1F49CE"/>
    <w:rPr>
      <w:b/>
      <w:sz w:val="24"/>
      <w:lang w:val="da-DK"/>
    </w:rPr>
  </w:style>
  <w:style w:type="paragraph" w:customStyle="1" w:styleId="RollCallSymbols14pt">
    <w:name w:val="RollCallSymbols14pt"/>
    <w:basedOn w:val="Normal"/>
    <w:rsid w:val="001F49C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F49C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F49C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F49CE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1F49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F49CE"/>
    <w:rPr>
      <w:sz w:val="24"/>
      <w:lang w:val="da-DK"/>
    </w:rPr>
  </w:style>
  <w:style w:type="paragraph" w:customStyle="1" w:styleId="Typedudocument">
    <w:name w:val="Type du document"/>
    <w:basedOn w:val="Normal"/>
    <w:next w:val="Normal"/>
    <w:rsid w:val="0073164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7316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6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50334-F861-4C0F-BF29-F2812114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2024-09-05T14:03:00Z</dcterms:created>
  <dcterms:modified xsi:type="dcterms:W3CDTF">2024-09-05T14:03:00Z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