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5DE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5DEA" w:rsidRDefault="00127272" w:rsidP="0010095E">
            <w:pPr>
              <w:pStyle w:val="EPName"/>
            </w:pPr>
            <w:r w:rsidRPr="00B15DEA">
              <w:t>Evropský parlament</w:t>
            </w:r>
          </w:p>
          <w:p w:rsidR="00751A4A" w:rsidRPr="00B15DE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7E14">
              <w:t>2019</w:t>
            </w:r>
            <w:r w:rsidRPr="00B15DEA">
              <w:t>-</w:t>
            </w:r>
            <w:r w:rsidRPr="001C7E1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15DEA" w:rsidRDefault="00187494" w:rsidP="0010095E">
            <w:pPr>
              <w:pStyle w:val="EPLogo"/>
            </w:pPr>
            <w:r w:rsidRPr="00B15DE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5DEA" w:rsidRDefault="00D058B8" w:rsidP="004C5D52">
      <w:pPr>
        <w:pStyle w:val="LineTop"/>
      </w:pPr>
    </w:p>
    <w:p w:rsidR="00680577" w:rsidRPr="00B15DEA" w:rsidRDefault="00127272" w:rsidP="00680577">
      <w:pPr>
        <w:pStyle w:val="EPBodyTA1"/>
      </w:pPr>
      <w:r w:rsidRPr="00B15DEA">
        <w:t>PŘIJATÉ TEXTY</w:t>
      </w:r>
    </w:p>
    <w:p w:rsidR="00D058B8" w:rsidRPr="00B15DEA" w:rsidRDefault="00D058B8" w:rsidP="00D058B8">
      <w:pPr>
        <w:pStyle w:val="LineBottom"/>
      </w:pPr>
    </w:p>
    <w:p w:rsidR="00127272" w:rsidRPr="00B15DEA" w:rsidRDefault="00127272" w:rsidP="00127272">
      <w:pPr>
        <w:pStyle w:val="ATHeading1"/>
      </w:pPr>
      <w:bookmarkStart w:id="0" w:name="TANumber"/>
      <w:r w:rsidRPr="00B15DEA">
        <w:t>P</w:t>
      </w:r>
      <w:r w:rsidRPr="001C7E14">
        <w:t>9</w:t>
      </w:r>
      <w:r w:rsidRPr="00B15DEA">
        <w:t>_TA(</w:t>
      </w:r>
      <w:r w:rsidRPr="001C7E14">
        <w:t>2024</w:t>
      </w:r>
      <w:r w:rsidRPr="00B15DEA">
        <w:t>)</w:t>
      </w:r>
      <w:r w:rsidRPr="001C7E14">
        <w:t>0</w:t>
      </w:r>
      <w:bookmarkEnd w:id="0"/>
      <w:r w:rsidR="00C36117" w:rsidRPr="001C7E14">
        <w:t>310</w:t>
      </w:r>
    </w:p>
    <w:p w:rsidR="00127272" w:rsidRPr="00B15DEA" w:rsidRDefault="00127272" w:rsidP="00127272">
      <w:pPr>
        <w:pStyle w:val="ATHeading2"/>
      </w:pPr>
      <w:bookmarkStart w:id="1" w:name="title"/>
      <w:r w:rsidRPr="00B15DEA">
        <w:t xml:space="preserve">Změna směrnice </w:t>
      </w:r>
      <w:r w:rsidRPr="001C7E14">
        <w:t>2011</w:t>
      </w:r>
      <w:r w:rsidRPr="00B15DEA">
        <w:t>/</w:t>
      </w:r>
      <w:r w:rsidRPr="001C7E14">
        <w:t>36</w:t>
      </w:r>
      <w:r w:rsidRPr="00B15DEA">
        <w:t>/EU o prevenci obchodování s lidmi, boji proti němu a o ochraně obětí</w:t>
      </w:r>
      <w:bookmarkEnd w:id="1"/>
    </w:p>
    <w:p w:rsidR="00127272" w:rsidRPr="00B15DEA" w:rsidRDefault="00127272" w:rsidP="00127272">
      <w:pPr>
        <w:rPr>
          <w:i/>
          <w:vanish/>
        </w:rPr>
      </w:pPr>
      <w:r w:rsidRPr="00B15DEA">
        <w:rPr>
          <w:i/>
        </w:rPr>
        <w:fldChar w:fldCharType="begin"/>
      </w:r>
      <w:r w:rsidRPr="00B15DEA">
        <w:rPr>
          <w:i/>
        </w:rPr>
        <w:instrText xml:space="preserve"> TC"(</w:instrText>
      </w:r>
      <w:bookmarkStart w:id="2" w:name="DocNumber"/>
      <w:r w:rsidRPr="00B15DEA">
        <w:rPr>
          <w:i/>
        </w:rPr>
        <w:instrText>A</w:instrText>
      </w:r>
      <w:r w:rsidRPr="001C7E14">
        <w:rPr>
          <w:i/>
        </w:rPr>
        <w:instrText>9</w:instrText>
      </w:r>
      <w:r w:rsidRPr="00B15DEA">
        <w:rPr>
          <w:i/>
        </w:rPr>
        <w:instrText>-</w:instrText>
      </w:r>
      <w:r w:rsidRPr="001C7E14">
        <w:rPr>
          <w:i/>
        </w:rPr>
        <w:instrText>0285</w:instrText>
      </w:r>
      <w:r w:rsidRPr="00B15DEA">
        <w:rPr>
          <w:i/>
        </w:rPr>
        <w:instrText>/</w:instrText>
      </w:r>
      <w:r w:rsidRPr="001C7E14">
        <w:rPr>
          <w:i/>
        </w:rPr>
        <w:instrText>2023</w:instrText>
      </w:r>
      <w:bookmarkEnd w:id="2"/>
      <w:r w:rsidRPr="00B15DEA">
        <w:rPr>
          <w:i/>
        </w:rPr>
        <w:instrText xml:space="preserve"> - Zpravodajky: Malin </w:instrText>
      </w:r>
      <w:proofErr w:type="spellStart"/>
      <w:r w:rsidRPr="00B15DEA">
        <w:rPr>
          <w:i/>
        </w:rPr>
        <w:instrText>Björk</w:instrText>
      </w:r>
      <w:proofErr w:type="spellEnd"/>
      <w:r w:rsidRPr="00B15DEA">
        <w:rPr>
          <w:i/>
        </w:rPr>
        <w:instrText xml:space="preserve">, Eugenia </w:instrText>
      </w:r>
      <w:proofErr w:type="spellStart"/>
      <w:r w:rsidRPr="00B15DEA">
        <w:rPr>
          <w:i/>
        </w:rPr>
        <w:instrText>Rodríguez</w:instrText>
      </w:r>
      <w:proofErr w:type="spellEnd"/>
      <w:r w:rsidRPr="00B15DEA">
        <w:rPr>
          <w:i/>
        </w:rPr>
        <w:instrText xml:space="preserve"> </w:instrText>
      </w:r>
      <w:proofErr w:type="spellStart"/>
      <w:r w:rsidRPr="00B15DEA">
        <w:rPr>
          <w:i/>
        </w:rPr>
        <w:instrText>Palop</w:instrText>
      </w:r>
      <w:proofErr w:type="spellEnd"/>
      <w:r w:rsidRPr="00B15DEA">
        <w:rPr>
          <w:i/>
        </w:rPr>
        <w:instrText>)"\l</w:instrText>
      </w:r>
      <w:r w:rsidRPr="001C7E14">
        <w:rPr>
          <w:i/>
        </w:rPr>
        <w:instrText>3</w:instrText>
      </w:r>
      <w:r w:rsidRPr="00B15DEA">
        <w:rPr>
          <w:i/>
        </w:rPr>
        <w:instrText xml:space="preserve"> \n&gt; \* MERGEFORMAT </w:instrText>
      </w:r>
      <w:r w:rsidRPr="00B15DEA">
        <w:rPr>
          <w:i/>
        </w:rPr>
        <w:fldChar w:fldCharType="end"/>
      </w:r>
    </w:p>
    <w:p w:rsidR="00127272" w:rsidRPr="00B15DEA" w:rsidRDefault="00127272" w:rsidP="00127272">
      <w:pPr>
        <w:rPr>
          <w:vanish/>
        </w:rPr>
      </w:pPr>
      <w:bookmarkStart w:id="3" w:name="Commission"/>
      <w:r w:rsidRPr="00B15DEA">
        <w:rPr>
          <w:vanish/>
        </w:rPr>
        <w:t>Výbor pro občanské svobody, spravedlnost a vnitřní věci, Výbor pro práva žen a rovnost pohlaví</w:t>
      </w:r>
      <w:bookmarkEnd w:id="3"/>
    </w:p>
    <w:p w:rsidR="00127272" w:rsidRPr="00B15DEA" w:rsidRDefault="00127272" w:rsidP="00127272">
      <w:pPr>
        <w:rPr>
          <w:vanish/>
        </w:rPr>
      </w:pPr>
      <w:bookmarkStart w:id="4" w:name="PE"/>
      <w:r w:rsidRPr="00B15DEA">
        <w:rPr>
          <w:vanish/>
        </w:rPr>
        <w:t>PE</w:t>
      </w:r>
      <w:r w:rsidRPr="001C7E14">
        <w:rPr>
          <w:vanish/>
        </w:rPr>
        <w:t>749</w:t>
      </w:r>
      <w:r w:rsidRPr="00B15DEA">
        <w:rPr>
          <w:vanish/>
        </w:rPr>
        <w:t>.</w:t>
      </w:r>
      <w:r w:rsidRPr="001C7E14">
        <w:rPr>
          <w:vanish/>
        </w:rPr>
        <w:t>081</w:t>
      </w:r>
      <w:bookmarkEnd w:id="4"/>
    </w:p>
    <w:p w:rsidR="00127272" w:rsidRPr="00B15DEA" w:rsidRDefault="00127272" w:rsidP="00127272">
      <w:pPr>
        <w:pStyle w:val="ATHeading3"/>
      </w:pPr>
      <w:bookmarkStart w:id="5" w:name="Sujet"/>
      <w:r w:rsidRPr="00B15DEA">
        <w:t xml:space="preserve">Legislativní usnesení </w:t>
      </w:r>
      <w:r w:rsidR="00A0695B">
        <w:t xml:space="preserve">Evropského parlamentu ze dne </w:t>
      </w:r>
      <w:r w:rsidR="00A0695B" w:rsidRPr="001C7E14">
        <w:t>23</w:t>
      </w:r>
      <w:r w:rsidR="00027FC8">
        <w:t>. dubna</w:t>
      </w:r>
      <w:r w:rsidRPr="00B15DEA">
        <w:t xml:space="preserve"> </w:t>
      </w:r>
      <w:r w:rsidRPr="001C7E14">
        <w:t>2024</w:t>
      </w:r>
      <w:r w:rsidRPr="00B15DEA">
        <w:t xml:space="preserve"> o návrhu směrnice Evropského parlamentu a Rady, kterou se mění směrnice </w:t>
      </w:r>
      <w:r w:rsidRPr="001C7E14">
        <w:t>2011</w:t>
      </w:r>
      <w:r w:rsidRPr="00B15DEA">
        <w:t>/</w:t>
      </w:r>
      <w:r w:rsidRPr="001C7E14">
        <w:t>36</w:t>
      </w:r>
      <w:r w:rsidRPr="00B15DEA">
        <w:t>/EU o prevenci obchodování s lidmi, boji proti němu a o ochraně obětí</w:t>
      </w:r>
      <w:bookmarkEnd w:id="5"/>
      <w:r w:rsidRPr="00B15DEA">
        <w:t xml:space="preserve"> </w:t>
      </w:r>
      <w:bookmarkStart w:id="6" w:name="References"/>
      <w:r w:rsidRPr="00B15DEA">
        <w:t>(</w:t>
      </w:r>
      <w:proofErr w:type="gramStart"/>
      <w:r w:rsidRPr="00B15DEA">
        <w:t>COM(</w:t>
      </w:r>
      <w:r w:rsidRPr="001C7E14">
        <w:t>2022</w:t>
      </w:r>
      <w:proofErr w:type="gramEnd"/>
      <w:r w:rsidRPr="00B15DEA">
        <w:t>)</w:t>
      </w:r>
      <w:r w:rsidRPr="001C7E14">
        <w:t>0732</w:t>
      </w:r>
      <w:r w:rsidRPr="00B15DEA">
        <w:t xml:space="preserve"> – C</w:t>
      </w:r>
      <w:r w:rsidRPr="001C7E14">
        <w:t>9</w:t>
      </w:r>
      <w:r w:rsidRPr="00B15DEA">
        <w:t>-</w:t>
      </w:r>
      <w:r w:rsidRPr="001C7E14">
        <w:t>0431</w:t>
      </w:r>
      <w:r w:rsidRPr="00B15DEA">
        <w:t>/</w:t>
      </w:r>
      <w:r w:rsidRPr="001C7E14">
        <w:t>2022</w:t>
      </w:r>
      <w:r w:rsidRPr="00B15DEA">
        <w:t xml:space="preserve"> – </w:t>
      </w:r>
      <w:r w:rsidRPr="001C7E14">
        <w:t>2022</w:t>
      </w:r>
      <w:r w:rsidRPr="00B15DEA">
        <w:t>/</w:t>
      </w:r>
      <w:r w:rsidRPr="001C7E14">
        <w:t>0426</w:t>
      </w:r>
      <w:r w:rsidRPr="00B15DEA">
        <w:t>(COD))</w:t>
      </w:r>
      <w:bookmarkEnd w:id="6"/>
    </w:p>
    <w:p w:rsidR="00127272" w:rsidRPr="00B15DEA" w:rsidRDefault="00127272" w:rsidP="00127272"/>
    <w:p w:rsidR="0066014F" w:rsidRPr="00B15DEA" w:rsidRDefault="0066014F" w:rsidP="0066014F">
      <w:pPr>
        <w:pStyle w:val="NormalBold"/>
      </w:pPr>
      <w:bookmarkStart w:id="7" w:name="TextBodyBegin"/>
      <w:bookmarkEnd w:id="7"/>
      <w:r w:rsidRPr="00B15DEA">
        <w:t>(Řádný legislativní postup: první čtení)</w:t>
      </w:r>
    </w:p>
    <w:p w:rsidR="0066014F" w:rsidRPr="00B15DEA" w:rsidRDefault="0066014F" w:rsidP="0066014F">
      <w:pPr>
        <w:pStyle w:val="EPComma"/>
      </w:pPr>
      <w:r w:rsidRPr="00B15DEA">
        <w:rPr>
          <w:i/>
          <w:iCs/>
        </w:rPr>
        <w:t>Evropský parlament</w:t>
      </w:r>
      <w:r w:rsidRPr="00B15DEA">
        <w:t>,</w:t>
      </w:r>
    </w:p>
    <w:p w:rsidR="0066014F" w:rsidRPr="00B15DEA" w:rsidRDefault="0066014F" w:rsidP="0066014F">
      <w:pPr>
        <w:pStyle w:val="NormalHanging12a"/>
      </w:pPr>
      <w:r w:rsidRPr="00B15DEA">
        <w:t>–</w:t>
      </w:r>
      <w:r w:rsidRPr="00B15DEA">
        <w:tab/>
        <w:t>s ohledem na návrh Komise předložený Evropskému parlamentu a Radě (</w:t>
      </w:r>
      <w:proofErr w:type="gramStart"/>
      <w:r w:rsidRPr="00B15DEA">
        <w:t>COM(</w:t>
      </w:r>
      <w:r w:rsidRPr="001C7E14">
        <w:t>2022</w:t>
      </w:r>
      <w:proofErr w:type="gramEnd"/>
      <w:r w:rsidRPr="00B15DEA">
        <w:t>)</w:t>
      </w:r>
      <w:r w:rsidRPr="001C7E14">
        <w:t>0732</w:t>
      </w:r>
      <w:r w:rsidRPr="00B15DEA">
        <w:t>),</w:t>
      </w:r>
    </w:p>
    <w:p w:rsidR="0066014F" w:rsidRPr="00B15DEA" w:rsidRDefault="0066014F" w:rsidP="0066014F">
      <w:pPr>
        <w:pStyle w:val="NormalHanging12a"/>
      </w:pPr>
      <w:r w:rsidRPr="00B15DEA">
        <w:t>–</w:t>
      </w:r>
      <w:r w:rsidRPr="00B15DEA">
        <w:tab/>
        <w:t>s ohledem na čl. </w:t>
      </w:r>
      <w:r w:rsidRPr="001C7E14">
        <w:t>294</w:t>
      </w:r>
      <w:r w:rsidRPr="00B15DEA">
        <w:t xml:space="preserve"> odst. </w:t>
      </w:r>
      <w:r w:rsidRPr="001C7E14">
        <w:t>2</w:t>
      </w:r>
      <w:r w:rsidRPr="00B15DEA">
        <w:t>, čl. </w:t>
      </w:r>
      <w:r w:rsidRPr="001C7E14">
        <w:t>82</w:t>
      </w:r>
      <w:r w:rsidRPr="00B15DEA">
        <w:t xml:space="preserve"> odst. </w:t>
      </w:r>
      <w:r w:rsidRPr="001C7E14">
        <w:t>2</w:t>
      </w:r>
      <w:r w:rsidRPr="00B15DEA">
        <w:t xml:space="preserve"> a čl. </w:t>
      </w:r>
      <w:r w:rsidRPr="001C7E14">
        <w:t>83</w:t>
      </w:r>
      <w:r w:rsidRPr="00B15DEA">
        <w:t xml:space="preserve"> odst. </w:t>
      </w:r>
      <w:r w:rsidRPr="001C7E14">
        <w:t>1</w:t>
      </w:r>
      <w:r w:rsidRPr="00B15DEA">
        <w:t xml:space="preserve"> Smlouvy o fungování Evropské unie, v souladu </w:t>
      </w:r>
      <w:r w:rsidR="00027FC8">
        <w:t>se kterými</w:t>
      </w:r>
      <w:r w:rsidRPr="00B15DEA">
        <w:t xml:space="preserve"> Komise předložila svůj návrh Parlamentu (C</w:t>
      </w:r>
      <w:r w:rsidRPr="001C7E14">
        <w:t>9</w:t>
      </w:r>
      <w:r w:rsidRPr="00B15DEA">
        <w:noBreakHyphen/>
      </w:r>
      <w:r w:rsidRPr="001C7E14">
        <w:t>0431</w:t>
      </w:r>
      <w:r w:rsidRPr="00B15DEA">
        <w:t>/</w:t>
      </w:r>
      <w:r w:rsidRPr="001C7E14">
        <w:t>2022</w:t>
      </w:r>
      <w:r w:rsidRPr="00B15DEA">
        <w:t>),</w:t>
      </w:r>
    </w:p>
    <w:p w:rsidR="0066014F" w:rsidRPr="00B15DEA" w:rsidRDefault="0066014F" w:rsidP="0066014F">
      <w:pPr>
        <w:pStyle w:val="NormalHanging12a"/>
      </w:pPr>
      <w:r w:rsidRPr="00B15DEA">
        <w:t>–</w:t>
      </w:r>
      <w:r w:rsidRPr="00B15DEA">
        <w:tab/>
        <w:t xml:space="preserve">s ohledem na čl. </w:t>
      </w:r>
      <w:r w:rsidRPr="001C7E14">
        <w:t>294</w:t>
      </w:r>
      <w:r w:rsidRPr="00B15DEA">
        <w:t xml:space="preserve"> odst. </w:t>
      </w:r>
      <w:r w:rsidRPr="001C7E14">
        <w:t>3</w:t>
      </w:r>
      <w:r w:rsidRPr="00B15DEA">
        <w:t xml:space="preserve"> Smlouvy o fungování Evropské unie,</w:t>
      </w:r>
    </w:p>
    <w:p w:rsidR="0066014F" w:rsidRDefault="0066014F" w:rsidP="0066014F">
      <w:pPr>
        <w:pStyle w:val="NormalHanging12a"/>
      </w:pPr>
      <w:r w:rsidRPr="00B15DEA">
        <w:t>–</w:t>
      </w:r>
      <w:r w:rsidRPr="00B15DEA">
        <w:tab/>
        <w:t xml:space="preserve">s ohledem na stanovisko Evropského hospodářského a sociálního výboru ze dne </w:t>
      </w:r>
      <w:r w:rsidRPr="001C7E14">
        <w:t>27</w:t>
      </w:r>
      <w:r w:rsidRPr="00B15DEA">
        <w:t xml:space="preserve">. dubna </w:t>
      </w:r>
      <w:r w:rsidRPr="001C7E14">
        <w:t>2023</w:t>
      </w:r>
      <w:r w:rsidRPr="00B15DEA">
        <w:rPr>
          <w:rStyle w:val="FootnoteReference"/>
        </w:rPr>
        <w:footnoteReference w:id="1"/>
      </w:r>
      <w:r w:rsidRPr="00B15DEA">
        <w:t>,</w:t>
      </w:r>
    </w:p>
    <w:p w:rsidR="00A0695B" w:rsidRPr="00B15DEA" w:rsidRDefault="00A0695B" w:rsidP="0066014F">
      <w:pPr>
        <w:pStyle w:val="NormalHanging12a"/>
      </w:pPr>
      <w:r w:rsidRPr="00A0695B">
        <w:t>–</w:t>
      </w:r>
      <w:r w:rsidRPr="00A0695B">
        <w:tab/>
        <w:t xml:space="preserve">s ohledem na předběžnou dohodu přijatou příslušnými výbory podle čl. </w:t>
      </w:r>
      <w:r w:rsidRPr="001C7E14">
        <w:t>74</w:t>
      </w:r>
      <w:r w:rsidRPr="00A0695B">
        <w:t xml:space="preserve"> odst. </w:t>
      </w:r>
      <w:r w:rsidRPr="001C7E14">
        <w:t>4</w:t>
      </w:r>
      <w:r w:rsidRPr="00A0695B">
        <w:t xml:space="preserve"> jednacího řádu a s ohledem na to, že se </w:t>
      </w:r>
      <w:r>
        <w:t xml:space="preserve">zástupce Rady dopisem ze dne </w:t>
      </w:r>
      <w:r w:rsidRPr="001C7E14">
        <w:t>8</w:t>
      </w:r>
      <w:r>
        <w:t xml:space="preserve">. února </w:t>
      </w:r>
      <w:r w:rsidRPr="001C7E14">
        <w:t>2024</w:t>
      </w:r>
      <w:r w:rsidRPr="00A0695B">
        <w:t xml:space="preserve"> zavázal schválit postoj Parlamentu v souladu s čl. </w:t>
      </w:r>
      <w:r w:rsidRPr="001C7E14">
        <w:t>294</w:t>
      </w:r>
      <w:r w:rsidRPr="00A0695B">
        <w:t xml:space="preserve"> odst. </w:t>
      </w:r>
      <w:r w:rsidRPr="001C7E14">
        <w:t>4</w:t>
      </w:r>
      <w:r w:rsidRPr="00A0695B">
        <w:t xml:space="preserve"> Smlouvy o fungování Evropské unie,</w:t>
      </w:r>
    </w:p>
    <w:p w:rsidR="0066014F" w:rsidRPr="00B15DEA" w:rsidRDefault="0066014F" w:rsidP="0066014F">
      <w:pPr>
        <w:pStyle w:val="NormalHanging12a"/>
      </w:pPr>
      <w:r w:rsidRPr="00B15DEA">
        <w:t>–</w:t>
      </w:r>
      <w:r w:rsidRPr="00B15DEA">
        <w:tab/>
        <w:t xml:space="preserve">s ohledem na článek </w:t>
      </w:r>
      <w:r w:rsidRPr="001C7E14">
        <w:t>59</w:t>
      </w:r>
      <w:r w:rsidRPr="00B15DEA">
        <w:t xml:space="preserve"> jednacího řádu,</w:t>
      </w:r>
    </w:p>
    <w:p w:rsidR="0066014F" w:rsidRPr="00B15DEA" w:rsidRDefault="0066014F" w:rsidP="0066014F">
      <w:pPr>
        <w:pStyle w:val="NormalHanging12a"/>
      </w:pPr>
      <w:r w:rsidRPr="00561A2E">
        <w:t>–</w:t>
      </w:r>
      <w:r w:rsidRPr="00561A2E">
        <w:tab/>
      </w:r>
      <w:r w:rsidR="00027FC8" w:rsidRPr="00A0695B">
        <w:rPr>
          <w:szCs w:val="24"/>
        </w:rPr>
        <w:t xml:space="preserve">s ohledem na společná jednání Výboru pro občanské svobody, spravedlnost a vnitřní </w:t>
      </w:r>
      <w:r w:rsidR="00027FC8" w:rsidRPr="00A0695B">
        <w:rPr>
          <w:szCs w:val="24"/>
        </w:rPr>
        <w:lastRenderedPageBreak/>
        <w:t xml:space="preserve">věci a Výboru pro práva žen a rovnost pohlaví podle článku </w:t>
      </w:r>
      <w:r w:rsidR="00027FC8" w:rsidRPr="001C7E14">
        <w:rPr>
          <w:szCs w:val="24"/>
        </w:rPr>
        <w:t>58</w:t>
      </w:r>
      <w:r w:rsidR="00027FC8" w:rsidRPr="00A0695B">
        <w:rPr>
          <w:szCs w:val="24"/>
        </w:rPr>
        <w:t xml:space="preserve"> jednacího řádu,</w:t>
      </w:r>
      <w:r w:rsidRPr="00561A2E">
        <w:rPr>
          <w:szCs w:val="24"/>
        </w:rPr>
        <w:t>,</w:t>
      </w:r>
    </w:p>
    <w:p w:rsidR="0066014F" w:rsidRPr="00B15DEA" w:rsidRDefault="0066014F" w:rsidP="00027FC8">
      <w:pPr>
        <w:pStyle w:val="EPComma"/>
        <w:ind w:left="567" w:hanging="567"/>
      </w:pPr>
      <w:r w:rsidRPr="00B15DEA">
        <w:t>–</w:t>
      </w:r>
      <w:r w:rsidRPr="00B15DEA">
        <w:tab/>
        <w:t>s ohledem na zprávu Výboru pro občanské svobody, spravedlnost a vnitřní věci a Výboru pro práva žen a rovnost pohlaví (A</w:t>
      </w:r>
      <w:r w:rsidRPr="001C7E14">
        <w:t>9</w:t>
      </w:r>
      <w:r w:rsidRPr="00B15DEA">
        <w:noBreakHyphen/>
      </w:r>
      <w:r w:rsidRPr="001C7E14">
        <w:t>0285</w:t>
      </w:r>
      <w:r w:rsidRPr="00B15DEA">
        <w:t>/</w:t>
      </w:r>
      <w:r w:rsidRPr="001C7E14">
        <w:t>2023</w:t>
      </w:r>
      <w:r w:rsidRPr="00B15DEA">
        <w:t>),</w:t>
      </w:r>
    </w:p>
    <w:p w:rsidR="0066014F" w:rsidRPr="00B15DEA" w:rsidRDefault="0066014F" w:rsidP="0066014F">
      <w:pPr>
        <w:pStyle w:val="NormalHanging12a"/>
      </w:pPr>
      <w:r w:rsidRPr="001C7E14">
        <w:t>1</w:t>
      </w:r>
      <w:r w:rsidRPr="00B15DEA">
        <w:t>.</w:t>
      </w:r>
      <w:r w:rsidRPr="00B15DEA">
        <w:tab/>
        <w:t>přijímá níže uvedený postoj v prvním čtení;</w:t>
      </w:r>
    </w:p>
    <w:p w:rsidR="0066014F" w:rsidRPr="00B15DEA" w:rsidRDefault="0066014F" w:rsidP="0066014F">
      <w:pPr>
        <w:pStyle w:val="NormalHanging12a"/>
      </w:pPr>
      <w:r w:rsidRPr="001C7E14">
        <w:t>2</w:t>
      </w:r>
      <w:r w:rsidRPr="00B15DEA">
        <w:t>.</w:t>
      </w:r>
      <w:r w:rsidRPr="00B15DEA">
        <w:tab/>
        <w:t>vyzývá Komisi, aby věc znovu postoupila Parlamentu, jestliže svůj návrh nahradí jiným textem, podstatně jej změní nebo má v úmyslu jej podstatně změnit;</w:t>
      </w:r>
    </w:p>
    <w:p w:rsidR="0066014F" w:rsidRPr="00B15DEA" w:rsidRDefault="0066014F" w:rsidP="0066014F">
      <w:pPr>
        <w:pStyle w:val="NormalHanging12a"/>
      </w:pPr>
      <w:r w:rsidRPr="001C7E14">
        <w:t>3</w:t>
      </w:r>
      <w:r w:rsidRPr="00B15DEA">
        <w:t>.</w:t>
      </w:r>
      <w:r w:rsidRPr="00B15DEA">
        <w:tab/>
        <w:t>pověřuje svou předsedkyni, aby</w:t>
      </w:r>
      <w:r w:rsidR="00027FC8">
        <w:t xml:space="preserve"> předala postoj Parlamentu Radě a</w:t>
      </w:r>
      <w:r w:rsidRPr="00B15DEA">
        <w:t xml:space="preserve"> Komisi, jakož i vnitrostátním parlamentům.</w:t>
      </w:r>
    </w:p>
    <w:p w:rsidR="00DB73A4" w:rsidRDefault="00DB73A4" w:rsidP="00DB73A4">
      <w:pPr>
        <w:autoSpaceDE w:val="0"/>
        <w:autoSpaceDN w:val="0"/>
        <w:adjustRightInd w:val="0"/>
        <w:spacing w:after="240"/>
        <w:rPr>
          <w:b/>
        </w:rPr>
        <w:sectPr w:rsidR="00DB73A4" w:rsidSect="00B15DE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B73A4" w:rsidRPr="006B2554" w:rsidRDefault="00DB73A4" w:rsidP="00DB73A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3214F5">
        <w:rPr>
          <w:b/>
        </w:rPr>
        <w:lastRenderedPageBreak/>
        <w:t>P</w:t>
      </w:r>
      <w:r w:rsidRPr="001C7E14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1C7E14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6B2554">
        <w:rPr>
          <w:b/>
          <w:bCs/>
          <w:color w:val="000000"/>
        </w:rPr>
        <w:t>COD(</w:t>
      </w:r>
      <w:r w:rsidRPr="001C7E14">
        <w:rPr>
          <w:b/>
          <w:bCs/>
          <w:color w:val="000000"/>
        </w:rPr>
        <w:t>2022</w:t>
      </w:r>
      <w:r w:rsidRPr="006B2554">
        <w:rPr>
          <w:b/>
          <w:bCs/>
          <w:color w:val="000000"/>
        </w:rPr>
        <w:t>)</w:t>
      </w:r>
      <w:r w:rsidRPr="001C7E14">
        <w:rPr>
          <w:b/>
          <w:bCs/>
          <w:color w:val="000000"/>
        </w:rPr>
        <w:t>0426</w:t>
      </w:r>
    </w:p>
    <w:p w:rsidR="00DB73A4" w:rsidRDefault="00DB73A4" w:rsidP="00DB73A4">
      <w:pPr>
        <w:pStyle w:val="Typedudocument"/>
        <w:spacing w:line="240" w:lineRule="auto"/>
        <w:jc w:val="left"/>
      </w:pPr>
      <w:r>
        <w:t xml:space="preserve">Postoj Evropského parlamentu přijatý v prvním čtení dne </w:t>
      </w:r>
      <w:r w:rsidRPr="001C7E14">
        <w:t>23</w:t>
      </w:r>
      <w:r>
        <w:t xml:space="preserve">. dubna </w:t>
      </w:r>
      <w:r w:rsidRPr="001C7E14">
        <w:t>2024</w:t>
      </w:r>
      <w:r>
        <w:t xml:space="preserve"> k přijetí směrnice Evropského parlamentu a Rady </w:t>
      </w:r>
      <w:r w:rsidRPr="00421A03">
        <w:t xml:space="preserve">(EU) </w:t>
      </w:r>
      <w:r w:rsidRPr="001C7E14">
        <w:t>2024</w:t>
      </w:r>
      <w:r w:rsidRPr="00421A03">
        <w:t>/...</w:t>
      </w:r>
      <w:r>
        <w:t xml:space="preserve">, </w:t>
      </w:r>
      <w:r w:rsidRPr="00421A03">
        <w:t xml:space="preserve">kterou se mění směrnice </w:t>
      </w:r>
      <w:r w:rsidRPr="001C7E14">
        <w:t>2011</w:t>
      </w:r>
      <w:r w:rsidRPr="00421A03">
        <w:t>/</w:t>
      </w:r>
      <w:r w:rsidRPr="001C7E14">
        <w:t>36</w:t>
      </w:r>
      <w:r w:rsidRPr="00421A03">
        <w:t>/EU o prevenci obchodování s lidmi, boji proti němu a o ochraně obětí</w:t>
      </w:r>
    </w:p>
    <w:p w:rsidR="00090F81" w:rsidRPr="00090F81" w:rsidRDefault="00090F81" w:rsidP="00090F81">
      <w:pPr>
        <w:spacing w:before="360"/>
        <w:rPr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1712</w:t>
      </w:r>
      <w:r>
        <w:rPr>
          <w:i/>
        </w:rPr>
        <w:t>.)</w:t>
      </w:r>
    </w:p>
    <w:sectPr w:rsidR="00090F81" w:rsidRPr="00090F81" w:rsidSect="00B15DE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272" w:rsidRPr="00B15DEA" w:rsidRDefault="00127272">
      <w:r w:rsidRPr="00B15DEA">
        <w:separator/>
      </w:r>
    </w:p>
  </w:endnote>
  <w:endnote w:type="continuationSeparator" w:id="0">
    <w:p w:rsidR="00127272" w:rsidRPr="00B15DEA" w:rsidRDefault="00127272">
      <w:r w:rsidRPr="00B15D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D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D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D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272" w:rsidRPr="00B15DEA" w:rsidRDefault="00127272">
      <w:r w:rsidRPr="00B15DEA">
        <w:separator/>
      </w:r>
    </w:p>
  </w:footnote>
  <w:footnote w:type="continuationSeparator" w:id="0">
    <w:p w:rsidR="00127272" w:rsidRPr="00B15DEA" w:rsidRDefault="00127272">
      <w:r w:rsidRPr="00B15DEA">
        <w:continuationSeparator/>
      </w:r>
    </w:p>
  </w:footnote>
  <w:footnote w:id="1">
    <w:p w:rsidR="0066014F" w:rsidRPr="00DB73A4" w:rsidRDefault="0066014F" w:rsidP="002061C9">
      <w:pPr>
        <w:pStyle w:val="FootnoteText"/>
        <w:ind w:left="567" w:hanging="567"/>
        <w:rPr>
          <w:sz w:val="24"/>
          <w:szCs w:val="24"/>
          <w:lang w:val="cs-CZ"/>
        </w:rPr>
      </w:pPr>
      <w:r w:rsidRPr="00DB73A4">
        <w:rPr>
          <w:rStyle w:val="FootnoteReference"/>
          <w:sz w:val="24"/>
          <w:szCs w:val="24"/>
          <w:lang w:val="cs-CZ"/>
        </w:rPr>
        <w:footnoteRef/>
      </w:r>
      <w:r w:rsidR="00B15DEA" w:rsidRPr="00DB73A4">
        <w:rPr>
          <w:sz w:val="24"/>
          <w:szCs w:val="24"/>
          <w:lang w:val="cs-CZ"/>
        </w:rPr>
        <w:t xml:space="preserve"> </w:t>
      </w:r>
      <w:r w:rsidR="00B15DEA" w:rsidRPr="00DB73A4">
        <w:rPr>
          <w:sz w:val="24"/>
          <w:szCs w:val="24"/>
          <w:lang w:val="cs-CZ"/>
        </w:rPr>
        <w:tab/>
      </w:r>
      <w:bookmarkStart w:id="8" w:name="_GoBack"/>
      <w:bookmarkEnd w:id="8"/>
      <w:proofErr w:type="spellStart"/>
      <w:r w:rsidRPr="00DB73A4">
        <w:rPr>
          <w:sz w:val="24"/>
          <w:szCs w:val="24"/>
          <w:lang w:val="cs-CZ"/>
        </w:rPr>
        <w:t>Úř</w:t>
      </w:r>
      <w:proofErr w:type="spellEnd"/>
      <w:r w:rsidRPr="00DB73A4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DB73A4">
        <w:rPr>
          <w:sz w:val="24"/>
          <w:szCs w:val="24"/>
          <w:lang w:val="cs-CZ"/>
        </w:rPr>
        <w:t>věst</w:t>
      </w:r>
      <w:proofErr w:type="spellEnd"/>
      <w:proofErr w:type="gramEnd"/>
      <w:r w:rsidRPr="00DB73A4">
        <w:rPr>
          <w:sz w:val="24"/>
          <w:szCs w:val="24"/>
          <w:lang w:val="cs-CZ"/>
        </w:rPr>
        <w:t xml:space="preserve">. C </w:t>
      </w:r>
      <w:r w:rsidRPr="001C7E14">
        <w:rPr>
          <w:sz w:val="24"/>
          <w:szCs w:val="24"/>
          <w:lang w:val="cs-CZ"/>
        </w:rPr>
        <w:t>228</w:t>
      </w:r>
      <w:r w:rsidRPr="00DB73A4">
        <w:rPr>
          <w:sz w:val="24"/>
          <w:szCs w:val="24"/>
          <w:lang w:val="cs-CZ"/>
        </w:rPr>
        <w:t xml:space="preserve">, </w:t>
      </w:r>
      <w:proofErr w:type="gramStart"/>
      <w:r w:rsidRPr="001C7E14">
        <w:rPr>
          <w:sz w:val="24"/>
          <w:szCs w:val="24"/>
          <w:lang w:val="cs-CZ"/>
        </w:rPr>
        <w:t>29</w:t>
      </w:r>
      <w:r w:rsidRPr="00DB73A4">
        <w:rPr>
          <w:sz w:val="24"/>
          <w:szCs w:val="24"/>
          <w:lang w:val="cs-CZ"/>
        </w:rPr>
        <w:t>.</w:t>
      </w:r>
      <w:r w:rsidRPr="001C7E14">
        <w:rPr>
          <w:sz w:val="24"/>
          <w:szCs w:val="24"/>
          <w:lang w:val="cs-CZ"/>
        </w:rPr>
        <w:t>6</w:t>
      </w:r>
      <w:r w:rsidRPr="00DB73A4">
        <w:rPr>
          <w:sz w:val="24"/>
          <w:szCs w:val="24"/>
          <w:lang w:val="cs-CZ"/>
        </w:rPr>
        <w:t>.</w:t>
      </w:r>
      <w:r w:rsidRPr="001C7E14">
        <w:rPr>
          <w:sz w:val="24"/>
          <w:szCs w:val="24"/>
          <w:lang w:val="cs-CZ"/>
        </w:rPr>
        <w:t>2023</w:t>
      </w:r>
      <w:proofErr w:type="gramEnd"/>
      <w:r w:rsidRPr="00DB73A4">
        <w:rPr>
          <w:sz w:val="24"/>
          <w:szCs w:val="24"/>
          <w:lang w:val="cs-CZ"/>
        </w:rPr>
        <w:t xml:space="preserve">, s. </w:t>
      </w:r>
      <w:r w:rsidRPr="001C7E14">
        <w:rPr>
          <w:sz w:val="24"/>
          <w:szCs w:val="24"/>
          <w:lang w:val="cs-CZ"/>
        </w:rPr>
        <w:t>108</w:t>
      </w:r>
      <w:r w:rsidRPr="00DB73A4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D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D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D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3F887DDB"/>
    <w:multiLevelType w:val="hybridMultilevel"/>
    <w:tmpl w:val="9A8A1050"/>
    <w:lvl w:ilvl="0" w:tplc="749630A6">
      <w:start w:val="1"/>
      <w:numFmt w:val="decimal"/>
      <w:lvlText w:val="%1."/>
      <w:lvlJc w:val="left"/>
      <w:pPr>
        <w:ind w:left="1421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23" w15:restartNumberingAfterBreak="0">
    <w:nsid w:val="7D784AA0"/>
    <w:multiLevelType w:val="multilevel"/>
    <w:tmpl w:val="F50080C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%6)"/>
      <w:lvlJc w:val="left"/>
      <w:pPr>
        <w:ind w:left="1777" w:hanging="360"/>
      </w:pPr>
      <w:rPr>
        <w:b/>
        <w:bCs/>
        <w:i/>
        <w:iCs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lvlText w:val="%8)"/>
      <w:lvlJc w:val="left"/>
      <w:pPr>
        <w:ind w:left="2344" w:hanging="360"/>
      </w:pPr>
      <w:rPr>
        <w:b/>
        <w:bCs/>
        <w:i/>
        <w:iCs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9"/>
  </w:num>
  <w:num w:numId="3">
    <w:abstractNumId w:val="23"/>
  </w:num>
  <w:num w:numId="4">
    <w:abstractNumId w:val="17"/>
  </w:num>
  <w:num w:numId="5">
    <w:abstractNumId w:val="1"/>
  </w:num>
  <w:num w:numId="6">
    <w:abstractNumId w:val="18"/>
  </w:num>
  <w:num w:numId="7">
    <w:abstractNumId w:val="14"/>
  </w:num>
  <w:num w:numId="8">
    <w:abstractNumId w:val="3"/>
  </w:num>
  <w:num w:numId="9">
    <w:abstractNumId w:val="20"/>
  </w:num>
  <w:num w:numId="10">
    <w:abstractNumId w:val="22"/>
  </w:num>
  <w:num w:numId="11">
    <w:abstractNumId w:val="12"/>
  </w:num>
  <w:num w:numId="12">
    <w:abstractNumId w:val="19"/>
  </w:num>
  <w:num w:numId="13">
    <w:abstractNumId w:val="15"/>
  </w:num>
  <w:num w:numId="14">
    <w:abstractNumId w:val="11"/>
  </w:num>
  <w:num w:numId="15">
    <w:abstractNumId w:val="6"/>
  </w:num>
  <w:num w:numId="16">
    <w:abstractNumId w:val="5"/>
  </w:num>
  <w:num w:numId="17">
    <w:abstractNumId w:val="16"/>
  </w:num>
  <w:num w:numId="18">
    <w:abstractNumId w:val="21"/>
  </w:num>
  <w:num w:numId="19">
    <w:abstractNumId w:val="0"/>
  </w:num>
  <w:num w:numId="20">
    <w:abstractNumId w:val="7"/>
  </w:num>
  <w:num w:numId="21">
    <w:abstractNumId w:val="4"/>
  </w:num>
  <w:num w:numId="22">
    <w:abstractNumId w:val="8"/>
  </w:num>
  <w:num w:numId="23">
    <w:abstractNumId w:val="13"/>
  </w:num>
  <w:num w:numId="24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CS"/>
    <w:docVar w:name="dvnumam" w:val="0"/>
    <w:docVar w:name="dvpe" w:val="749.081"/>
    <w:docVar w:name="dvrapporteur" w:val="Zpravodajky: "/>
    <w:docVar w:name="dvstar" w:val="***I"/>
    <w:docVar w:name="dvtitre" w:val="Legislativní usnesení Evropského parlamentu ze dne.... 2024 o návrhu směrnice Evropského parlamentu a Rady, kterou se mění směrnice 2011/36/EU o prevenci obchodování s lidmi, boji proti němu a o ochraně obětí(COM(2022)0732 – C9-0431/2022 – 2022/0426(COD))"/>
  </w:docVars>
  <w:rsids>
    <w:rsidRoot w:val="00127272"/>
    <w:rsid w:val="00002272"/>
    <w:rsid w:val="00027FC8"/>
    <w:rsid w:val="00064002"/>
    <w:rsid w:val="000677B9"/>
    <w:rsid w:val="000831BA"/>
    <w:rsid w:val="00090F81"/>
    <w:rsid w:val="000A42CC"/>
    <w:rsid w:val="000E7DD9"/>
    <w:rsid w:val="0010095E"/>
    <w:rsid w:val="00125B37"/>
    <w:rsid w:val="00127272"/>
    <w:rsid w:val="00187494"/>
    <w:rsid w:val="001C7E14"/>
    <w:rsid w:val="001F32AE"/>
    <w:rsid w:val="002061C9"/>
    <w:rsid w:val="002767FF"/>
    <w:rsid w:val="002B18FE"/>
    <w:rsid w:val="002B5493"/>
    <w:rsid w:val="003214F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A2E"/>
    <w:rsid w:val="005C2568"/>
    <w:rsid w:val="006037C0"/>
    <w:rsid w:val="0066014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DA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95B"/>
    <w:rsid w:val="00A1687D"/>
    <w:rsid w:val="00A43E52"/>
    <w:rsid w:val="00A4678D"/>
    <w:rsid w:val="00A778C7"/>
    <w:rsid w:val="00AB441E"/>
    <w:rsid w:val="00AB6293"/>
    <w:rsid w:val="00AE0928"/>
    <w:rsid w:val="00AE0ECE"/>
    <w:rsid w:val="00AF3B82"/>
    <w:rsid w:val="00B12E95"/>
    <w:rsid w:val="00B15DEA"/>
    <w:rsid w:val="00B22876"/>
    <w:rsid w:val="00B558F0"/>
    <w:rsid w:val="00BD48FE"/>
    <w:rsid w:val="00BD7BD8"/>
    <w:rsid w:val="00BE6ADC"/>
    <w:rsid w:val="00C05BFE"/>
    <w:rsid w:val="00C23CD4"/>
    <w:rsid w:val="00C3611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3A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C33F1"/>
  <w15:chartTrackingRefBased/>
  <w15:docId w15:val="{50AEBD9F-DE22-486D-8632-D659B251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Nota,(NECG) Footnote Reference,Appel note de bas de p,Char1,Signature Ch,Style 6,fr,o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Char,FA Fußnotentext,Footnote Text11,Footnote Text2,Fußnotentext Char Char,Fußnotentext Char Char Char Char,Fußnotentext Char Char Char Char Char,Fußnotentext Char Char Char Char1,Fußnotentext Char1,Fußnotentext Char1 Cha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Char Char,FA Fußnotentext Char,Footnote Text11 Char,Footnote Text2 Char,Fußnotentext Char Char Char,Fußnotentext Char Char Char Char Char1,Fußnotentext Char Char Char Char Char Char,Fußnotentext Char Char Char Char1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6014F"/>
    <w:rPr>
      <w:b/>
    </w:rPr>
  </w:style>
  <w:style w:type="paragraph" w:customStyle="1" w:styleId="NormalHanging12a">
    <w:name w:val="NormalHanging12a"/>
    <w:basedOn w:val="Normal"/>
    <w:rsid w:val="0066014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6014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66014F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66014F"/>
    <w:rPr>
      <w:b/>
      <w:sz w:val="24"/>
      <w:lang w:val="cs-CZ"/>
    </w:rPr>
  </w:style>
  <w:style w:type="paragraph" w:customStyle="1" w:styleId="NormalCenter12a">
    <w:name w:val="NormalCenter12a"/>
    <w:basedOn w:val="Normal"/>
    <w:rsid w:val="0066014F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66014F"/>
    <w:pPr>
      <w:spacing w:before="720" w:after="240"/>
      <w:jc w:val="center"/>
    </w:pPr>
    <w:rPr>
      <w:lang w:val="en-GB"/>
    </w:rPr>
  </w:style>
  <w:style w:type="paragraph" w:customStyle="1" w:styleId="footnotedescription">
    <w:name w:val="footnote description"/>
    <w:next w:val="Normal"/>
    <w:link w:val="footnotedescriptionChar"/>
    <w:hidden/>
    <w:rsid w:val="0066014F"/>
    <w:pPr>
      <w:spacing w:line="258" w:lineRule="auto"/>
      <w:ind w:left="360" w:right="2" w:hanging="360"/>
      <w:jc w:val="both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66014F"/>
    <w:rPr>
      <w:color w:val="000000"/>
      <w:szCs w:val="22"/>
    </w:rPr>
  </w:style>
  <w:style w:type="character" w:customStyle="1" w:styleId="footnotemark">
    <w:name w:val="footnote mark"/>
    <w:hidden/>
    <w:rsid w:val="0066014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6601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66014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Point0">
    <w:name w:val="Point 0"/>
    <w:basedOn w:val="Normal"/>
    <w:rsid w:val="0066014F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66014F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rsid w:val="00027F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7FC8"/>
    <w:rPr>
      <w:rFonts w:ascii="Segoe UI" w:hAnsi="Segoe UI" w:cs="Segoe UI"/>
      <w:sz w:val="18"/>
      <w:szCs w:val="18"/>
      <w:lang w:val="cs-CZ"/>
    </w:rPr>
  </w:style>
  <w:style w:type="paragraph" w:customStyle="1" w:styleId="HeaderCouncilLarge">
    <w:name w:val="Header Council Large"/>
    <w:basedOn w:val="Normal"/>
    <w:link w:val="HeaderCouncilLargeChar"/>
    <w:rsid w:val="00DB73A4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DB73A4"/>
    <w:rPr>
      <w:rFonts w:ascii="Times New Roman" w:hAnsi="Times New Roman" w:cs="Times New Roman"/>
      <w:sz w:val="24"/>
      <w:lang w:val="cs-CZ"/>
    </w:rPr>
  </w:style>
  <w:style w:type="character" w:customStyle="1" w:styleId="HeaderCouncilLargeChar">
    <w:name w:val="Header Council Large Char"/>
    <w:basedOn w:val="TechnicalBlockChar"/>
    <w:link w:val="HeaderCouncilLarge"/>
    <w:rsid w:val="00DB73A4"/>
    <w:rPr>
      <w:rFonts w:ascii="Times New Roman" w:eastAsiaTheme="minorHAnsi" w:hAnsi="Times New Roman" w:cs="Times New Roman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DB73A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B73A4"/>
    <w:rPr>
      <w:color w:val="808080"/>
    </w:rPr>
  </w:style>
  <w:style w:type="paragraph" w:customStyle="1" w:styleId="Point1">
    <w:name w:val="Point 1"/>
    <w:basedOn w:val="Normal"/>
    <w:rsid w:val="00DB73A4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B73A4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B73A4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DB73A4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B73A4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B73A4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B73A4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B73A4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B73A4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B73A4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B73A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B73A4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B73A4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B73A4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B73A4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B73A4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B73A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B73A4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DB73A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DB73A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DB73A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B73A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character" w:customStyle="1" w:styleId="diff-tte-added">
    <w:name w:val="diff-tte-added"/>
    <w:basedOn w:val="DefaultParagraphFont"/>
    <w:rsid w:val="00DB73A4"/>
    <w:rPr>
      <w:b/>
      <w:i/>
    </w:rPr>
  </w:style>
  <w:style w:type="paragraph" w:styleId="Revision">
    <w:name w:val="Revision"/>
    <w:hidden/>
    <w:uiPriority w:val="99"/>
    <w:semiHidden/>
    <w:rsid w:val="00DB73A4"/>
    <w:rPr>
      <w:rFonts w:eastAsiaTheme="minorHAnsi"/>
      <w:sz w:val="24"/>
      <w:szCs w:val="22"/>
      <w:lang w:val="cs-CZ" w:eastAsia="en-US"/>
    </w:rPr>
  </w:style>
  <w:style w:type="character" w:styleId="CommentReference">
    <w:name w:val="annotation reference"/>
    <w:basedOn w:val="DefaultParagraphFont"/>
    <w:uiPriority w:val="99"/>
    <w:unhideWhenUsed/>
    <w:rsid w:val="00DB7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73A4"/>
    <w:pPr>
      <w:widowControl/>
      <w:spacing w:before="120" w:after="120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73A4"/>
    <w:rPr>
      <w:rFonts w:eastAsiaTheme="minorHAnsi"/>
      <w:lang w:val="cs-CZ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B73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B73A4"/>
    <w:rPr>
      <w:rFonts w:eastAsiaTheme="minorHAnsi"/>
      <w:b/>
      <w:bCs/>
      <w:lang w:val="cs-CZ" w:eastAsia="en-US"/>
    </w:rPr>
  </w:style>
  <w:style w:type="character" w:styleId="Hyperlink">
    <w:name w:val="Hyperlink"/>
    <w:basedOn w:val="DefaultParagraphFont"/>
    <w:uiPriority w:val="99"/>
    <w:unhideWhenUsed/>
    <w:rsid w:val="00DB73A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73A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73A4"/>
    <w:pPr>
      <w:widowControl/>
      <w:tabs>
        <w:tab w:val="right" w:pos="9638"/>
      </w:tabs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B73A4"/>
    <w:rPr>
      <w:rFonts w:eastAsiaTheme="minorHAnsi"/>
      <w:sz w:val="24"/>
      <w:szCs w:val="22"/>
      <w:lang w:val="cs-CZ" w:eastAsia="en-US"/>
    </w:rPr>
  </w:style>
  <w:style w:type="paragraph" w:styleId="Footer">
    <w:name w:val="footer"/>
    <w:basedOn w:val="Normal"/>
    <w:link w:val="FooterChar"/>
    <w:uiPriority w:val="99"/>
    <w:unhideWhenUsed/>
    <w:rsid w:val="00DB73A4"/>
    <w:pPr>
      <w:widowControl/>
      <w:tabs>
        <w:tab w:val="center" w:pos="4819"/>
        <w:tab w:val="center" w:pos="7370"/>
        <w:tab w:val="right" w:pos="9638"/>
      </w:tabs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B73A4"/>
    <w:rPr>
      <w:rFonts w:eastAsiaTheme="minorHAnsi"/>
      <w:sz w:val="24"/>
      <w:szCs w:val="22"/>
      <w:lang w:val="cs-CZ" w:eastAsia="en-US"/>
    </w:rPr>
  </w:style>
  <w:style w:type="paragraph" w:customStyle="1" w:styleId="NormalCentered">
    <w:name w:val="Normal Centered"/>
    <w:basedOn w:val="Normal"/>
    <w:rsid w:val="00DB73A4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B73A4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DB73A4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B73A4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B73A4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DB73A4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B73A4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B73A4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B73A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B73A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DB73A4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B73A4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B73A4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B73A4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DB73A4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DB73A4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DB73A4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DB73A4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DB73A4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DB73A4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DB73A4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DB73A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DB73A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DB73A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DB73A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DB73A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DB73A4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DB73A4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DB73A4"/>
    <w:pPr>
      <w:widowControl/>
      <w:numPr>
        <w:ilvl w:val="5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DB73A4"/>
    <w:pPr>
      <w:widowControl/>
      <w:numPr>
        <w:ilvl w:val="7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DB73A4"/>
    <w:pPr>
      <w:widowControl/>
      <w:numPr>
        <w:ilvl w:val="8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DB73A4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DB73A4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DB73A4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DB73A4"/>
    <w:pPr>
      <w:widowControl/>
      <w:numPr>
        <w:ilvl w:val="6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DB73A4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DB73A4"/>
    <w:pPr>
      <w:widowControl/>
      <w:numPr>
        <w:ilvl w:val="1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DB73A4"/>
    <w:pPr>
      <w:widowControl/>
      <w:numPr>
        <w:ilvl w:val="2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DB73A4"/>
    <w:pPr>
      <w:widowControl/>
      <w:numPr>
        <w:ilvl w:val="3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DB73A4"/>
    <w:pPr>
      <w:widowControl/>
      <w:numPr>
        <w:ilvl w:val="4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DB73A4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B73A4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B73A4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B73A4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B73A4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DB73A4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DB73A4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DB73A4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DB73A4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DB73A4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DB73A4"/>
    <w:pPr>
      <w:numPr>
        <w:numId w:val="9"/>
      </w:numPr>
    </w:pPr>
  </w:style>
  <w:style w:type="paragraph" w:customStyle="1" w:styleId="DashEqual1">
    <w:name w:val="Dash Equal 1"/>
    <w:basedOn w:val="Dash1"/>
    <w:rsid w:val="00DB73A4"/>
    <w:pPr>
      <w:numPr>
        <w:numId w:val="10"/>
      </w:numPr>
    </w:pPr>
  </w:style>
  <w:style w:type="paragraph" w:customStyle="1" w:styleId="DashEqual2">
    <w:name w:val="Dash Equal 2"/>
    <w:basedOn w:val="Dash2"/>
    <w:rsid w:val="00DB73A4"/>
    <w:pPr>
      <w:numPr>
        <w:numId w:val="11"/>
      </w:numPr>
    </w:pPr>
  </w:style>
  <w:style w:type="paragraph" w:customStyle="1" w:styleId="DashEqual3">
    <w:name w:val="Dash Equal 3"/>
    <w:basedOn w:val="Dash3"/>
    <w:rsid w:val="00DB73A4"/>
    <w:pPr>
      <w:numPr>
        <w:numId w:val="12"/>
      </w:numPr>
    </w:pPr>
  </w:style>
  <w:style w:type="paragraph" w:customStyle="1" w:styleId="DashEqual4">
    <w:name w:val="Dash Equal 4"/>
    <w:basedOn w:val="Dash4"/>
    <w:rsid w:val="00DB73A4"/>
    <w:pPr>
      <w:numPr>
        <w:numId w:val="13"/>
      </w:numPr>
    </w:pPr>
  </w:style>
  <w:style w:type="character" w:customStyle="1" w:styleId="Marker">
    <w:name w:val="Marker"/>
    <w:basedOn w:val="DefaultParagraphFont"/>
    <w:rsid w:val="00DB73A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B73A4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B73A4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B73A4"/>
    <w:pPr>
      <w:numPr>
        <w:numId w:val="23"/>
      </w:numPr>
    </w:pPr>
  </w:style>
  <w:style w:type="paragraph" w:customStyle="1" w:styleId="Heading123">
    <w:name w:val="Heading 123"/>
    <w:basedOn w:val="HeadingLeft"/>
    <w:next w:val="Normal"/>
    <w:rsid w:val="00DB73A4"/>
    <w:pPr>
      <w:numPr>
        <w:numId w:val="22"/>
      </w:numPr>
    </w:pPr>
  </w:style>
  <w:style w:type="paragraph" w:customStyle="1" w:styleId="HeadingABC">
    <w:name w:val="Heading ABC"/>
    <w:basedOn w:val="HeadingLeft"/>
    <w:next w:val="Normal"/>
    <w:rsid w:val="00DB73A4"/>
    <w:pPr>
      <w:numPr>
        <w:numId w:val="21"/>
      </w:numPr>
    </w:pPr>
  </w:style>
  <w:style w:type="paragraph" w:customStyle="1" w:styleId="HeadingCentered">
    <w:name w:val="Heading Centered"/>
    <w:basedOn w:val="HeadingLeft"/>
    <w:next w:val="Normal"/>
    <w:rsid w:val="00DB73A4"/>
    <w:pPr>
      <w:jc w:val="center"/>
    </w:pPr>
  </w:style>
  <w:style w:type="paragraph" w:customStyle="1" w:styleId="Jardin">
    <w:name w:val="Jardin"/>
    <w:basedOn w:val="Normal"/>
    <w:rsid w:val="00DB73A4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DB73A4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B73A4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DB73A4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B73A4"/>
    <w:rPr>
      <w:b/>
    </w:rPr>
  </w:style>
  <w:style w:type="paragraph" w:customStyle="1" w:styleId="Annex">
    <w:name w:val="Annex"/>
    <w:basedOn w:val="Normal"/>
    <w:next w:val="Normal"/>
    <w:rsid w:val="00DB73A4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B73A4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B73A4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B73A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B73A4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B73A4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B73A4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DB73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52724-4E98-44E7-A97F-FBA4A525F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2068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2024-09-05T13:41:00Z</dcterms:created>
  <dcterms:modified xsi:type="dcterms:W3CDTF">2024-09-05T13:41:00Z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