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4B1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54B12" w:rsidRDefault="000E6099" w:rsidP="0010095E">
            <w:pPr>
              <w:pStyle w:val="EPName"/>
            </w:pPr>
            <w:r w:rsidRPr="00854B12">
              <w:t>Europski parlament</w:t>
            </w:r>
          </w:p>
          <w:p w:rsidR="00751A4A" w:rsidRPr="00854B1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3A03">
              <w:t>2019</w:t>
            </w:r>
            <w:r w:rsidRPr="00854B12">
              <w:t>-</w:t>
            </w:r>
            <w:r w:rsidRPr="00F73A0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54B12" w:rsidRDefault="00187494" w:rsidP="0010095E">
            <w:pPr>
              <w:pStyle w:val="EPLogo"/>
            </w:pPr>
            <w:r w:rsidRPr="00854B12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54B12" w:rsidRDefault="00D058B8" w:rsidP="004C5D52">
      <w:pPr>
        <w:pStyle w:val="LineTop"/>
      </w:pPr>
    </w:p>
    <w:p w:rsidR="00680577" w:rsidRPr="00854B12" w:rsidRDefault="000E6099" w:rsidP="00680577">
      <w:pPr>
        <w:pStyle w:val="EPBodyTA1"/>
      </w:pPr>
      <w:r w:rsidRPr="00854B12">
        <w:t>USVOJENI TEKSTOVI</w:t>
      </w:r>
    </w:p>
    <w:p w:rsidR="00D058B8" w:rsidRPr="00854B12" w:rsidRDefault="00D058B8" w:rsidP="00D058B8">
      <w:pPr>
        <w:pStyle w:val="LineBottom"/>
      </w:pPr>
    </w:p>
    <w:p w:rsidR="000E6099" w:rsidRPr="00854B12" w:rsidRDefault="000E6099" w:rsidP="000E6099">
      <w:pPr>
        <w:pStyle w:val="ATHeading1"/>
      </w:pPr>
      <w:bookmarkStart w:id="0" w:name="TANumber"/>
      <w:r w:rsidRPr="00854B12">
        <w:t>P</w:t>
      </w:r>
      <w:r w:rsidRPr="00F73A03">
        <w:t>9</w:t>
      </w:r>
      <w:r w:rsidRPr="00854B12">
        <w:t>_TA(</w:t>
      </w:r>
      <w:r w:rsidRPr="00F73A03">
        <w:t>2024</w:t>
      </w:r>
      <w:r w:rsidRPr="00854B12">
        <w:t>)</w:t>
      </w:r>
      <w:r w:rsidRPr="00F73A03">
        <w:t>0</w:t>
      </w:r>
      <w:r w:rsidR="003A32B6" w:rsidRPr="00F73A03">
        <w:t>311</w:t>
      </w:r>
      <w:bookmarkEnd w:id="0"/>
    </w:p>
    <w:p w:rsidR="000E6099" w:rsidRPr="00854B12" w:rsidRDefault="000E6099" w:rsidP="000E6099">
      <w:pPr>
        <w:pStyle w:val="ATHeading2"/>
      </w:pPr>
      <w:bookmarkStart w:id="1" w:name="title"/>
      <w:r w:rsidRPr="00854B12">
        <w:t>Djelotvorna koordinacija ekonomskih politika i multilateralni proračunski nadzor</w:t>
      </w:r>
      <w:bookmarkEnd w:id="1"/>
    </w:p>
    <w:p w:rsidR="000E6099" w:rsidRPr="00854B12" w:rsidRDefault="000E6099" w:rsidP="000E6099">
      <w:pPr>
        <w:rPr>
          <w:i/>
          <w:vanish/>
        </w:rPr>
      </w:pPr>
      <w:r w:rsidRPr="00854B12">
        <w:rPr>
          <w:i/>
        </w:rPr>
        <w:fldChar w:fldCharType="begin"/>
      </w:r>
      <w:r w:rsidRPr="00854B12">
        <w:rPr>
          <w:i/>
        </w:rPr>
        <w:instrText xml:space="preserve"> TC"(</w:instrText>
      </w:r>
      <w:bookmarkStart w:id="2" w:name="DocNumber"/>
      <w:r w:rsidRPr="00854B12">
        <w:rPr>
          <w:i/>
        </w:rPr>
        <w:instrText>A</w:instrText>
      </w:r>
      <w:r w:rsidRPr="00F73A03">
        <w:rPr>
          <w:i/>
        </w:rPr>
        <w:instrText>9</w:instrText>
      </w:r>
      <w:r w:rsidRPr="00854B12">
        <w:rPr>
          <w:i/>
        </w:rPr>
        <w:instrText>-</w:instrText>
      </w:r>
      <w:r w:rsidRPr="00F73A03">
        <w:rPr>
          <w:i/>
        </w:rPr>
        <w:instrText>0439</w:instrText>
      </w:r>
      <w:r w:rsidRPr="00854B12">
        <w:rPr>
          <w:i/>
        </w:rPr>
        <w:instrText>/</w:instrText>
      </w:r>
      <w:r w:rsidRPr="00F73A03">
        <w:rPr>
          <w:i/>
        </w:rPr>
        <w:instrText>2023</w:instrText>
      </w:r>
      <w:bookmarkEnd w:id="2"/>
      <w:r w:rsidRPr="00854B12">
        <w:rPr>
          <w:i/>
        </w:rPr>
        <w:instrText xml:space="preserve"> - Izvjestitelji: </w:instrText>
      </w:r>
      <w:proofErr w:type="spellStart"/>
      <w:r w:rsidR="004B0ED5">
        <w:rPr>
          <w:i/>
        </w:rPr>
        <w:instrText>Markus</w:instrText>
      </w:r>
      <w:proofErr w:type="spellEnd"/>
      <w:r w:rsidR="004B0ED5">
        <w:rPr>
          <w:i/>
        </w:rPr>
        <w:instrText xml:space="preserve"> </w:instrText>
      </w:r>
      <w:proofErr w:type="spellStart"/>
      <w:r w:rsidR="004B0ED5">
        <w:rPr>
          <w:i/>
        </w:rPr>
        <w:instrText>Ferber</w:instrText>
      </w:r>
      <w:proofErr w:type="spellEnd"/>
      <w:r w:rsidRPr="00854B12">
        <w:rPr>
          <w:i/>
        </w:rPr>
        <w:instrText xml:space="preserve">, </w:instrText>
      </w:r>
      <w:proofErr w:type="spellStart"/>
      <w:r w:rsidRPr="00854B12">
        <w:rPr>
          <w:i/>
        </w:rPr>
        <w:instrText>Margarida</w:instrText>
      </w:r>
      <w:proofErr w:type="spellEnd"/>
      <w:r w:rsidRPr="00854B12">
        <w:rPr>
          <w:i/>
        </w:rPr>
        <w:instrText xml:space="preserve"> </w:instrText>
      </w:r>
      <w:proofErr w:type="spellStart"/>
      <w:r w:rsidRPr="00854B12">
        <w:rPr>
          <w:i/>
        </w:rPr>
        <w:instrText>Marques</w:instrText>
      </w:r>
      <w:proofErr w:type="spellEnd"/>
      <w:r w:rsidRPr="00854B12">
        <w:rPr>
          <w:i/>
        </w:rPr>
        <w:instrText>)"\l</w:instrText>
      </w:r>
      <w:r w:rsidRPr="00F73A03">
        <w:rPr>
          <w:i/>
        </w:rPr>
        <w:instrText>3</w:instrText>
      </w:r>
      <w:r w:rsidRPr="00854B12">
        <w:rPr>
          <w:i/>
        </w:rPr>
        <w:instrText xml:space="preserve"> \n&gt; \* MERGEFORMAT </w:instrText>
      </w:r>
      <w:r w:rsidRPr="00854B12">
        <w:rPr>
          <w:i/>
        </w:rPr>
        <w:fldChar w:fldCharType="end"/>
      </w:r>
    </w:p>
    <w:p w:rsidR="000E6099" w:rsidRPr="00854B12" w:rsidRDefault="000E6099" w:rsidP="000E6099">
      <w:pPr>
        <w:rPr>
          <w:vanish/>
        </w:rPr>
      </w:pPr>
      <w:bookmarkStart w:id="3" w:name="Commission"/>
      <w:r w:rsidRPr="00854B12">
        <w:rPr>
          <w:vanish/>
        </w:rPr>
        <w:t>Odbor za ekonomsku i monetarnu politiku</w:t>
      </w:r>
      <w:bookmarkEnd w:id="3"/>
    </w:p>
    <w:p w:rsidR="000E6099" w:rsidRPr="00854B12" w:rsidRDefault="000E6099" w:rsidP="000E6099">
      <w:pPr>
        <w:rPr>
          <w:vanish/>
        </w:rPr>
      </w:pPr>
      <w:bookmarkStart w:id="4" w:name="PE"/>
      <w:r w:rsidRPr="00854B12">
        <w:rPr>
          <w:vanish/>
        </w:rPr>
        <w:t>PE</w:t>
      </w:r>
      <w:r w:rsidRPr="00F73A03">
        <w:rPr>
          <w:vanish/>
        </w:rPr>
        <w:t>754</w:t>
      </w:r>
      <w:r w:rsidRPr="00854B12">
        <w:rPr>
          <w:vanish/>
        </w:rPr>
        <w:t>.</w:t>
      </w:r>
      <w:r w:rsidRPr="00F73A03">
        <w:rPr>
          <w:vanish/>
        </w:rPr>
        <w:t>668</w:t>
      </w:r>
      <w:bookmarkEnd w:id="4"/>
    </w:p>
    <w:p w:rsidR="000E6099" w:rsidRPr="00854B12" w:rsidRDefault="000E6099" w:rsidP="000E6099">
      <w:pPr>
        <w:pStyle w:val="ATHeading3"/>
      </w:pPr>
      <w:bookmarkStart w:id="5" w:name="Sujet"/>
      <w:r w:rsidRPr="00854B12">
        <w:t>Zakonodavna rezolu</w:t>
      </w:r>
      <w:r w:rsidR="00854B12">
        <w:t xml:space="preserve">cija Europskog parlamenta od </w:t>
      </w:r>
      <w:r w:rsidR="00854B12" w:rsidRPr="00F73A03">
        <w:t>23</w:t>
      </w:r>
      <w:r w:rsidRPr="00854B12">
        <w:t xml:space="preserve">. </w:t>
      </w:r>
      <w:r w:rsidR="00854B12">
        <w:t xml:space="preserve">travnja </w:t>
      </w:r>
      <w:r w:rsidRPr="00F73A03">
        <w:t>2024</w:t>
      </w:r>
      <w:r w:rsidRPr="00854B12">
        <w:t xml:space="preserve">. o Prijedlogu uredbe Europskog parlamenta i Vijeća o djelotvornoj koordinaciji ekonomskih politika i multilateralnom proračunskom nadzoru i stavljanju izvan snage Uredbe Vijeća (EZ) br. </w:t>
      </w:r>
      <w:r w:rsidRPr="00F73A03">
        <w:t>1466</w:t>
      </w:r>
      <w:r w:rsidRPr="00854B12">
        <w:t>/</w:t>
      </w:r>
      <w:r w:rsidRPr="00F73A03">
        <w:t>97</w:t>
      </w:r>
      <w:bookmarkEnd w:id="5"/>
      <w:r w:rsidRPr="00854B12">
        <w:t xml:space="preserve"> </w:t>
      </w:r>
      <w:bookmarkStart w:id="6" w:name="References"/>
      <w:r w:rsidRPr="00854B12">
        <w:t>(COM(</w:t>
      </w:r>
      <w:r w:rsidRPr="00F73A03">
        <w:t>2023</w:t>
      </w:r>
      <w:r w:rsidRPr="00854B12">
        <w:t>)</w:t>
      </w:r>
      <w:r w:rsidRPr="00F73A03">
        <w:t>0240</w:t>
      </w:r>
      <w:r w:rsidRPr="00854B12">
        <w:t xml:space="preserve"> – C</w:t>
      </w:r>
      <w:r w:rsidRPr="00F73A03">
        <w:t>9</w:t>
      </w:r>
      <w:r w:rsidRPr="00854B12">
        <w:t>-</w:t>
      </w:r>
      <w:r w:rsidRPr="00F73A03">
        <w:t>0150</w:t>
      </w:r>
      <w:r w:rsidRPr="00854B12">
        <w:t>/</w:t>
      </w:r>
      <w:r w:rsidRPr="00F73A03">
        <w:t>2023</w:t>
      </w:r>
      <w:r w:rsidRPr="00854B12">
        <w:t xml:space="preserve"> – </w:t>
      </w:r>
      <w:r w:rsidRPr="00F73A03">
        <w:t>2023</w:t>
      </w:r>
      <w:r w:rsidRPr="00854B12">
        <w:t>/</w:t>
      </w:r>
      <w:r w:rsidRPr="00F73A03">
        <w:t>0138</w:t>
      </w:r>
      <w:r w:rsidRPr="00854B12">
        <w:t>(COD))</w:t>
      </w:r>
      <w:bookmarkEnd w:id="6"/>
    </w:p>
    <w:p w:rsidR="000E6099" w:rsidRPr="00854B12" w:rsidRDefault="000E6099" w:rsidP="000E6099"/>
    <w:p w:rsidR="004C07EA" w:rsidRPr="00854B12" w:rsidRDefault="004C07EA" w:rsidP="004C07EA">
      <w:pPr>
        <w:pStyle w:val="NormalBold"/>
      </w:pPr>
      <w:bookmarkStart w:id="7" w:name="TextBodyBegin"/>
      <w:bookmarkEnd w:id="7"/>
      <w:r w:rsidRPr="00854B12">
        <w:t>(Redovni zakonodavni postupak: prvo čitanje)</w:t>
      </w:r>
    </w:p>
    <w:p w:rsidR="004C07EA" w:rsidRPr="00854B12" w:rsidRDefault="004C07EA" w:rsidP="004C07EA">
      <w:pPr>
        <w:pStyle w:val="EPComma"/>
      </w:pPr>
      <w:r w:rsidRPr="00854B12">
        <w:rPr>
          <w:i/>
        </w:rPr>
        <w:t>Europski parlament</w:t>
      </w:r>
      <w:r w:rsidRPr="00854B12">
        <w:t>,</w:t>
      </w:r>
    </w:p>
    <w:p w:rsidR="004C07EA" w:rsidRPr="00854B12" w:rsidRDefault="004C07EA" w:rsidP="004C07EA">
      <w:pPr>
        <w:pStyle w:val="NormalHanging12a"/>
      </w:pPr>
      <w:r w:rsidRPr="00854B12">
        <w:t>–</w:t>
      </w:r>
      <w:r w:rsidRPr="00854B12">
        <w:tab/>
        <w:t>uzimajući u obzir Prijedlog Komisije upućen Europskom parlamentu i Vijeću (COM(</w:t>
      </w:r>
      <w:r w:rsidRPr="00F73A03">
        <w:t>2023</w:t>
      </w:r>
      <w:r w:rsidRPr="00854B12">
        <w:t>)</w:t>
      </w:r>
      <w:r w:rsidRPr="00F73A03">
        <w:t>0240</w:t>
      </w:r>
      <w:r w:rsidRPr="00854B12">
        <w:t>),</w:t>
      </w:r>
    </w:p>
    <w:p w:rsidR="004C07EA" w:rsidRPr="00854B12" w:rsidRDefault="004C07EA" w:rsidP="004C07EA">
      <w:pPr>
        <w:pStyle w:val="NormalHanging12a"/>
      </w:pPr>
      <w:r w:rsidRPr="00854B12">
        <w:t>–</w:t>
      </w:r>
      <w:r w:rsidRPr="00854B12">
        <w:tab/>
        <w:t xml:space="preserve">uzimajući u obzir članak </w:t>
      </w:r>
      <w:r w:rsidRPr="00F73A03">
        <w:t>294</w:t>
      </w:r>
      <w:r w:rsidRPr="00854B12">
        <w:t xml:space="preserve">. stavak </w:t>
      </w:r>
      <w:r w:rsidRPr="00F73A03">
        <w:t>2</w:t>
      </w:r>
      <w:r w:rsidRPr="00854B12">
        <w:t xml:space="preserve">. i članak </w:t>
      </w:r>
      <w:r w:rsidRPr="00F73A03">
        <w:t>121</w:t>
      </w:r>
      <w:r w:rsidRPr="00854B12">
        <w:t xml:space="preserve">. stavak </w:t>
      </w:r>
      <w:r w:rsidRPr="00F73A03">
        <w:t>6</w:t>
      </w:r>
      <w:r w:rsidRPr="00854B12">
        <w:t>. Ugovora o funkcioniranju Europske unije, u skladu s kojima je Komisija podnijela Prijedlog Parlamentu (C</w:t>
      </w:r>
      <w:r w:rsidRPr="00F73A03">
        <w:t>9</w:t>
      </w:r>
      <w:r w:rsidRPr="00854B12">
        <w:noBreakHyphen/>
      </w:r>
      <w:r w:rsidRPr="00F73A03">
        <w:t>0150</w:t>
      </w:r>
      <w:r w:rsidRPr="00854B12">
        <w:t>/</w:t>
      </w:r>
      <w:r w:rsidRPr="00F73A03">
        <w:t>2023</w:t>
      </w:r>
      <w:r w:rsidRPr="00854B12">
        <w:t>),</w:t>
      </w:r>
    </w:p>
    <w:p w:rsidR="004C07EA" w:rsidRPr="00854B12" w:rsidRDefault="004C07EA" w:rsidP="004C07EA">
      <w:pPr>
        <w:pStyle w:val="NormalHanging12a"/>
      </w:pPr>
      <w:r w:rsidRPr="00854B12">
        <w:t>–</w:t>
      </w:r>
      <w:r w:rsidRPr="00854B12">
        <w:tab/>
        <w:t xml:space="preserve">uzimajući u obzir članak </w:t>
      </w:r>
      <w:r w:rsidRPr="00F73A03">
        <w:t>294</w:t>
      </w:r>
      <w:r w:rsidRPr="00854B12">
        <w:t xml:space="preserve">. stavak </w:t>
      </w:r>
      <w:r w:rsidRPr="00F73A03">
        <w:t>3</w:t>
      </w:r>
      <w:r w:rsidRPr="00854B12">
        <w:t>. Ugovora o funkcioniranju Europske unije,</w:t>
      </w:r>
    </w:p>
    <w:p w:rsidR="004C07EA" w:rsidRPr="00854B12" w:rsidRDefault="004C07EA" w:rsidP="004C07EA">
      <w:pPr>
        <w:pStyle w:val="NormalHanging12a"/>
      </w:pPr>
      <w:r w:rsidRPr="00854B12">
        <w:t>–</w:t>
      </w:r>
      <w:r w:rsidRPr="00854B12">
        <w:tab/>
        <w:t xml:space="preserve">uzimajući u obzir mišljenje Europske središnje banke od </w:t>
      </w:r>
      <w:r w:rsidRPr="00F73A03">
        <w:t>5</w:t>
      </w:r>
      <w:r w:rsidRPr="00854B12">
        <w:t>. srpnja </w:t>
      </w:r>
      <w:r w:rsidRPr="00F73A03">
        <w:t>2023</w:t>
      </w:r>
      <w:r w:rsidRPr="00854B12">
        <w:t>.</w:t>
      </w:r>
      <w:r w:rsidRPr="00854B12">
        <w:rPr>
          <w:rStyle w:val="FootnoteReference"/>
        </w:rPr>
        <w:footnoteReference w:id="1"/>
      </w:r>
      <w:r w:rsidRPr="00854B12">
        <w:t>,</w:t>
      </w:r>
    </w:p>
    <w:p w:rsidR="004C07EA" w:rsidRPr="00854B12" w:rsidRDefault="004C07EA" w:rsidP="004C07EA">
      <w:pPr>
        <w:pStyle w:val="NormalHanging12a"/>
      </w:pPr>
      <w:r w:rsidRPr="00854B12">
        <w:t>–</w:t>
      </w:r>
      <w:r w:rsidRPr="00854B12">
        <w:tab/>
        <w:t xml:space="preserve">uzimajući u obzir mišljenje Europskoga gospodarskog i socijalnog odbora od </w:t>
      </w:r>
      <w:r w:rsidRPr="00F73A03">
        <w:t>21</w:t>
      </w:r>
      <w:r w:rsidRPr="00854B12">
        <w:t xml:space="preserve">. rujna </w:t>
      </w:r>
      <w:r w:rsidRPr="00F73A03">
        <w:t>2023</w:t>
      </w:r>
      <w:r w:rsidRPr="00854B12">
        <w:t>.</w:t>
      </w:r>
      <w:r w:rsidRPr="00854B12">
        <w:rPr>
          <w:rStyle w:val="FootnoteReference"/>
        </w:rPr>
        <w:footnoteReference w:id="2"/>
      </w:r>
      <w:r w:rsidRPr="00854B12">
        <w:t>,</w:t>
      </w:r>
    </w:p>
    <w:p w:rsidR="004C07EA" w:rsidRDefault="004C07EA" w:rsidP="004C07EA">
      <w:pPr>
        <w:pStyle w:val="NormalHanging12a"/>
      </w:pPr>
      <w:r w:rsidRPr="00854B12">
        <w:t>–</w:t>
      </w:r>
      <w:r w:rsidRPr="00854B12">
        <w:tab/>
        <w:t xml:space="preserve">uzimajući u obzir mišljenje Odbora regija od </w:t>
      </w:r>
      <w:r w:rsidRPr="00F73A03">
        <w:t>10</w:t>
      </w:r>
      <w:r w:rsidRPr="00854B12">
        <w:t xml:space="preserve">. listopada </w:t>
      </w:r>
      <w:r w:rsidRPr="00F73A03">
        <w:t>2023</w:t>
      </w:r>
      <w:r w:rsidRPr="00854B12">
        <w:t>.</w:t>
      </w:r>
      <w:r w:rsidRPr="00854B12">
        <w:rPr>
          <w:rStyle w:val="FootnoteReference"/>
          <w:szCs w:val="24"/>
        </w:rPr>
        <w:footnoteReference w:id="3"/>
      </w:r>
      <w:r w:rsidRPr="00854B12">
        <w:t>,</w:t>
      </w:r>
    </w:p>
    <w:p w:rsidR="00AD709D" w:rsidRPr="00854B12" w:rsidRDefault="00AD709D" w:rsidP="004C07EA">
      <w:pPr>
        <w:pStyle w:val="NormalHanging12a"/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C55871">
        <w:rPr>
          <w:szCs w:val="24"/>
        </w:rPr>
        <w:t>uzimajući u o</w:t>
      </w:r>
      <w:r>
        <w:rPr>
          <w:szCs w:val="24"/>
        </w:rPr>
        <w:t>bzir privremeni sporazum koji je odobrio</w:t>
      </w:r>
      <w:r w:rsidRPr="00C55871">
        <w:rPr>
          <w:szCs w:val="24"/>
        </w:rPr>
        <w:t xml:space="preserve"> nadležni odbor u skladu s član</w:t>
      </w:r>
      <w:r w:rsidRPr="002F0A61">
        <w:rPr>
          <w:szCs w:val="24"/>
        </w:rPr>
        <w:t xml:space="preserve">kom </w:t>
      </w:r>
      <w:r w:rsidRPr="00F73A03">
        <w:rPr>
          <w:szCs w:val="24"/>
        </w:rPr>
        <w:t>74</w:t>
      </w:r>
      <w:r w:rsidRPr="002F0A61">
        <w:rPr>
          <w:szCs w:val="24"/>
        </w:rPr>
        <w:t>.</w:t>
      </w:r>
      <w:r w:rsidRPr="00C55871">
        <w:rPr>
          <w:szCs w:val="24"/>
        </w:rPr>
        <w:t xml:space="preserve"> stavkom </w:t>
      </w:r>
      <w:r w:rsidRPr="00F73A03">
        <w:rPr>
          <w:szCs w:val="24"/>
        </w:rPr>
        <w:t>4</w:t>
      </w:r>
      <w:r w:rsidRPr="002F0A61">
        <w:rPr>
          <w:szCs w:val="24"/>
        </w:rPr>
        <w:t>. Poslovnika te činjenicu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</w:t>
      </w:r>
      <w:r w:rsidRPr="00F73A03">
        <w:rPr>
          <w:szCs w:val="24"/>
        </w:rPr>
        <w:t>21</w:t>
      </w:r>
      <w:r>
        <w:rPr>
          <w:szCs w:val="24"/>
        </w:rPr>
        <w:t>. veljače</w:t>
      </w:r>
      <w:r w:rsidRPr="002F0A61">
        <w:rPr>
          <w:szCs w:val="24"/>
        </w:rPr>
        <w:t xml:space="preserve"> </w:t>
      </w:r>
      <w:r w:rsidRPr="00F73A03">
        <w:rPr>
          <w:szCs w:val="24"/>
        </w:rPr>
        <w:t>2024</w:t>
      </w:r>
      <w:r w:rsidRPr="00C55871">
        <w:rPr>
          <w:szCs w:val="24"/>
        </w:rPr>
        <w:t xml:space="preserve">. obvezao prihvatiti stajalište Europskog parlamenta u skladu s člankom </w:t>
      </w:r>
      <w:r w:rsidRPr="00F73A03">
        <w:rPr>
          <w:szCs w:val="24"/>
        </w:rPr>
        <w:t>294</w:t>
      </w:r>
      <w:r w:rsidRPr="00C55871">
        <w:rPr>
          <w:szCs w:val="24"/>
        </w:rPr>
        <w:t xml:space="preserve">. stavkom </w:t>
      </w:r>
      <w:r w:rsidRPr="00F73A03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>
        <w:rPr>
          <w:szCs w:val="24"/>
        </w:rPr>
        <w:t>,</w:t>
      </w:r>
    </w:p>
    <w:p w:rsidR="004C07EA" w:rsidRPr="00854B12" w:rsidRDefault="004C07EA" w:rsidP="004C07EA">
      <w:pPr>
        <w:pStyle w:val="NormalHanging12a"/>
      </w:pPr>
      <w:r w:rsidRPr="00854B12">
        <w:lastRenderedPageBreak/>
        <w:t>–</w:t>
      </w:r>
      <w:r w:rsidRPr="00854B12">
        <w:tab/>
        <w:t xml:space="preserve">uzimajući u obzir članak </w:t>
      </w:r>
      <w:r w:rsidRPr="00F73A03">
        <w:t>59</w:t>
      </w:r>
      <w:r w:rsidRPr="00854B12">
        <w:t>. Poslovnika,</w:t>
      </w:r>
    </w:p>
    <w:p w:rsidR="004C07EA" w:rsidRPr="00854B12" w:rsidRDefault="004C07EA" w:rsidP="004C07EA">
      <w:pPr>
        <w:pStyle w:val="NormalHanging12a"/>
      </w:pPr>
      <w:r w:rsidRPr="00854B12">
        <w:t>–</w:t>
      </w:r>
      <w:r w:rsidRPr="00854B12">
        <w:tab/>
        <w:t>uzimajući u obzir mišljenje Odbora za zapošljavanje i socijalna pitanja,</w:t>
      </w:r>
    </w:p>
    <w:p w:rsidR="004C07EA" w:rsidRPr="00854B12" w:rsidRDefault="004C07EA" w:rsidP="004C07EA">
      <w:pPr>
        <w:pStyle w:val="NormalHanging12a"/>
      </w:pPr>
      <w:r w:rsidRPr="00854B12">
        <w:t>–</w:t>
      </w:r>
      <w:r w:rsidRPr="00854B12">
        <w:tab/>
        <w:t>uzimajući u obzir izvješće Odbora za ekonomsku i monetarnu politiku (A</w:t>
      </w:r>
      <w:r w:rsidRPr="00F73A03">
        <w:t>9</w:t>
      </w:r>
      <w:r w:rsidRPr="00854B12">
        <w:noBreakHyphen/>
      </w:r>
      <w:r w:rsidRPr="00F73A03">
        <w:t>0439</w:t>
      </w:r>
      <w:r w:rsidRPr="00854B12">
        <w:t>/</w:t>
      </w:r>
      <w:r w:rsidRPr="00F73A03">
        <w:t>2023</w:t>
      </w:r>
      <w:r w:rsidRPr="00854B12">
        <w:t>),</w:t>
      </w:r>
    </w:p>
    <w:p w:rsidR="004C07EA" w:rsidRPr="00854B12" w:rsidRDefault="004C07EA" w:rsidP="004C07EA">
      <w:pPr>
        <w:pStyle w:val="NormalHanging12a"/>
      </w:pPr>
      <w:r w:rsidRPr="00F73A03">
        <w:t>1</w:t>
      </w:r>
      <w:r w:rsidRPr="00854B12">
        <w:t>.</w:t>
      </w:r>
      <w:r w:rsidRPr="00854B12">
        <w:tab/>
        <w:t>usvaja sljedeće stajalište u prvom čitanju;</w:t>
      </w:r>
    </w:p>
    <w:p w:rsidR="004C07EA" w:rsidRPr="00854B12" w:rsidRDefault="004C07EA" w:rsidP="004C07EA">
      <w:pPr>
        <w:pStyle w:val="NormalHanging12a"/>
      </w:pPr>
      <w:r w:rsidRPr="00F73A03">
        <w:t>2</w:t>
      </w:r>
      <w:r w:rsidRPr="00854B12">
        <w:t>.</w:t>
      </w:r>
      <w:r w:rsidRPr="00854B12">
        <w:tab/>
        <w:t>poziva Komisiju da predmet ponovno uputi Parlamentu ako zamijeni, bitno izmijeni ili namjerava bitno izmijeniti svoj Prijedlog;</w:t>
      </w:r>
    </w:p>
    <w:p w:rsidR="004C07EA" w:rsidRPr="00854B12" w:rsidRDefault="004C07EA" w:rsidP="004C07EA">
      <w:pPr>
        <w:pStyle w:val="NormalHanging12a"/>
      </w:pPr>
      <w:r w:rsidRPr="00F73A03">
        <w:t>3</w:t>
      </w:r>
      <w:r w:rsidRPr="00854B12">
        <w:t>.</w:t>
      </w:r>
      <w:r w:rsidRPr="00854B12">
        <w:tab/>
        <w:t>nalaže svojoj predsjednici da stajalište Parlamenta proslijedi Vijeću, Komisiji i nacionalnim parlamentima.</w:t>
      </w:r>
    </w:p>
    <w:p w:rsidR="004B0ED5" w:rsidRDefault="004B0ED5" w:rsidP="004C07EA">
      <w:pPr>
        <w:pStyle w:val="AmNumberTabs"/>
        <w:keepNext/>
        <w:sectPr w:rsidR="004B0ED5" w:rsidSect="008C46E3">
          <w:footerReference w:type="even" r:id="rId9"/>
          <w:footerReference w:type="first" r:id="rId10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</w:p>
    <w:p w:rsidR="00AD709D" w:rsidRPr="00E7025D" w:rsidRDefault="00AD709D" w:rsidP="00AD709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F73A03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F73A03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 w:rsidRPr="00F73A03">
        <w:rPr>
          <w:rFonts w:eastAsia="Calibri"/>
          <w:b/>
          <w:bCs/>
          <w:color w:val="000000"/>
          <w:szCs w:val="24"/>
        </w:rPr>
        <w:t>2023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F73A03">
        <w:rPr>
          <w:rFonts w:eastAsia="Calibri"/>
          <w:b/>
          <w:bCs/>
          <w:color w:val="000000"/>
          <w:szCs w:val="24"/>
        </w:rPr>
        <w:t>0138</w:t>
      </w:r>
    </w:p>
    <w:p w:rsidR="00AD709D" w:rsidRDefault="00AD709D" w:rsidP="00AD709D">
      <w:pPr>
        <w:widowControl/>
        <w:spacing w:before="360" w:after="360"/>
        <w:rPr>
          <w:b/>
          <w:szCs w:val="24"/>
          <w:lang w:eastAsia="en-US"/>
        </w:rPr>
      </w:pPr>
      <w:r w:rsidRPr="00FC2FEB">
        <w:rPr>
          <w:b/>
        </w:rPr>
        <w:t xml:space="preserve">Stajalište Europskog parlamenta usvojeno u prvom čitanju </w:t>
      </w:r>
      <w:r w:rsidRPr="00F73A03">
        <w:rPr>
          <w:b/>
        </w:rPr>
        <w:t>23</w:t>
      </w:r>
      <w:r>
        <w:rPr>
          <w:b/>
        </w:rPr>
        <w:t>. travnj</w:t>
      </w:r>
      <w:r w:rsidRPr="00FC2FEB">
        <w:rPr>
          <w:b/>
        </w:rPr>
        <w:t xml:space="preserve">a </w:t>
      </w:r>
      <w:r w:rsidRPr="00F73A03">
        <w:rPr>
          <w:b/>
        </w:rPr>
        <w:t>2024</w:t>
      </w:r>
      <w:r>
        <w:rPr>
          <w:b/>
        </w:rPr>
        <w:t xml:space="preserve">. radi donošenja </w:t>
      </w:r>
      <w:r w:rsidRPr="00AD709D">
        <w:rPr>
          <w:b/>
          <w:szCs w:val="22"/>
          <w:lang w:eastAsia="fr-BE"/>
        </w:rPr>
        <w:t>Uredbe</w:t>
      </w:r>
      <w:r w:rsidRPr="0031422B">
        <w:rPr>
          <w:b/>
          <w:szCs w:val="22"/>
          <w:lang w:eastAsia="fr-BE"/>
        </w:rPr>
        <w:t xml:space="preserve"> (EU) </w:t>
      </w:r>
      <w:r w:rsidRPr="00F73A03">
        <w:rPr>
          <w:b/>
          <w:szCs w:val="22"/>
          <w:lang w:eastAsia="fr-BE"/>
        </w:rPr>
        <w:t>2024</w:t>
      </w:r>
      <w:r w:rsidRPr="0031422B">
        <w:rPr>
          <w:b/>
          <w:szCs w:val="22"/>
          <w:lang w:eastAsia="fr-BE"/>
        </w:rPr>
        <w:t>/…</w:t>
      </w:r>
      <w:r>
        <w:rPr>
          <w:b/>
          <w:szCs w:val="22"/>
          <w:lang w:eastAsia="fr-BE"/>
        </w:rPr>
        <w:t xml:space="preserve"> Europskog parlamenta i V</w:t>
      </w:r>
      <w:r w:rsidRPr="0031422B">
        <w:rPr>
          <w:b/>
          <w:szCs w:val="22"/>
          <w:lang w:eastAsia="fr-BE"/>
        </w:rPr>
        <w:t>ijeća</w:t>
      </w:r>
      <w:r>
        <w:rPr>
          <w:b/>
          <w:szCs w:val="22"/>
          <w:lang w:eastAsia="fr-BE"/>
        </w:rPr>
        <w:t xml:space="preserve"> </w:t>
      </w:r>
      <w:bookmarkStart w:id="8" w:name="_Hlk163730618"/>
      <w:r w:rsidRPr="00AD709D">
        <w:rPr>
          <w:b/>
          <w:szCs w:val="24"/>
          <w:lang w:eastAsia="en-US"/>
        </w:rPr>
        <w:t>o djelotvornoj koordinaciji ekonomskih politika i multilateralnom proračunskom nadzoru te stavljanju izvan snage Uredbe Vijeća (EZ) br. </w:t>
      </w:r>
      <w:r w:rsidRPr="00F73A03">
        <w:rPr>
          <w:b/>
          <w:szCs w:val="24"/>
          <w:lang w:eastAsia="en-US"/>
        </w:rPr>
        <w:t>1466</w:t>
      </w:r>
      <w:r w:rsidRPr="00AD709D">
        <w:rPr>
          <w:b/>
          <w:szCs w:val="24"/>
          <w:lang w:eastAsia="en-US"/>
        </w:rPr>
        <w:t>/</w:t>
      </w:r>
      <w:r w:rsidRPr="00F73A03">
        <w:rPr>
          <w:b/>
          <w:szCs w:val="24"/>
          <w:lang w:eastAsia="en-US"/>
        </w:rPr>
        <w:t>97</w:t>
      </w:r>
    </w:p>
    <w:p w:rsidR="00767B1C" w:rsidRPr="00767B1C" w:rsidRDefault="00767B1C" w:rsidP="00AD709D">
      <w:pPr>
        <w:widowControl/>
        <w:spacing w:before="360" w:after="360"/>
        <w:rPr>
          <w:szCs w:val="24"/>
          <w:lang w:eastAsia="en-US"/>
        </w:rPr>
      </w:pPr>
      <w:r w:rsidRPr="00CA6FB6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</w:t>
      </w:r>
      <w:r>
        <w:rPr>
          <w:rFonts w:eastAsia="Calibri"/>
          <w:i/>
          <w:szCs w:val="24"/>
          <w:lang w:eastAsia="en-US"/>
        </w:rPr>
        <w:t xml:space="preserve">konodavnom aktu, </w:t>
      </w:r>
      <w:r>
        <w:rPr>
          <w:rFonts w:eastAsia="Calibri"/>
          <w:i/>
          <w:szCs w:val="24"/>
          <w:lang w:eastAsia="en-US"/>
        </w:rPr>
        <w:t>Uredbi (EU) 2024/1263</w:t>
      </w:r>
      <w:bookmarkStart w:id="9" w:name="_GoBack"/>
      <w:bookmarkEnd w:id="9"/>
      <w:r>
        <w:rPr>
          <w:rFonts w:eastAsia="Calibri"/>
          <w:i/>
          <w:szCs w:val="24"/>
          <w:lang w:eastAsia="en-US"/>
        </w:rPr>
        <w:t>.</w:t>
      </w:r>
      <w:r w:rsidRPr="00CA6FB6">
        <w:rPr>
          <w:rFonts w:eastAsia="Calibri"/>
          <w:i/>
          <w:szCs w:val="24"/>
          <w:lang w:eastAsia="en-US"/>
        </w:rPr>
        <w:t>)</w:t>
      </w:r>
    </w:p>
    <w:bookmarkEnd w:id="8"/>
    <w:sectPr w:rsidR="00767B1C" w:rsidRPr="00767B1C" w:rsidSect="00AD70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099" w:rsidRPr="008C46E3" w:rsidRDefault="000E6099">
      <w:r w:rsidRPr="008C46E3">
        <w:separator/>
      </w:r>
    </w:p>
  </w:endnote>
  <w:endnote w:type="continuationSeparator" w:id="0">
    <w:p w:rsidR="000E6099" w:rsidRPr="008C46E3" w:rsidRDefault="000E6099">
      <w:r w:rsidRPr="008C46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7EA" w:rsidRPr="008C46E3" w:rsidRDefault="004C07EA" w:rsidP="00AF60ED">
    <w:pPr>
      <w:pStyle w:val="EPFooter"/>
    </w:pPr>
    <w:r w:rsidRPr="008C46E3">
      <w:t>PE</w:t>
    </w:r>
    <w:r w:rsidRPr="008C46E3">
      <w:rPr>
        <w:rStyle w:val="HideTWBExt"/>
      </w:rPr>
      <w:t>&lt;</w:t>
    </w:r>
    <w:proofErr w:type="spellStart"/>
    <w:r w:rsidRPr="008C46E3">
      <w:rPr>
        <w:rStyle w:val="HideTWBExt"/>
      </w:rPr>
      <w:t>NoPE</w:t>
    </w:r>
    <w:proofErr w:type="spellEnd"/>
    <w:r w:rsidRPr="008C46E3">
      <w:rPr>
        <w:rStyle w:val="HideTWBExt"/>
      </w:rPr>
      <w:t>&gt;</w:t>
    </w:r>
    <w:r w:rsidRPr="008C46E3">
      <w:t>754.668</w:t>
    </w:r>
    <w:r w:rsidRPr="008C46E3">
      <w:rPr>
        <w:rStyle w:val="HideTWBExt"/>
      </w:rPr>
      <w:t>&lt;/</w:t>
    </w:r>
    <w:proofErr w:type="spellStart"/>
    <w:r w:rsidRPr="008C46E3">
      <w:rPr>
        <w:rStyle w:val="HideTWBExt"/>
      </w:rPr>
      <w:t>NoPE</w:t>
    </w:r>
    <w:proofErr w:type="spellEnd"/>
    <w:r w:rsidRPr="008C46E3">
      <w:rPr>
        <w:rStyle w:val="HideTWBExt"/>
      </w:rPr>
      <w:t>&gt;</w:t>
    </w:r>
    <w:r w:rsidRPr="008C46E3">
      <w:tab/>
    </w:r>
    <w:r w:rsidRPr="008C46E3">
      <w:fldChar w:fldCharType="begin"/>
    </w:r>
    <w:r w:rsidRPr="008C46E3">
      <w:instrText xml:space="preserve"> PAGE  \* MERGEFORMAT </w:instrText>
    </w:r>
    <w:r w:rsidRPr="008C46E3">
      <w:fldChar w:fldCharType="separate"/>
    </w:r>
    <w:r w:rsidRPr="008C46E3">
      <w:rPr>
        <w:noProof/>
      </w:rPr>
      <w:t>36</w:t>
    </w:r>
    <w:r w:rsidRPr="008C46E3">
      <w:fldChar w:fldCharType="end"/>
    </w:r>
    <w:r w:rsidRPr="008C46E3">
      <w:t>/</w:t>
    </w:r>
    <w:fldSimple w:instr=" NUMPAGES  \* MERGEFORMAT ">
      <w:r w:rsidRPr="008C46E3">
        <w:rPr>
          <w:noProof/>
        </w:rPr>
        <w:t>36</w:t>
      </w:r>
    </w:fldSimple>
    <w:r w:rsidRPr="008C46E3">
      <w:tab/>
    </w:r>
    <w:r w:rsidRPr="008C46E3">
      <w:rPr>
        <w:rStyle w:val="HideTWBExt"/>
      </w:rPr>
      <w:t>&lt;PathFdR&gt;</w:t>
    </w:r>
    <w:r w:rsidRPr="008C46E3">
      <w:t>RR\1293106HR.docx</w:t>
    </w:r>
    <w:r w:rsidRPr="008C46E3">
      <w:rPr>
        <w:rStyle w:val="HideTWBExt"/>
      </w:rPr>
      <w:t>&lt;/</w:t>
    </w:r>
    <w:proofErr w:type="spellStart"/>
    <w:r w:rsidRPr="008C46E3">
      <w:rPr>
        <w:rStyle w:val="HideTWBExt"/>
      </w:rPr>
      <w:t>PathFdR</w:t>
    </w:r>
    <w:proofErr w:type="spellEnd"/>
    <w:r w:rsidRPr="008C46E3">
      <w:rPr>
        <w:rStyle w:val="HideTWBExt"/>
      </w:rPr>
      <w:t>&gt;</w:t>
    </w:r>
  </w:p>
  <w:p w:rsidR="004C07EA" w:rsidRPr="008C46E3" w:rsidRDefault="004C07EA" w:rsidP="00AF60ED">
    <w:pPr>
      <w:pStyle w:val="EPFooter2"/>
    </w:pPr>
    <w:r w:rsidRPr="008C46E3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7EA" w:rsidRPr="008C46E3" w:rsidRDefault="004C07EA" w:rsidP="00AF60ED">
    <w:pPr>
      <w:pStyle w:val="EPFooter"/>
    </w:pPr>
    <w:r w:rsidRPr="008C46E3">
      <w:rPr>
        <w:rStyle w:val="HideTWBExt"/>
      </w:rPr>
      <w:t>&lt;PathFdR&gt;</w:t>
    </w:r>
    <w:r w:rsidRPr="008C46E3">
      <w:t>RR\1293106HR.docx</w:t>
    </w:r>
    <w:r w:rsidRPr="008C46E3">
      <w:rPr>
        <w:rStyle w:val="HideTWBExt"/>
      </w:rPr>
      <w:t>&lt;/</w:t>
    </w:r>
    <w:proofErr w:type="spellStart"/>
    <w:r w:rsidRPr="008C46E3">
      <w:rPr>
        <w:rStyle w:val="HideTWBExt"/>
      </w:rPr>
      <w:t>PathFdR</w:t>
    </w:r>
    <w:proofErr w:type="spellEnd"/>
    <w:r w:rsidRPr="008C46E3">
      <w:rPr>
        <w:rStyle w:val="HideTWBExt"/>
      </w:rPr>
      <w:t>&gt;</w:t>
    </w:r>
    <w:r w:rsidRPr="008C46E3">
      <w:tab/>
    </w:r>
    <w:r w:rsidRPr="008C46E3">
      <w:tab/>
      <w:t>PE</w:t>
    </w:r>
    <w:r w:rsidRPr="008C46E3">
      <w:rPr>
        <w:rStyle w:val="HideTWBExt"/>
      </w:rPr>
      <w:t>&lt;</w:t>
    </w:r>
    <w:proofErr w:type="spellStart"/>
    <w:r w:rsidRPr="008C46E3">
      <w:rPr>
        <w:rStyle w:val="HideTWBExt"/>
      </w:rPr>
      <w:t>NoPE</w:t>
    </w:r>
    <w:proofErr w:type="spellEnd"/>
    <w:r w:rsidRPr="008C46E3">
      <w:rPr>
        <w:rStyle w:val="HideTWBExt"/>
      </w:rPr>
      <w:t>&gt;</w:t>
    </w:r>
    <w:r w:rsidRPr="008C46E3">
      <w:t>754.668</w:t>
    </w:r>
    <w:r w:rsidRPr="008C46E3">
      <w:rPr>
        <w:rStyle w:val="HideTWBExt"/>
      </w:rPr>
      <w:t>&lt;/</w:t>
    </w:r>
    <w:proofErr w:type="spellStart"/>
    <w:r w:rsidRPr="008C46E3">
      <w:rPr>
        <w:rStyle w:val="HideTWBExt"/>
      </w:rPr>
      <w:t>NoPE</w:t>
    </w:r>
    <w:proofErr w:type="spellEnd"/>
    <w:r w:rsidRPr="008C46E3">
      <w:rPr>
        <w:rStyle w:val="HideTWBExt"/>
      </w:rPr>
      <w:t>&gt;</w:t>
    </w:r>
  </w:p>
  <w:p w:rsidR="004C07EA" w:rsidRPr="008C46E3" w:rsidRDefault="004C07EA" w:rsidP="00AF60ED">
    <w:pPr>
      <w:pStyle w:val="EPFooter2"/>
    </w:pPr>
    <w:r w:rsidRPr="008C46E3">
      <w:t>HR</w:t>
    </w:r>
    <w:r w:rsidRPr="008C46E3">
      <w:tab/>
    </w:r>
    <w:r w:rsidRPr="008C46E3">
      <w:rPr>
        <w:b w:val="0"/>
        <w:i/>
        <w:color w:val="C0C0C0"/>
        <w:sz w:val="22"/>
      </w:rPr>
      <w:t>Ujedinjena u raznolikosti</w:t>
    </w:r>
    <w:r w:rsidRPr="008C46E3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46E3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46E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46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099" w:rsidRPr="008C46E3" w:rsidRDefault="000E6099">
      <w:r w:rsidRPr="008C46E3">
        <w:separator/>
      </w:r>
    </w:p>
  </w:footnote>
  <w:footnote w:type="continuationSeparator" w:id="0">
    <w:p w:rsidR="000E6099" w:rsidRPr="008C46E3" w:rsidRDefault="000E6099">
      <w:r w:rsidRPr="008C46E3">
        <w:continuationSeparator/>
      </w:r>
    </w:p>
  </w:footnote>
  <w:footnote w:id="1">
    <w:p w:rsidR="004C07EA" w:rsidRPr="008C46E3" w:rsidRDefault="004C07EA" w:rsidP="008C46E3">
      <w:pPr>
        <w:pStyle w:val="FootnoteText"/>
        <w:ind w:left="567" w:hanging="567"/>
        <w:rPr>
          <w:sz w:val="24"/>
          <w:lang w:val="hr-HR"/>
        </w:rPr>
      </w:pPr>
      <w:r w:rsidRPr="008C46E3">
        <w:rPr>
          <w:rStyle w:val="FootnoteReference"/>
          <w:sz w:val="24"/>
          <w:lang w:val="hr-HR"/>
        </w:rPr>
        <w:footnoteRef/>
      </w:r>
      <w:r w:rsidR="008C46E3" w:rsidRPr="008C46E3">
        <w:rPr>
          <w:sz w:val="24"/>
          <w:lang w:val="hr-HR"/>
        </w:rPr>
        <w:t xml:space="preserve"> </w:t>
      </w:r>
      <w:r w:rsidR="008C46E3" w:rsidRPr="008C46E3">
        <w:rPr>
          <w:sz w:val="24"/>
          <w:lang w:val="hr-HR"/>
        </w:rPr>
        <w:tab/>
      </w:r>
      <w:r w:rsidR="00B82EEC">
        <w:rPr>
          <w:sz w:val="24"/>
          <w:lang w:val="hr-HR"/>
        </w:rPr>
        <w:t>SL C</w:t>
      </w:r>
      <w:r w:rsidRPr="008C46E3">
        <w:rPr>
          <w:sz w:val="24"/>
          <w:lang w:val="hr-HR"/>
        </w:rPr>
        <w:t> </w:t>
      </w:r>
      <w:r w:rsidRPr="00F73A03">
        <w:rPr>
          <w:sz w:val="24"/>
          <w:lang w:val="hr-HR"/>
        </w:rPr>
        <w:t>290</w:t>
      </w:r>
      <w:r w:rsidRPr="008C46E3">
        <w:rPr>
          <w:sz w:val="24"/>
          <w:lang w:val="hr-HR"/>
        </w:rPr>
        <w:t xml:space="preserve">, </w:t>
      </w:r>
      <w:r w:rsidRPr="00F73A03">
        <w:rPr>
          <w:sz w:val="24"/>
          <w:lang w:val="hr-HR"/>
        </w:rPr>
        <w:t>18</w:t>
      </w:r>
      <w:r w:rsidRPr="008C46E3">
        <w:rPr>
          <w:sz w:val="24"/>
          <w:lang w:val="hr-HR"/>
        </w:rPr>
        <w:t>.</w:t>
      </w:r>
      <w:r w:rsidRPr="00F73A03">
        <w:rPr>
          <w:sz w:val="24"/>
          <w:lang w:val="hr-HR"/>
        </w:rPr>
        <w:t>8</w:t>
      </w:r>
      <w:r w:rsidRPr="008C46E3">
        <w:rPr>
          <w:sz w:val="24"/>
          <w:lang w:val="hr-HR"/>
        </w:rPr>
        <w:t>.</w:t>
      </w:r>
      <w:r w:rsidRPr="00F73A03">
        <w:rPr>
          <w:sz w:val="24"/>
          <w:lang w:val="hr-HR"/>
        </w:rPr>
        <w:t>2023</w:t>
      </w:r>
      <w:r w:rsidRPr="008C46E3">
        <w:rPr>
          <w:sz w:val="24"/>
          <w:lang w:val="hr-HR"/>
        </w:rPr>
        <w:t>., str. </w:t>
      </w:r>
      <w:r w:rsidRPr="00F73A03">
        <w:rPr>
          <w:sz w:val="24"/>
          <w:lang w:val="hr-HR"/>
        </w:rPr>
        <w:t>17</w:t>
      </w:r>
      <w:r w:rsidRPr="008C46E3">
        <w:rPr>
          <w:sz w:val="24"/>
          <w:lang w:val="hr-HR"/>
        </w:rPr>
        <w:t>.</w:t>
      </w:r>
    </w:p>
  </w:footnote>
  <w:footnote w:id="2">
    <w:p w:rsidR="004C07EA" w:rsidRPr="008C46E3" w:rsidRDefault="004C07EA" w:rsidP="008C46E3">
      <w:pPr>
        <w:pStyle w:val="FootnoteText"/>
        <w:ind w:left="567" w:hanging="567"/>
        <w:rPr>
          <w:sz w:val="24"/>
          <w:lang w:val="hr-HR"/>
        </w:rPr>
      </w:pPr>
      <w:r w:rsidRPr="008C46E3">
        <w:rPr>
          <w:rStyle w:val="FootnoteReference"/>
          <w:sz w:val="24"/>
          <w:lang w:val="hr-HR"/>
        </w:rPr>
        <w:footnoteRef/>
      </w:r>
      <w:r w:rsidR="008C46E3" w:rsidRPr="008C46E3">
        <w:rPr>
          <w:sz w:val="24"/>
          <w:lang w:val="hr-HR"/>
        </w:rPr>
        <w:t xml:space="preserve"> </w:t>
      </w:r>
      <w:r w:rsidR="008C46E3" w:rsidRPr="008C46E3">
        <w:rPr>
          <w:sz w:val="24"/>
          <w:lang w:val="hr-HR"/>
        </w:rPr>
        <w:tab/>
      </w:r>
      <w:r w:rsidRPr="008C46E3">
        <w:rPr>
          <w:sz w:val="24"/>
          <w:lang w:val="hr-HR"/>
        </w:rPr>
        <w:t>Još nije objavljeno u Službenom listu.</w:t>
      </w:r>
    </w:p>
  </w:footnote>
  <w:footnote w:id="3">
    <w:p w:rsidR="004C07EA" w:rsidRPr="008C46E3" w:rsidRDefault="004C07EA" w:rsidP="008C46E3">
      <w:pPr>
        <w:pStyle w:val="FootnoteText"/>
        <w:ind w:left="567" w:hanging="567"/>
        <w:rPr>
          <w:sz w:val="24"/>
          <w:lang w:val="hr-HR"/>
        </w:rPr>
      </w:pPr>
      <w:r w:rsidRPr="008C46E3">
        <w:rPr>
          <w:rStyle w:val="FootnoteReference"/>
          <w:sz w:val="24"/>
          <w:lang w:val="hr-HR"/>
        </w:rPr>
        <w:footnoteRef/>
      </w:r>
      <w:r w:rsidR="008C46E3" w:rsidRPr="008C46E3">
        <w:rPr>
          <w:sz w:val="24"/>
          <w:lang w:val="hr-HR"/>
        </w:rPr>
        <w:t xml:space="preserve"> </w:t>
      </w:r>
      <w:r w:rsidR="008C46E3" w:rsidRPr="008C46E3">
        <w:rPr>
          <w:sz w:val="24"/>
          <w:lang w:val="hr-HR"/>
        </w:rPr>
        <w:tab/>
      </w:r>
      <w:r w:rsidR="004B0ED5" w:rsidRPr="004B0ED5">
        <w:rPr>
          <w:sz w:val="24"/>
          <w:szCs w:val="24"/>
          <w:lang w:val="fi-FI"/>
        </w:rPr>
        <w:t>SL C, C/</w:t>
      </w:r>
      <w:r w:rsidR="004B0ED5" w:rsidRPr="00F73A03">
        <w:rPr>
          <w:sz w:val="24"/>
          <w:szCs w:val="24"/>
          <w:lang w:val="fi-FI"/>
        </w:rPr>
        <w:t>2023</w:t>
      </w:r>
      <w:r w:rsidR="004B0ED5" w:rsidRPr="004B0ED5">
        <w:rPr>
          <w:sz w:val="24"/>
          <w:szCs w:val="24"/>
          <w:lang w:val="fi-FI"/>
        </w:rPr>
        <w:t>/</w:t>
      </w:r>
      <w:r w:rsidR="004B0ED5" w:rsidRPr="00F73A03">
        <w:rPr>
          <w:sz w:val="24"/>
          <w:szCs w:val="24"/>
          <w:lang w:val="fi-FI"/>
        </w:rPr>
        <w:t>1329</w:t>
      </w:r>
      <w:r w:rsidR="004B0ED5" w:rsidRPr="004B0ED5">
        <w:rPr>
          <w:sz w:val="24"/>
          <w:szCs w:val="24"/>
          <w:lang w:val="fi-FI"/>
        </w:rPr>
        <w:t xml:space="preserve">, </w:t>
      </w:r>
      <w:r w:rsidR="004B0ED5" w:rsidRPr="00F73A03">
        <w:rPr>
          <w:sz w:val="24"/>
          <w:szCs w:val="24"/>
          <w:lang w:val="fi-FI"/>
        </w:rPr>
        <w:t>22</w:t>
      </w:r>
      <w:r w:rsidR="004B0ED5" w:rsidRPr="004B0ED5">
        <w:rPr>
          <w:sz w:val="24"/>
          <w:szCs w:val="24"/>
          <w:lang w:val="fi-FI"/>
        </w:rPr>
        <w:t>.</w:t>
      </w:r>
      <w:r w:rsidR="004B0ED5" w:rsidRPr="00F73A03">
        <w:rPr>
          <w:sz w:val="24"/>
          <w:szCs w:val="24"/>
          <w:lang w:val="fi-FI"/>
        </w:rPr>
        <w:t>12</w:t>
      </w:r>
      <w:r w:rsidR="004B0ED5" w:rsidRPr="004B0ED5">
        <w:rPr>
          <w:sz w:val="24"/>
          <w:szCs w:val="24"/>
          <w:lang w:val="fi-FI"/>
        </w:rPr>
        <w:t>.</w:t>
      </w:r>
      <w:r w:rsidR="004B0ED5" w:rsidRPr="00F73A03">
        <w:rPr>
          <w:sz w:val="24"/>
          <w:szCs w:val="24"/>
          <w:lang w:val="fi-FI"/>
        </w:rPr>
        <w:t>2023</w:t>
      </w:r>
      <w:r w:rsidR="004B0ED5" w:rsidRPr="004B0ED5">
        <w:rPr>
          <w:sz w:val="24"/>
          <w:szCs w:val="24"/>
          <w:lang w:val="fi-FI"/>
        </w:rPr>
        <w:t>., ELI:</w:t>
      </w:r>
      <w:r w:rsidR="004B0ED5" w:rsidRPr="004B0ED5">
        <w:rPr>
          <w:sz w:val="24"/>
          <w:szCs w:val="24"/>
          <w:lang w:val="fi-FI" w:eastAsia="en-GB"/>
        </w:rPr>
        <w:t xml:space="preserve"> </w:t>
      </w:r>
      <w:hyperlink r:id="rId1" w:tooltip="Gives access to this document through its ELI URI." w:history="1">
        <w:r w:rsidR="004B0ED5" w:rsidRPr="003A32B6">
          <w:rPr>
            <w:color w:val="337AB7"/>
            <w:sz w:val="24"/>
            <w:szCs w:val="24"/>
            <w:u w:val="single"/>
            <w:shd w:val="clear" w:color="auto" w:fill="FFFFFF"/>
            <w:lang w:val="fi-FI" w:eastAsia="en-GB"/>
          </w:rPr>
          <w:t>http://data.europa.eu/eli/C/</w:t>
        </w:r>
        <w:r w:rsidR="004B0ED5" w:rsidRPr="00F73A03">
          <w:rPr>
            <w:color w:val="337AB7"/>
            <w:sz w:val="24"/>
            <w:szCs w:val="24"/>
            <w:u w:val="single"/>
            <w:shd w:val="clear" w:color="auto" w:fill="FFFFFF"/>
            <w:lang w:val="fi-FI" w:eastAsia="en-GB"/>
          </w:rPr>
          <w:t>2023</w:t>
        </w:r>
        <w:r w:rsidR="004B0ED5" w:rsidRPr="003A32B6">
          <w:rPr>
            <w:color w:val="337AB7"/>
            <w:sz w:val="24"/>
            <w:szCs w:val="24"/>
            <w:u w:val="single"/>
            <w:shd w:val="clear" w:color="auto" w:fill="FFFFFF"/>
            <w:lang w:val="fi-FI" w:eastAsia="en-GB"/>
          </w:rPr>
          <w:t>/</w:t>
        </w:r>
        <w:r w:rsidR="004B0ED5" w:rsidRPr="00F73A03">
          <w:rPr>
            <w:color w:val="337AB7"/>
            <w:sz w:val="24"/>
            <w:szCs w:val="24"/>
            <w:u w:val="single"/>
            <w:shd w:val="clear" w:color="auto" w:fill="FFFFFF"/>
            <w:lang w:val="fi-FI" w:eastAsia="en-GB"/>
          </w:rPr>
          <w:t>1329</w:t>
        </w:r>
        <w:r w:rsidR="004B0ED5" w:rsidRPr="003A32B6">
          <w:rPr>
            <w:color w:val="337AB7"/>
            <w:sz w:val="24"/>
            <w:szCs w:val="24"/>
            <w:u w:val="single"/>
            <w:shd w:val="clear" w:color="auto" w:fill="FFFFFF"/>
            <w:lang w:val="fi-FI" w:eastAsia="en-GB"/>
          </w:rPr>
          <w:t>/oj</w:t>
        </w:r>
      </w:hyperlink>
      <w:r w:rsidRPr="008C46E3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46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46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46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4"/>
  </w:num>
  <w:num w:numId="47">
    <w:abstractNumId w:val="13"/>
  </w:num>
  <w:num w:numId="48">
    <w:abstractNumId w:val="15"/>
    <w:lvlOverride w:ilvl="0">
      <w:startOverride w:val="1"/>
    </w:lvlOverride>
  </w:num>
  <w:num w:numId="49">
    <w:abstractNumId w:val="11"/>
  </w:num>
  <w:num w:numId="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9/2023"/>
    <w:docVar w:name="dvlangue" w:val="HR"/>
    <w:docVar w:name="dvnumam" w:val="46"/>
    <w:docVar w:name="dvpe" w:val="754.668"/>
    <w:docVar w:name="dvrapporteur" w:val="Izvjestiteljice: "/>
    <w:docVar w:name="dvstar" w:val="***I"/>
    <w:docVar w:name="dvtitre" w:val="Zakonodavna rezolucija Europskog parlamenta od .... 2024. o Prijedlogu uredbe Europskog parlamenta i Vijeća o djelotvornoj koordinaciji ekonomskih politika i multilateralnom proračunskom nadzoru i stavljanju izvan snage Uredbe Vijeća (EZ) br. 1466/97(COM(2023)0240 – C9-0150/2023 – 2023/0138(COD))"/>
  </w:docVars>
  <w:rsids>
    <w:rsidRoot w:val="000E6099"/>
    <w:rsid w:val="00002272"/>
    <w:rsid w:val="00064002"/>
    <w:rsid w:val="000677B9"/>
    <w:rsid w:val="000831BA"/>
    <w:rsid w:val="000A42CC"/>
    <w:rsid w:val="000E6099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32B6"/>
    <w:rsid w:val="003E15D4"/>
    <w:rsid w:val="00411CCE"/>
    <w:rsid w:val="0041666E"/>
    <w:rsid w:val="00421060"/>
    <w:rsid w:val="00471C19"/>
    <w:rsid w:val="004867E3"/>
    <w:rsid w:val="00494A28"/>
    <w:rsid w:val="004B0ED5"/>
    <w:rsid w:val="004C0004"/>
    <w:rsid w:val="004C07EA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7B1C"/>
    <w:rsid w:val="00786EC0"/>
    <w:rsid w:val="007D1690"/>
    <w:rsid w:val="007E22AD"/>
    <w:rsid w:val="00817416"/>
    <w:rsid w:val="00842779"/>
    <w:rsid w:val="00854B12"/>
    <w:rsid w:val="00865F67"/>
    <w:rsid w:val="00881A7B"/>
    <w:rsid w:val="008840E5"/>
    <w:rsid w:val="00887B3E"/>
    <w:rsid w:val="008C2AC6"/>
    <w:rsid w:val="008C46E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709D"/>
    <w:rsid w:val="00AE0928"/>
    <w:rsid w:val="00AF3B82"/>
    <w:rsid w:val="00B12E95"/>
    <w:rsid w:val="00B22876"/>
    <w:rsid w:val="00B558F0"/>
    <w:rsid w:val="00B82EE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A0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5A68D7"/>
  <w15:chartTrackingRefBased/>
  <w15:docId w15:val="{40EDAF83-7625-4D5D-9C5F-F0961F11F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7" w:uiPriority="39"/>
    <w:lsdException w:name="toc 9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C07E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C07E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4C07E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C07E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C07E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C07EA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4C07EA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4C07EA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4C07EA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4C07E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C07E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C07E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C07EA"/>
    <w:pPr>
      <w:spacing w:after="120"/>
    </w:pPr>
  </w:style>
  <w:style w:type="paragraph" w:customStyle="1" w:styleId="PageHeading">
    <w:name w:val="PageHeading"/>
    <w:basedOn w:val="Normal"/>
    <w:rsid w:val="004C07E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C07EA"/>
    <w:rPr>
      <w:b/>
    </w:rPr>
  </w:style>
  <w:style w:type="paragraph" w:customStyle="1" w:styleId="NormalBold12a">
    <w:name w:val="NormalBold12a"/>
    <w:basedOn w:val="Normal"/>
    <w:rsid w:val="004C07EA"/>
    <w:pPr>
      <w:spacing w:after="240"/>
    </w:pPr>
    <w:rPr>
      <w:b/>
    </w:rPr>
  </w:style>
  <w:style w:type="paragraph" w:customStyle="1" w:styleId="AmJustText">
    <w:name w:val="AmJustText"/>
    <w:basedOn w:val="Normal"/>
    <w:rsid w:val="004C07E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C07E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C07EA"/>
    <w:pPr>
      <w:spacing w:after="480"/>
      <w:ind w:left="1417"/>
    </w:pPr>
  </w:style>
  <w:style w:type="paragraph" w:customStyle="1" w:styleId="CoverNormal">
    <w:name w:val="CoverNormal"/>
    <w:basedOn w:val="Normal"/>
    <w:rsid w:val="004C07EA"/>
    <w:pPr>
      <w:ind w:left="1418"/>
    </w:pPr>
  </w:style>
  <w:style w:type="paragraph" w:customStyle="1" w:styleId="AmCrossRef">
    <w:name w:val="AmCrossRef"/>
    <w:basedOn w:val="Normal"/>
    <w:rsid w:val="004C07E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C07E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C07E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C07E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C07E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C07EA"/>
    <w:pPr>
      <w:spacing w:before="240" w:after="1200"/>
    </w:pPr>
  </w:style>
  <w:style w:type="paragraph" w:styleId="Header">
    <w:name w:val="header"/>
    <w:basedOn w:val="Normal"/>
    <w:link w:val="HeaderChar"/>
    <w:rsid w:val="004C07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C07EA"/>
    <w:rPr>
      <w:sz w:val="24"/>
      <w:lang w:val="hr-HR"/>
    </w:rPr>
  </w:style>
  <w:style w:type="paragraph" w:customStyle="1" w:styleId="AmOrLang">
    <w:name w:val="AmOrLang"/>
    <w:basedOn w:val="Normal"/>
    <w:rsid w:val="004C07E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C07E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C07E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7EA"/>
    <w:pPr>
      <w:spacing w:before="240"/>
    </w:pPr>
    <w:rPr>
      <w:b/>
    </w:rPr>
  </w:style>
  <w:style w:type="paragraph" w:customStyle="1" w:styleId="EPBody">
    <w:name w:val="EPBody"/>
    <w:basedOn w:val="Normal"/>
    <w:rsid w:val="004C07E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C07E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C07EA"/>
    <w:pPr>
      <w:spacing w:before="480" w:after="240"/>
    </w:pPr>
  </w:style>
  <w:style w:type="paragraph" w:customStyle="1" w:styleId="Lgendesigne">
    <w:name w:val="Légende signe"/>
    <w:basedOn w:val="Normal"/>
    <w:rsid w:val="004C07E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C07E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C07EA"/>
    <w:rPr>
      <w:sz w:val="18"/>
    </w:rPr>
  </w:style>
  <w:style w:type="paragraph" w:customStyle="1" w:styleId="msonormal0">
    <w:name w:val="msonormal"/>
    <w:basedOn w:val="Normal"/>
    <w:rsid w:val="004C07EA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4C07EA"/>
    <w:rPr>
      <w:noProof/>
      <w:sz w:val="24"/>
    </w:rPr>
  </w:style>
  <w:style w:type="paragraph" w:customStyle="1" w:styleId="Normal12">
    <w:name w:val="Normal12"/>
    <w:basedOn w:val="Normal"/>
    <w:link w:val="Normal12Char"/>
    <w:rsid w:val="004C07E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4C07E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C07E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C07E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C07E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C07EA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4C07EA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4C07E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C07EA"/>
    <w:rPr>
      <w:b/>
      <w:sz w:val="24"/>
      <w:lang w:val="hr-HR"/>
    </w:rPr>
  </w:style>
  <w:style w:type="paragraph" w:customStyle="1" w:styleId="Normal12Italic">
    <w:name w:val="Normal12Italic"/>
    <w:basedOn w:val="Normal12"/>
    <w:rsid w:val="004C07EA"/>
    <w:rPr>
      <w:i/>
    </w:rPr>
  </w:style>
  <w:style w:type="paragraph" w:customStyle="1" w:styleId="JustificationTitle">
    <w:name w:val="JustificationTitle"/>
    <w:basedOn w:val="Normal"/>
    <w:next w:val="Normal12"/>
    <w:rsid w:val="004C07E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4C07E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4C07E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C07E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4C07EA"/>
    <w:pPr>
      <w:spacing w:before="240"/>
      <w:jc w:val="center"/>
    </w:pPr>
    <w:rPr>
      <w:i/>
    </w:rPr>
  </w:style>
  <w:style w:type="character" w:customStyle="1" w:styleId="Footer2Middle">
    <w:name w:val="Footer2Middle"/>
    <w:rsid w:val="004C07E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4C07EA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4C0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C07EA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rsid w:val="004C07E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07E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C07EA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C07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C07EA"/>
    <w:rPr>
      <w:b/>
      <w:bCs/>
      <w:lang w:val="hr-HR"/>
    </w:rPr>
  </w:style>
  <w:style w:type="paragraph" w:styleId="Revision">
    <w:name w:val="Revision"/>
    <w:hidden/>
    <w:uiPriority w:val="99"/>
    <w:semiHidden/>
    <w:rsid w:val="004C07EA"/>
    <w:rPr>
      <w:sz w:val="24"/>
      <w:lang w:val="hr-HR"/>
    </w:rPr>
  </w:style>
  <w:style w:type="paragraph" w:customStyle="1" w:styleId="NormalCenter12a">
    <w:name w:val="NormalCenter12a"/>
    <w:basedOn w:val="Normal"/>
    <w:rsid w:val="004C07EA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4C07EA"/>
    <w:pPr>
      <w:spacing w:before="720" w:after="240"/>
      <w:jc w:val="center"/>
    </w:pPr>
  </w:style>
  <w:style w:type="paragraph" w:customStyle="1" w:styleId="Normal24a">
    <w:name w:val="Normal24a"/>
    <w:basedOn w:val="Normal"/>
    <w:rsid w:val="004C07EA"/>
    <w:pPr>
      <w:spacing w:after="480"/>
    </w:pPr>
  </w:style>
  <w:style w:type="paragraph" w:customStyle="1" w:styleId="NormalBoldCenter">
    <w:name w:val="NormalBoldCenter"/>
    <w:basedOn w:val="Normal"/>
    <w:rsid w:val="004C07EA"/>
    <w:pPr>
      <w:jc w:val="center"/>
    </w:pPr>
    <w:rPr>
      <w:b/>
    </w:rPr>
  </w:style>
  <w:style w:type="paragraph" w:customStyle="1" w:styleId="norm">
    <w:name w:val="norm"/>
    <w:basedOn w:val="Normal"/>
    <w:rsid w:val="004C07EA"/>
    <w:pPr>
      <w:widowControl/>
      <w:spacing w:before="100" w:beforeAutospacing="1" w:after="100" w:afterAutospacing="1"/>
    </w:pPr>
    <w:rPr>
      <w:szCs w:val="24"/>
    </w:rPr>
  </w:style>
  <w:style w:type="paragraph" w:customStyle="1" w:styleId="Point0">
    <w:name w:val="Point 0"/>
    <w:basedOn w:val="Normal"/>
    <w:rsid w:val="004C07E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4C07E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rsid w:val="004C07EA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4C07EA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4C07EA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4C07EA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4C07EA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4C07EA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4C07EA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4C07EA"/>
    <w:pPr>
      <w:widowControl/>
      <w:numPr>
        <w:ilvl w:val="7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4C07EA"/>
    <w:pPr>
      <w:widowControl/>
      <w:numPr>
        <w:ilvl w:val="8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C07E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4C07EA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C07E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C07E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C07EA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ret0">
    <w:name w:val="Tiret 0"/>
    <w:basedOn w:val="Point0"/>
    <w:rsid w:val="004C07EA"/>
    <w:pPr>
      <w:numPr>
        <w:numId w:val="46"/>
      </w:numPr>
    </w:pPr>
  </w:style>
  <w:style w:type="paragraph" w:customStyle="1" w:styleId="Bullet0">
    <w:name w:val="Bullet 0"/>
    <w:basedOn w:val="Normal"/>
    <w:rsid w:val="004C07EA"/>
    <w:pPr>
      <w:widowControl/>
      <w:numPr>
        <w:numId w:val="4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4C07E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uiPriority w:val="99"/>
    <w:unhideWhenUsed/>
    <w:rsid w:val="004C07EA"/>
    <w:rPr>
      <w:color w:val="0000FF"/>
      <w:u w:val="single"/>
    </w:rPr>
  </w:style>
  <w:style w:type="paragraph" w:customStyle="1" w:styleId="Normal12a">
    <w:name w:val="Normal12a"/>
    <w:basedOn w:val="Normal"/>
    <w:rsid w:val="004C07EA"/>
    <w:pPr>
      <w:spacing w:after="240"/>
    </w:pPr>
  </w:style>
  <w:style w:type="paragraph" w:customStyle="1" w:styleId="PageHeadingNotTOC">
    <w:name w:val="PageHeadingNotTOC"/>
    <w:basedOn w:val="Normal"/>
    <w:rsid w:val="004C07E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C07E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4C07E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C07E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C07E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C07EA"/>
    <w:pPr>
      <w:spacing w:before="120" w:after="120"/>
    </w:pPr>
    <w:rPr>
      <w:snapToGrid w:val="0"/>
      <w:sz w:val="16"/>
      <w:lang w:eastAsia="en-US"/>
    </w:rPr>
  </w:style>
  <w:style w:type="paragraph" w:styleId="EndnoteText">
    <w:name w:val="endnote text"/>
    <w:basedOn w:val="Normal"/>
    <w:link w:val="EndnoteTextChar"/>
    <w:rsid w:val="004C07EA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4C07EA"/>
    <w:rPr>
      <w:lang w:val="hr-HR"/>
    </w:rPr>
  </w:style>
  <w:style w:type="character" w:styleId="EndnoteReference">
    <w:name w:val="endnote reference"/>
    <w:basedOn w:val="DefaultParagraphFont"/>
    <w:rsid w:val="004C07EA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rsid w:val="004C07EA"/>
    <w:pPr>
      <w:spacing w:after="100"/>
      <w:ind w:left="1920"/>
    </w:pPr>
  </w:style>
  <w:style w:type="paragraph" w:customStyle="1" w:styleId="Considrant">
    <w:name w:val="Considérant"/>
    <w:basedOn w:val="Normal"/>
    <w:rsid w:val="004C07EA"/>
    <w:pPr>
      <w:widowControl/>
      <w:numPr>
        <w:numId w:val="4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C07E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4C07EA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C07EA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C07E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4C07E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4C07EA"/>
  </w:style>
  <w:style w:type="character" w:customStyle="1" w:styleId="tabchar">
    <w:name w:val="tabchar"/>
    <w:basedOn w:val="DefaultParagraphFont"/>
    <w:rsid w:val="004C07EA"/>
  </w:style>
  <w:style w:type="character" w:customStyle="1" w:styleId="erpldocument-subtitle-author">
    <w:name w:val="erpl_document-subtitle-author"/>
    <w:basedOn w:val="DefaultParagraphFont"/>
    <w:rsid w:val="004C07EA"/>
  </w:style>
  <w:style w:type="paragraph" w:styleId="TOC7">
    <w:name w:val="toc 7"/>
    <w:basedOn w:val="Normal"/>
    <w:next w:val="Normal"/>
    <w:autoRedefine/>
    <w:uiPriority w:val="39"/>
    <w:rsid w:val="004C07EA"/>
    <w:pPr>
      <w:spacing w:after="100"/>
      <w:ind w:left="1440"/>
    </w:pPr>
  </w:style>
  <w:style w:type="character" w:customStyle="1" w:styleId="FooterChar1">
    <w:name w:val="Footer Char1"/>
    <w:basedOn w:val="DefaultParagraphFont"/>
    <w:rsid w:val="004C07EA"/>
    <w:rPr>
      <w:sz w:val="24"/>
      <w:szCs w:val="24"/>
      <w:lang w:val="hr-HR"/>
    </w:rPr>
  </w:style>
  <w:style w:type="paragraph" w:styleId="Footer">
    <w:name w:val="footer"/>
    <w:basedOn w:val="Normal"/>
    <w:link w:val="FooterChar"/>
    <w:rsid w:val="004C07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C07EA"/>
    <w:rPr>
      <w:sz w:val="24"/>
      <w:lang w:val="hr-HR"/>
    </w:rPr>
  </w:style>
  <w:style w:type="character" w:styleId="FollowedHyperlink">
    <w:name w:val="FollowedHyperlink"/>
    <w:basedOn w:val="DefaultParagraphFont"/>
    <w:uiPriority w:val="99"/>
    <w:unhideWhenUsed/>
    <w:rsid w:val="004C07EA"/>
    <w:rPr>
      <w:color w:val="954F72" w:themeColor="followedHyperlink"/>
      <w:u w:val="single"/>
    </w:rPr>
  </w:style>
  <w:style w:type="paragraph" w:customStyle="1" w:styleId="FootnoteTextForceStyle">
    <w:name w:val="Footnote Text ForceStyle"/>
    <w:rsid w:val="00AD709D"/>
    <w:pPr>
      <w:keepLines/>
      <w:widowControl w:val="0"/>
      <w:ind w:left="850" w:hanging="850"/>
    </w:pPr>
    <w:rPr>
      <w:sz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AF440-E62E-4A1C-97DE-ABE9ECAAB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2024-10-04T09:33:00Z</dcterms:created>
  <dcterms:modified xsi:type="dcterms:W3CDTF">2024-10-04T09:33:00Z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P9_TA(2024)0311_</vt:lpwstr>
  </property>
  <property fmtid="{D5CDD505-2E9C-101B-9397-08002B2CF9AE}" pid="4" name="&lt;Type&gt;">
    <vt:lpwstr>RR</vt:lpwstr>
  </property>
</Properties>
</file>