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00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009E" w:rsidRDefault="0089006B" w:rsidP="0010095E">
            <w:pPr>
              <w:pStyle w:val="EPName"/>
            </w:pPr>
            <w:r w:rsidRPr="005E009E">
              <w:t>Parlamento europeo</w:t>
            </w:r>
          </w:p>
          <w:p w:rsidR="00751A4A" w:rsidRPr="005E00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2422">
              <w:t>2019</w:t>
            </w:r>
            <w:r w:rsidRPr="005E009E">
              <w:t>-</w:t>
            </w:r>
            <w:r w:rsidRPr="008A242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E009E" w:rsidRDefault="00187494" w:rsidP="0010095E">
            <w:pPr>
              <w:pStyle w:val="EPLogo"/>
            </w:pPr>
            <w:r w:rsidRPr="005E00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009E" w:rsidRDefault="00D058B8" w:rsidP="004C5D52">
      <w:pPr>
        <w:pStyle w:val="LineTop"/>
      </w:pPr>
    </w:p>
    <w:p w:rsidR="00680577" w:rsidRPr="005E009E" w:rsidRDefault="0089006B" w:rsidP="00680577">
      <w:pPr>
        <w:pStyle w:val="EPBodyTA1"/>
      </w:pPr>
      <w:r w:rsidRPr="005E009E">
        <w:t>TESTI APPROVATI</w:t>
      </w:r>
    </w:p>
    <w:p w:rsidR="00D058B8" w:rsidRPr="005E009E" w:rsidRDefault="00D058B8" w:rsidP="00D058B8">
      <w:pPr>
        <w:pStyle w:val="LineBottom"/>
      </w:pPr>
    </w:p>
    <w:p w:rsidR="0089006B" w:rsidRPr="005E009E" w:rsidRDefault="0089006B" w:rsidP="0089006B">
      <w:pPr>
        <w:pStyle w:val="ATHeading1"/>
      </w:pPr>
      <w:bookmarkStart w:id="0" w:name="TANumber"/>
      <w:r w:rsidRPr="005E009E">
        <w:t>P</w:t>
      </w:r>
      <w:r w:rsidRPr="008A2422">
        <w:t>9</w:t>
      </w:r>
      <w:r w:rsidRPr="005E009E">
        <w:t>_</w:t>
      </w:r>
      <w:proofErr w:type="gramStart"/>
      <w:r w:rsidRPr="005E009E">
        <w:t>TA(</w:t>
      </w:r>
      <w:proofErr w:type="gramEnd"/>
      <w:r w:rsidRPr="008A2422">
        <w:t>2024</w:t>
      </w:r>
      <w:r w:rsidRPr="005E009E">
        <w:t>)</w:t>
      </w:r>
      <w:r w:rsidRPr="008A2422">
        <w:t>0</w:t>
      </w:r>
      <w:bookmarkEnd w:id="0"/>
      <w:r w:rsidR="005E009E" w:rsidRPr="008A2422">
        <w:t>311</w:t>
      </w:r>
    </w:p>
    <w:p w:rsidR="0089006B" w:rsidRPr="005E009E" w:rsidRDefault="0089006B" w:rsidP="0089006B">
      <w:pPr>
        <w:pStyle w:val="ATHeading2"/>
      </w:pPr>
      <w:bookmarkStart w:id="1" w:name="title"/>
      <w:r w:rsidRPr="005E009E">
        <w:t>Coordinamento efficace delle politiche economiche e sorveglianza di bilancio multilaterale</w:t>
      </w:r>
      <w:bookmarkEnd w:id="1"/>
    </w:p>
    <w:p w:rsidR="0089006B" w:rsidRPr="005E009E" w:rsidRDefault="0089006B" w:rsidP="0089006B">
      <w:pPr>
        <w:rPr>
          <w:i/>
          <w:vanish/>
        </w:rPr>
      </w:pPr>
      <w:r w:rsidRPr="005E009E">
        <w:rPr>
          <w:i/>
        </w:rPr>
        <w:fldChar w:fldCharType="begin"/>
      </w:r>
      <w:r w:rsidRPr="005E009E">
        <w:rPr>
          <w:i/>
        </w:rPr>
        <w:instrText xml:space="preserve"> TC"(</w:instrText>
      </w:r>
      <w:bookmarkStart w:id="2" w:name="DocNumber"/>
      <w:r w:rsidRPr="005E009E">
        <w:rPr>
          <w:i/>
        </w:rPr>
        <w:instrText>A</w:instrText>
      </w:r>
      <w:r w:rsidRPr="008A2422">
        <w:rPr>
          <w:i/>
        </w:rPr>
        <w:instrText>9</w:instrText>
      </w:r>
      <w:r w:rsidRPr="005E009E">
        <w:rPr>
          <w:i/>
        </w:rPr>
        <w:instrText>-</w:instrText>
      </w:r>
      <w:r w:rsidRPr="008A2422">
        <w:rPr>
          <w:i/>
        </w:rPr>
        <w:instrText>0439</w:instrText>
      </w:r>
      <w:r w:rsidRPr="005E009E">
        <w:rPr>
          <w:i/>
        </w:rPr>
        <w:instrText>/</w:instrText>
      </w:r>
      <w:r w:rsidRPr="008A2422">
        <w:rPr>
          <w:i/>
        </w:rPr>
        <w:instrText>2023</w:instrText>
      </w:r>
      <w:bookmarkEnd w:id="2"/>
      <w:r w:rsidRPr="005E009E">
        <w:rPr>
          <w:i/>
        </w:rPr>
        <w:instrText xml:space="preserve"> - Relat</w:instrText>
      </w:r>
      <w:r w:rsidR="00B67C31" w:rsidRPr="005E009E">
        <w:rPr>
          <w:i/>
        </w:rPr>
        <w:instrText>ori</w:instrText>
      </w:r>
      <w:r w:rsidRPr="005E009E">
        <w:rPr>
          <w:i/>
        </w:rPr>
        <w:instrText xml:space="preserve">: </w:instrText>
      </w:r>
      <w:r w:rsidR="00B67C31" w:rsidRPr="005E009E">
        <w:rPr>
          <w:i/>
        </w:rPr>
        <w:instrText xml:space="preserve">Markus </w:instrText>
      </w:r>
      <w:proofErr w:type="spellStart"/>
      <w:r w:rsidR="00B67C31" w:rsidRPr="005E009E">
        <w:rPr>
          <w:i/>
        </w:rPr>
        <w:instrText>Ferber</w:instrText>
      </w:r>
      <w:proofErr w:type="spellEnd"/>
      <w:r w:rsidRPr="005E009E">
        <w:rPr>
          <w:i/>
        </w:rPr>
        <w:instrText xml:space="preserve">, </w:instrText>
      </w:r>
      <w:proofErr w:type="spellStart"/>
      <w:r w:rsidRPr="005E009E">
        <w:rPr>
          <w:i/>
        </w:rPr>
        <w:instrText>Margarida</w:instrText>
      </w:r>
      <w:proofErr w:type="spellEnd"/>
      <w:r w:rsidRPr="005E009E">
        <w:rPr>
          <w:i/>
        </w:rPr>
        <w:instrText xml:space="preserve"> Marques)"\l</w:instrText>
      </w:r>
      <w:r w:rsidRPr="008A2422">
        <w:rPr>
          <w:i/>
        </w:rPr>
        <w:instrText>3</w:instrText>
      </w:r>
      <w:r w:rsidRPr="005E009E">
        <w:rPr>
          <w:i/>
        </w:rPr>
        <w:instrText xml:space="preserve"> \n&gt; \* MERGEFORMAT </w:instrText>
      </w:r>
      <w:r w:rsidRPr="005E009E">
        <w:rPr>
          <w:i/>
        </w:rPr>
        <w:fldChar w:fldCharType="end"/>
      </w:r>
    </w:p>
    <w:p w:rsidR="0089006B" w:rsidRPr="005E009E" w:rsidRDefault="0089006B" w:rsidP="0089006B">
      <w:pPr>
        <w:rPr>
          <w:vanish/>
        </w:rPr>
      </w:pPr>
      <w:bookmarkStart w:id="3" w:name="Commission"/>
      <w:r w:rsidRPr="005E009E">
        <w:rPr>
          <w:vanish/>
        </w:rPr>
        <w:t>Commissione per i problemi economici e monetari</w:t>
      </w:r>
      <w:bookmarkEnd w:id="3"/>
    </w:p>
    <w:p w:rsidR="0089006B" w:rsidRPr="005E009E" w:rsidRDefault="0089006B" w:rsidP="0089006B">
      <w:pPr>
        <w:rPr>
          <w:vanish/>
        </w:rPr>
      </w:pPr>
      <w:bookmarkStart w:id="4" w:name="PE"/>
      <w:r w:rsidRPr="005E009E">
        <w:rPr>
          <w:vanish/>
        </w:rPr>
        <w:t>PE</w:t>
      </w:r>
      <w:r w:rsidRPr="008A2422">
        <w:rPr>
          <w:vanish/>
        </w:rPr>
        <w:t>754</w:t>
      </w:r>
      <w:r w:rsidRPr="005E009E">
        <w:rPr>
          <w:vanish/>
        </w:rPr>
        <w:t>.</w:t>
      </w:r>
      <w:r w:rsidRPr="008A2422">
        <w:rPr>
          <w:vanish/>
        </w:rPr>
        <w:t>668</w:t>
      </w:r>
      <w:bookmarkEnd w:id="4"/>
    </w:p>
    <w:p w:rsidR="0089006B" w:rsidRPr="005E009E" w:rsidRDefault="0089006B" w:rsidP="0089006B">
      <w:pPr>
        <w:pStyle w:val="ATHeading3"/>
      </w:pPr>
      <w:bookmarkStart w:id="5" w:name="Sujet"/>
      <w:r w:rsidRPr="005E009E">
        <w:t xml:space="preserve">Risoluzione legislativa del Parlamento europeo del </w:t>
      </w:r>
      <w:r w:rsidRPr="008A2422">
        <w:t>23</w:t>
      </w:r>
      <w:r w:rsidRPr="005E009E">
        <w:t xml:space="preserve"> aprile </w:t>
      </w:r>
      <w:r w:rsidRPr="008A2422">
        <w:t>2024</w:t>
      </w:r>
      <w:r w:rsidRPr="005E009E">
        <w:t xml:space="preserve"> sulla proposta di regolamento del Parlamento europeo e del Consiglio relativo al coordinamento efficace delle politiche economiche e alla sorveglianza di bilancio multilaterale e che abroga il regolamento (CE) n. </w:t>
      </w:r>
      <w:r w:rsidRPr="008A2422">
        <w:t>1466</w:t>
      </w:r>
      <w:r w:rsidRPr="005E009E">
        <w:t>/</w:t>
      </w:r>
      <w:r w:rsidRPr="008A2422">
        <w:t>97</w:t>
      </w:r>
      <w:r w:rsidRPr="005E009E">
        <w:t xml:space="preserve"> del Consiglio</w:t>
      </w:r>
      <w:bookmarkEnd w:id="5"/>
      <w:r w:rsidRPr="005E009E">
        <w:t xml:space="preserve"> </w:t>
      </w:r>
      <w:bookmarkStart w:id="6" w:name="References"/>
      <w:r w:rsidRPr="005E009E">
        <w:t>(</w:t>
      </w:r>
      <w:proofErr w:type="gramStart"/>
      <w:r w:rsidRPr="005E009E">
        <w:t>COM</w:t>
      </w:r>
      <w:r w:rsidR="00D86293">
        <w:t>(</w:t>
      </w:r>
      <w:proofErr w:type="gramEnd"/>
      <w:r w:rsidRPr="008A2422">
        <w:t>2023</w:t>
      </w:r>
      <w:r w:rsidRPr="005E009E">
        <w:t>)</w:t>
      </w:r>
      <w:r w:rsidRPr="008A2422">
        <w:t>0240</w:t>
      </w:r>
      <w:r w:rsidRPr="005E009E">
        <w:t xml:space="preserve"> – C</w:t>
      </w:r>
      <w:r w:rsidRPr="008A2422">
        <w:t>9</w:t>
      </w:r>
      <w:r w:rsidRPr="005E009E">
        <w:t>-</w:t>
      </w:r>
      <w:r w:rsidRPr="008A2422">
        <w:t>0150</w:t>
      </w:r>
      <w:r w:rsidRPr="005E009E">
        <w:t>/</w:t>
      </w:r>
      <w:r w:rsidRPr="008A2422">
        <w:t>2023</w:t>
      </w:r>
      <w:r w:rsidRPr="005E009E">
        <w:t xml:space="preserve"> – </w:t>
      </w:r>
      <w:r w:rsidRPr="008A2422">
        <w:t>2023</w:t>
      </w:r>
      <w:r w:rsidRPr="005E009E">
        <w:t>/</w:t>
      </w:r>
      <w:r w:rsidRPr="008A2422">
        <w:t>0138</w:t>
      </w:r>
      <w:r w:rsidRPr="005E009E">
        <w:t>(COD))</w:t>
      </w:r>
      <w:bookmarkEnd w:id="6"/>
    </w:p>
    <w:p w:rsidR="00BA0189" w:rsidRPr="005E009E" w:rsidRDefault="00BA0189" w:rsidP="00B67C31">
      <w:pPr>
        <w:pStyle w:val="NormalBold"/>
        <w:spacing w:before="360"/>
      </w:pPr>
      <w:bookmarkStart w:id="7" w:name="TextBodyBegin"/>
      <w:bookmarkEnd w:id="7"/>
      <w:r w:rsidRPr="005E009E">
        <w:t>(Procedura legislativa ordinaria: prima lettura)</w:t>
      </w:r>
    </w:p>
    <w:p w:rsidR="00BA0189" w:rsidRPr="005E009E" w:rsidRDefault="00BA0189" w:rsidP="00BA0189">
      <w:pPr>
        <w:pStyle w:val="EPComma"/>
      </w:pPr>
      <w:r w:rsidRPr="005E009E">
        <w:rPr>
          <w:i/>
        </w:rPr>
        <w:t>Il Parlamento europeo</w:t>
      </w:r>
      <w:r w:rsidRPr="005E009E">
        <w:t>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>vista la proposta della Commissione al Parlamento europeo e al Consiglio (</w:t>
      </w:r>
      <w:proofErr w:type="gramStart"/>
      <w:r w:rsidRPr="005E009E">
        <w:t>COM(</w:t>
      </w:r>
      <w:proofErr w:type="gramEnd"/>
      <w:r w:rsidRPr="008A2422">
        <w:t>2023</w:t>
      </w:r>
      <w:r w:rsidRPr="005E009E">
        <w:t>)</w:t>
      </w:r>
      <w:r w:rsidRPr="008A2422">
        <w:t>0240</w:t>
      </w:r>
      <w:r w:rsidRPr="005E009E">
        <w:t>),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>visti l'articolo </w:t>
      </w:r>
      <w:r w:rsidRPr="008A2422">
        <w:t>294</w:t>
      </w:r>
      <w:r w:rsidRPr="005E009E">
        <w:t>, paragrafo </w:t>
      </w:r>
      <w:r w:rsidRPr="008A2422">
        <w:t>2</w:t>
      </w:r>
      <w:r w:rsidRPr="005E009E">
        <w:t>, e l'articolo </w:t>
      </w:r>
      <w:r w:rsidRPr="008A2422">
        <w:t>121</w:t>
      </w:r>
      <w:r w:rsidRPr="005E009E">
        <w:t>, paragrafo </w:t>
      </w:r>
      <w:r w:rsidRPr="008A2422">
        <w:t>6</w:t>
      </w:r>
      <w:r w:rsidRPr="005E009E">
        <w:t>, del trattato sul funzionamento dell'Unione europea, a norma dei quali la proposta gli è stata presentata dalla Commissione (C</w:t>
      </w:r>
      <w:r w:rsidRPr="008A2422">
        <w:t>9</w:t>
      </w:r>
      <w:r w:rsidRPr="005E009E">
        <w:noBreakHyphen/>
      </w:r>
      <w:r w:rsidRPr="008A2422">
        <w:t>0150</w:t>
      </w:r>
      <w:r w:rsidRPr="005E009E">
        <w:t>/</w:t>
      </w:r>
      <w:r w:rsidRPr="008A2422">
        <w:t>2023</w:t>
      </w:r>
      <w:r w:rsidRPr="005E009E">
        <w:t>),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 xml:space="preserve">visto l'articolo </w:t>
      </w:r>
      <w:r w:rsidRPr="008A2422">
        <w:t>294</w:t>
      </w:r>
      <w:r w:rsidRPr="005E009E">
        <w:t xml:space="preserve">, paragrafo </w:t>
      </w:r>
      <w:r w:rsidRPr="008A2422">
        <w:t>3</w:t>
      </w:r>
      <w:r w:rsidRPr="005E009E">
        <w:t>, del trattato sul funzionamento dell'Unione europea,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 xml:space="preserve">visto il parere della Banca centrale europea del </w:t>
      </w:r>
      <w:r w:rsidRPr="008A2422">
        <w:t>5</w:t>
      </w:r>
      <w:r w:rsidRPr="005E009E">
        <w:t xml:space="preserve"> luglio </w:t>
      </w:r>
      <w:r w:rsidRPr="008A2422">
        <w:t>2023</w:t>
      </w:r>
      <w:r w:rsidRPr="005E009E">
        <w:rPr>
          <w:rStyle w:val="FootnoteReference"/>
        </w:rPr>
        <w:footnoteReference w:id="1"/>
      </w:r>
      <w:r w:rsidRPr="005E009E">
        <w:t>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 xml:space="preserve">visto il parere del Comitato economico e sociale europeo del </w:t>
      </w:r>
      <w:r w:rsidRPr="008A2422">
        <w:t>21</w:t>
      </w:r>
      <w:r w:rsidRPr="005E009E">
        <w:t xml:space="preserve"> settembre </w:t>
      </w:r>
      <w:r w:rsidRPr="008A2422">
        <w:t>2023</w:t>
      </w:r>
      <w:r w:rsidRPr="005E009E">
        <w:rPr>
          <w:rStyle w:val="FootnoteReference"/>
        </w:rPr>
        <w:footnoteReference w:id="2"/>
      </w:r>
      <w:r w:rsidRPr="005E009E">
        <w:t>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 xml:space="preserve">visto il parere del Comitato europeo delle regioni del </w:t>
      </w:r>
      <w:r w:rsidRPr="008A2422">
        <w:t>10</w:t>
      </w:r>
      <w:r w:rsidRPr="005E009E">
        <w:t xml:space="preserve"> ottobre </w:t>
      </w:r>
      <w:r w:rsidRPr="008A2422">
        <w:t>2023</w:t>
      </w:r>
      <w:r w:rsidRPr="005E009E">
        <w:rPr>
          <w:rStyle w:val="FootnoteReference"/>
          <w:szCs w:val="24"/>
        </w:rPr>
        <w:footnoteReference w:id="3"/>
      </w:r>
      <w:r w:rsidRPr="005E009E">
        <w:t>,</w:t>
      </w:r>
    </w:p>
    <w:p w:rsidR="00B67C31" w:rsidRPr="005E009E" w:rsidRDefault="00B67C31" w:rsidP="00BA0189">
      <w:pPr>
        <w:pStyle w:val="NormalHanging12a"/>
      </w:pPr>
      <w:r w:rsidRPr="005E009E">
        <w:t>–</w:t>
      </w:r>
      <w:r w:rsidRPr="005E009E">
        <w:tab/>
        <w:t xml:space="preserve">visti l'accordo provvisorio approvato dalla commissione competente a norma dell'articolo </w:t>
      </w:r>
      <w:r w:rsidRPr="008A2422">
        <w:t>74</w:t>
      </w:r>
      <w:r w:rsidRPr="005E009E">
        <w:t xml:space="preserve">, paragrafo </w:t>
      </w:r>
      <w:r w:rsidRPr="008A2422">
        <w:t>4</w:t>
      </w:r>
      <w:r w:rsidRPr="005E009E">
        <w:t xml:space="preserve">, del regolamento e l'impegno assunto dal rappresentante del Consiglio, con lettera del </w:t>
      </w:r>
      <w:r w:rsidRPr="008A2422">
        <w:t>21</w:t>
      </w:r>
      <w:r w:rsidRPr="005E009E">
        <w:t xml:space="preserve"> febbraio </w:t>
      </w:r>
      <w:r w:rsidRPr="008A2422">
        <w:t>2024</w:t>
      </w:r>
      <w:r w:rsidRPr="005E009E">
        <w:t xml:space="preserve">, di approvare la posizione del Parlamento europeo, in conformità dell'articolo </w:t>
      </w:r>
      <w:r w:rsidRPr="008A2422">
        <w:t>294</w:t>
      </w:r>
      <w:r w:rsidRPr="005E009E">
        <w:t xml:space="preserve">, paragrafo </w:t>
      </w:r>
      <w:r w:rsidRPr="008A2422">
        <w:t>4</w:t>
      </w:r>
      <w:r w:rsidRPr="005E009E">
        <w:t xml:space="preserve">, del trattato sul funzionamento </w:t>
      </w:r>
      <w:r w:rsidRPr="005E009E">
        <w:lastRenderedPageBreak/>
        <w:t>dell'Unione europea,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 xml:space="preserve">visto l'articolo </w:t>
      </w:r>
      <w:r w:rsidRPr="008A2422">
        <w:t>59</w:t>
      </w:r>
      <w:r w:rsidRPr="005E009E">
        <w:t xml:space="preserve"> del suo regolamento,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>visto il parere della commissione per l'occupazione e gli affari sociali,</w:t>
      </w:r>
    </w:p>
    <w:p w:rsidR="00BA0189" w:rsidRPr="005E009E" w:rsidRDefault="00BA0189" w:rsidP="00BA0189">
      <w:pPr>
        <w:pStyle w:val="NormalHanging12a"/>
      </w:pPr>
      <w:r w:rsidRPr="005E009E">
        <w:t>–</w:t>
      </w:r>
      <w:r w:rsidRPr="005E009E">
        <w:tab/>
        <w:t>vista la relazione della commissione per i problemi economici e monetari (A</w:t>
      </w:r>
      <w:r w:rsidRPr="008A2422">
        <w:t>9</w:t>
      </w:r>
      <w:r w:rsidRPr="005E009E">
        <w:noBreakHyphen/>
      </w:r>
      <w:r w:rsidRPr="008A2422">
        <w:t>0439</w:t>
      </w:r>
      <w:r w:rsidRPr="005E009E">
        <w:t>/</w:t>
      </w:r>
      <w:r w:rsidRPr="008A2422">
        <w:t>2023</w:t>
      </w:r>
      <w:r w:rsidRPr="005E009E">
        <w:t>),</w:t>
      </w:r>
    </w:p>
    <w:p w:rsidR="00BA0189" w:rsidRPr="005E009E" w:rsidRDefault="00BA0189" w:rsidP="00BA0189">
      <w:pPr>
        <w:pStyle w:val="NormalHanging12a"/>
      </w:pPr>
      <w:r w:rsidRPr="008A2422">
        <w:t>1</w:t>
      </w:r>
      <w:r w:rsidRPr="005E009E">
        <w:t>.</w:t>
      </w:r>
      <w:r w:rsidRPr="005E009E">
        <w:tab/>
        <w:t>adotta la posizione in prima lettura figurante in appresso;</w:t>
      </w:r>
    </w:p>
    <w:p w:rsidR="00BA0189" w:rsidRPr="005E009E" w:rsidRDefault="00BA0189" w:rsidP="00BA0189">
      <w:pPr>
        <w:pStyle w:val="NormalHanging12a"/>
      </w:pPr>
      <w:r w:rsidRPr="008A2422">
        <w:t>2</w:t>
      </w:r>
      <w:r w:rsidRPr="005E009E">
        <w:t>.</w:t>
      </w:r>
      <w:r w:rsidRPr="005E009E">
        <w:tab/>
        <w:t>chiede alla Commissione di presentargli nuovamente la proposta qualora la sostituisca, la modifichi sostanzialmente o intenda modificarla sostanzialmente;</w:t>
      </w:r>
    </w:p>
    <w:p w:rsidR="00B67C31" w:rsidRPr="005E009E" w:rsidRDefault="00BA0189" w:rsidP="00B67C31">
      <w:pPr>
        <w:pStyle w:val="NormalHanging12a"/>
        <w:sectPr w:rsidR="00B67C31" w:rsidRPr="005E009E" w:rsidSect="005A613A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  <w:r w:rsidRPr="008A2422">
        <w:t>3</w:t>
      </w:r>
      <w:r w:rsidRPr="005E009E">
        <w:t>.</w:t>
      </w:r>
      <w:r w:rsidRPr="005E009E">
        <w:tab/>
        <w:t>incarica la sua Presidente di trasmettere la posizione del Parlamento al Consiglio e alla Commissione nonché ai parlamenti nazionali.</w:t>
      </w:r>
    </w:p>
    <w:p w:rsidR="00B67C31" w:rsidRPr="005E009E" w:rsidRDefault="00B67C31" w:rsidP="00B67C31">
      <w:pPr>
        <w:spacing w:after="240"/>
        <w:rPr>
          <w:b/>
        </w:rPr>
      </w:pPr>
      <w:r w:rsidRPr="005E009E">
        <w:rPr>
          <w:b/>
        </w:rPr>
        <w:lastRenderedPageBreak/>
        <w:t>P</w:t>
      </w:r>
      <w:r w:rsidRPr="008A2422">
        <w:rPr>
          <w:b/>
        </w:rPr>
        <w:t>9</w:t>
      </w:r>
      <w:r w:rsidRPr="005E009E">
        <w:rPr>
          <w:b/>
        </w:rPr>
        <w:t>_TC</w:t>
      </w:r>
      <w:r w:rsidRPr="008A2422">
        <w:rPr>
          <w:b/>
        </w:rPr>
        <w:t>1</w:t>
      </w:r>
      <w:r w:rsidRPr="005E009E">
        <w:rPr>
          <w:b/>
        </w:rPr>
        <w:t>-</w:t>
      </w:r>
      <w:proofErr w:type="gramStart"/>
      <w:r w:rsidRPr="005E009E">
        <w:rPr>
          <w:b/>
        </w:rPr>
        <w:t>COD(</w:t>
      </w:r>
      <w:proofErr w:type="gramEnd"/>
      <w:r w:rsidRPr="008A2422">
        <w:rPr>
          <w:b/>
        </w:rPr>
        <w:t>2023</w:t>
      </w:r>
      <w:r w:rsidRPr="005E009E">
        <w:rPr>
          <w:b/>
        </w:rPr>
        <w:t>)</w:t>
      </w:r>
      <w:r w:rsidRPr="008A2422">
        <w:rPr>
          <w:b/>
        </w:rPr>
        <w:t>0138</w:t>
      </w:r>
    </w:p>
    <w:p w:rsidR="00B67C31" w:rsidRDefault="00B67C31" w:rsidP="00B67C31">
      <w:pPr>
        <w:spacing w:before="120" w:after="360"/>
        <w:rPr>
          <w:rFonts w:eastAsia="Calibri"/>
          <w:b/>
          <w:szCs w:val="22"/>
          <w:lang w:eastAsia="en-US"/>
        </w:rPr>
      </w:pPr>
      <w:r w:rsidRPr="005E009E">
        <w:rPr>
          <w:b/>
        </w:rPr>
        <w:t xml:space="preserve">Posizione del Parlamento europeo definita in prima lettura il </w:t>
      </w:r>
      <w:r w:rsidRPr="008A2422">
        <w:rPr>
          <w:b/>
        </w:rPr>
        <w:t>23</w:t>
      </w:r>
      <w:r w:rsidRPr="005E009E">
        <w:rPr>
          <w:b/>
        </w:rPr>
        <w:t xml:space="preserve"> aprile </w:t>
      </w:r>
      <w:r w:rsidRPr="008A2422">
        <w:rPr>
          <w:b/>
        </w:rPr>
        <w:t>2024</w:t>
      </w:r>
      <w:r w:rsidRPr="005E009E">
        <w:rPr>
          <w:b/>
        </w:rPr>
        <w:t xml:space="preserve"> in vista dell'adozione del regolamento (UE) </w:t>
      </w:r>
      <w:r w:rsidRPr="008A2422">
        <w:rPr>
          <w:b/>
        </w:rPr>
        <w:t>2024</w:t>
      </w:r>
      <w:r w:rsidRPr="005E009E">
        <w:rPr>
          <w:b/>
        </w:rPr>
        <w:t xml:space="preserve">/... del Parlamento europeo e del Consiglio </w:t>
      </w:r>
      <w:r w:rsidRPr="005E009E">
        <w:rPr>
          <w:rFonts w:eastAsia="Calibri"/>
          <w:b/>
          <w:szCs w:val="22"/>
          <w:lang w:eastAsia="en-US"/>
        </w:rPr>
        <w:t>relativo al coordinamento efficace delle politiche economiche e alla sorveglianza di bilancio multilaterale e che abroga il regolamento (CE) n. </w:t>
      </w:r>
      <w:r w:rsidRPr="008A2422">
        <w:rPr>
          <w:rFonts w:eastAsia="Calibri"/>
          <w:b/>
          <w:szCs w:val="22"/>
          <w:lang w:eastAsia="en-US"/>
        </w:rPr>
        <w:t>1466</w:t>
      </w:r>
      <w:r w:rsidRPr="005E009E">
        <w:rPr>
          <w:rFonts w:eastAsia="Calibri"/>
          <w:b/>
          <w:szCs w:val="22"/>
          <w:lang w:eastAsia="en-US"/>
        </w:rPr>
        <w:t>/</w:t>
      </w:r>
      <w:r w:rsidRPr="008A2422">
        <w:rPr>
          <w:rFonts w:eastAsia="Calibri"/>
          <w:b/>
          <w:szCs w:val="22"/>
          <w:lang w:eastAsia="en-US"/>
        </w:rPr>
        <w:t>97</w:t>
      </w:r>
      <w:r w:rsidRPr="005E009E">
        <w:rPr>
          <w:rFonts w:eastAsia="Calibri"/>
          <w:b/>
          <w:szCs w:val="22"/>
          <w:lang w:eastAsia="en-US"/>
        </w:rPr>
        <w:t xml:space="preserve"> del Consiglio</w:t>
      </w:r>
    </w:p>
    <w:p w:rsidR="00137A7C" w:rsidRPr="00CD492A" w:rsidRDefault="00137A7C" w:rsidP="00137A7C">
      <w:r w:rsidRPr="00CD492A">
        <w:rPr>
          <w:i/>
        </w:rPr>
        <w:t>(Dato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1263</w:t>
      </w:r>
      <w:bookmarkStart w:id="8" w:name="_GoBack"/>
      <w:bookmarkEnd w:id="8"/>
      <w:r>
        <w:rPr>
          <w:i/>
        </w:rPr>
        <w:t>.</w:t>
      </w:r>
      <w:r w:rsidRPr="00CD492A">
        <w:rPr>
          <w:i/>
        </w:rPr>
        <w:t>)</w:t>
      </w:r>
    </w:p>
    <w:p w:rsidR="00137A7C" w:rsidRPr="005E009E" w:rsidRDefault="00137A7C" w:rsidP="00B67C31">
      <w:pPr>
        <w:spacing w:before="120" w:after="360"/>
        <w:rPr>
          <w:rFonts w:eastAsia="Calibri"/>
          <w:b/>
          <w:szCs w:val="22"/>
          <w:lang w:eastAsia="en-US"/>
        </w:rPr>
      </w:pPr>
    </w:p>
    <w:sectPr w:rsidR="00137A7C" w:rsidRPr="005E009E" w:rsidSect="00B67C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688" w:rsidRPr="005A613A" w:rsidRDefault="00985688">
      <w:r w:rsidRPr="005A613A">
        <w:separator/>
      </w:r>
    </w:p>
  </w:endnote>
  <w:endnote w:type="continuationSeparator" w:id="0">
    <w:p w:rsidR="00985688" w:rsidRPr="005A613A" w:rsidRDefault="00985688">
      <w:r w:rsidRPr="005A61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 w:rsidP="00985688">
    <w:pPr>
      <w:pStyle w:val="EPFooter"/>
    </w:pPr>
    <w:r w:rsidRPr="005A613A">
      <w:t>PE</w:t>
    </w:r>
    <w:r w:rsidRPr="005A613A">
      <w:rPr>
        <w:rStyle w:val="HideTWBExt"/>
      </w:rPr>
      <w:t>&lt;</w:t>
    </w:r>
    <w:proofErr w:type="spellStart"/>
    <w:r w:rsidRPr="005A613A">
      <w:rPr>
        <w:rStyle w:val="HideTWBExt"/>
      </w:rPr>
      <w:t>NoPE</w:t>
    </w:r>
    <w:proofErr w:type="spellEnd"/>
    <w:r w:rsidRPr="005A613A">
      <w:rPr>
        <w:rStyle w:val="HideTWBExt"/>
      </w:rPr>
      <w:t>&gt;</w:t>
    </w:r>
    <w:r w:rsidRPr="005A613A">
      <w:t>754.668</w:t>
    </w:r>
    <w:r w:rsidRPr="005A613A">
      <w:rPr>
        <w:rStyle w:val="HideTWBExt"/>
      </w:rPr>
      <w:t>&lt;/</w:t>
    </w:r>
    <w:proofErr w:type="spellStart"/>
    <w:r w:rsidRPr="005A613A">
      <w:rPr>
        <w:rStyle w:val="HideTWBExt"/>
      </w:rPr>
      <w:t>NoPE</w:t>
    </w:r>
    <w:proofErr w:type="spellEnd"/>
    <w:r w:rsidRPr="005A613A">
      <w:rPr>
        <w:rStyle w:val="HideTWBExt"/>
      </w:rPr>
      <w:t>&gt;&lt;Version&gt;</w:t>
    </w:r>
    <w:r w:rsidRPr="005A613A">
      <w:t>v02-00</w:t>
    </w:r>
    <w:r w:rsidRPr="005A613A">
      <w:rPr>
        <w:rStyle w:val="HideTWBExt"/>
      </w:rPr>
      <w:t>&lt;/Version&gt;</w:t>
    </w:r>
    <w:r w:rsidRPr="005A613A">
      <w:tab/>
    </w:r>
    <w:r w:rsidRPr="005A613A">
      <w:fldChar w:fldCharType="begin"/>
    </w:r>
    <w:r w:rsidRPr="005A613A">
      <w:instrText xml:space="preserve"> PAGE  \* MERGEFORMAT </w:instrText>
    </w:r>
    <w:r w:rsidRPr="005A613A">
      <w:fldChar w:fldCharType="separate"/>
    </w:r>
    <w:r w:rsidRPr="005A613A">
      <w:rPr>
        <w:noProof/>
      </w:rPr>
      <w:t>74</w:t>
    </w:r>
    <w:r w:rsidRPr="005A613A">
      <w:fldChar w:fldCharType="end"/>
    </w:r>
    <w:r w:rsidRPr="005A613A">
      <w:t>/</w:t>
    </w:r>
    <w:fldSimple w:instr=" NUMPAGES  \* MERGEFORMAT ">
      <w:r w:rsidRPr="005A613A">
        <w:rPr>
          <w:noProof/>
        </w:rPr>
        <w:t>74</w:t>
      </w:r>
    </w:fldSimple>
    <w:r w:rsidRPr="005A613A">
      <w:tab/>
    </w:r>
    <w:r w:rsidRPr="005A613A">
      <w:rPr>
        <w:rStyle w:val="HideTWBExt"/>
      </w:rPr>
      <w:t>&lt;PathFdR&gt;</w:t>
    </w:r>
    <w:r w:rsidRPr="005A613A">
      <w:t>RR\1293106IT.docx</w:t>
    </w:r>
    <w:r w:rsidRPr="005A613A">
      <w:rPr>
        <w:rStyle w:val="HideTWBExt"/>
      </w:rPr>
      <w:t>&lt;/</w:t>
    </w:r>
    <w:proofErr w:type="spellStart"/>
    <w:r w:rsidRPr="005A613A">
      <w:rPr>
        <w:rStyle w:val="HideTWBExt"/>
      </w:rPr>
      <w:t>PathFdR</w:t>
    </w:r>
    <w:proofErr w:type="spellEnd"/>
    <w:r w:rsidRPr="005A613A">
      <w:rPr>
        <w:rStyle w:val="HideTWBExt"/>
      </w:rPr>
      <w:t>&gt;</w:t>
    </w:r>
  </w:p>
  <w:p w:rsidR="00985688" w:rsidRPr="005A613A" w:rsidRDefault="00985688" w:rsidP="00985688">
    <w:pPr>
      <w:pStyle w:val="EPFooter2"/>
    </w:pPr>
    <w:r w:rsidRPr="005A613A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 w:rsidP="00985688">
    <w:pPr>
      <w:pStyle w:val="EPFooter"/>
    </w:pPr>
    <w:r w:rsidRPr="005A613A">
      <w:rPr>
        <w:rStyle w:val="HideTWBExt"/>
      </w:rPr>
      <w:t>&lt;PathFdR&gt;</w:t>
    </w:r>
    <w:r w:rsidRPr="005A613A">
      <w:t>RR\1293106IT.docx</w:t>
    </w:r>
    <w:r w:rsidRPr="005A613A">
      <w:rPr>
        <w:rStyle w:val="HideTWBExt"/>
      </w:rPr>
      <w:t>&lt;/</w:t>
    </w:r>
    <w:proofErr w:type="spellStart"/>
    <w:r w:rsidRPr="005A613A">
      <w:rPr>
        <w:rStyle w:val="HideTWBExt"/>
      </w:rPr>
      <w:t>PathFdR</w:t>
    </w:r>
    <w:proofErr w:type="spellEnd"/>
    <w:r w:rsidRPr="005A613A">
      <w:rPr>
        <w:rStyle w:val="HideTWBExt"/>
      </w:rPr>
      <w:t>&gt;</w:t>
    </w:r>
    <w:r w:rsidRPr="005A613A">
      <w:tab/>
    </w:r>
    <w:r w:rsidRPr="005A613A">
      <w:tab/>
      <w:t>PE</w:t>
    </w:r>
    <w:r w:rsidRPr="005A613A">
      <w:rPr>
        <w:rStyle w:val="HideTWBExt"/>
      </w:rPr>
      <w:t>&lt;</w:t>
    </w:r>
    <w:proofErr w:type="spellStart"/>
    <w:r w:rsidRPr="005A613A">
      <w:rPr>
        <w:rStyle w:val="HideTWBExt"/>
      </w:rPr>
      <w:t>NoPE</w:t>
    </w:r>
    <w:proofErr w:type="spellEnd"/>
    <w:r w:rsidRPr="005A613A">
      <w:rPr>
        <w:rStyle w:val="HideTWBExt"/>
      </w:rPr>
      <w:t>&gt;</w:t>
    </w:r>
    <w:r w:rsidRPr="005A613A">
      <w:t>754.668</w:t>
    </w:r>
    <w:r w:rsidRPr="005A613A">
      <w:rPr>
        <w:rStyle w:val="HideTWBExt"/>
      </w:rPr>
      <w:t>&lt;/</w:t>
    </w:r>
    <w:proofErr w:type="spellStart"/>
    <w:r w:rsidRPr="005A613A">
      <w:rPr>
        <w:rStyle w:val="HideTWBExt"/>
      </w:rPr>
      <w:t>NoPE</w:t>
    </w:r>
    <w:proofErr w:type="spellEnd"/>
    <w:r w:rsidRPr="005A613A">
      <w:rPr>
        <w:rStyle w:val="HideTWBExt"/>
      </w:rPr>
      <w:t>&gt;&lt;Version&gt;</w:t>
    </w:r>
    <w:r w:rsidRPr="005A613A">
      <w:t>v02-00</w:t>
    </w:r>
    <w:r w:rsidRPr="005A613A">
      <w:rPr>
        <w:rStyle w:val="HideTWBExt"/>
      </w:rPr>
      <w:t>&lt;/Version&gt;</w:t>
    </w:r>
  </w:p>
  <w:p w:rsidR="00985688" w:rsidRPr="005A613A" w:rsidRDefault="00985688" w:rsidP="00985688">
    <w:pPr>
      <w:pStyle w:val="EPFooter2"/>
    </w:pPr>
    <w:r w:rsidRPr="005A613A">
      <w:t>IT</w:t>
    </w:r>
    <w:r w:rsidRPr="005A613A">
      <w:tab/>
    </w:r>
    <w:proofErr w:type="spellStart"/>
    <w:r w:rsidRPr="005A613A">
      <w:rPr>
        <w:b w:val="0"/>
        <w:i/>
        <w:color w:val="C0C0C0"/>
        <w:sz w:val="22"/>
      </w:rPr>
      <w:t>Unita</w:t>
    </w:r>
    <w:proofErr w:type="spellEnd"/>
    <w:r w:rsidRPr="005A613A">
      <w:rPr>
        <w:b w:val="0"/>
        <w:i/>
        <w:color w:val="C0C0C0"/>
        <w:sz w:val="22"/>
      </w:rPr>
      <w:t xml:space="preserve"> nella diversità</w:t>
    </w:r>
    <w:r w:rsidRPr="005A613A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688" w:rsidRPr="005A613A" w:rsidRDefault="00985688">
      <w:r w:rsidRPr="005A613A">
        <w:separator/>
      </w:r>
    </w:p>
  </w:footnote>
  <w:footnote w:type="continuationSeparator" w:id="0">
    <w:p w:rsidR="00985688" w:rsidRPr="005A613A" w:rsidRDefault="00985688">
      <w:r w:rsidRPr="005A613A">
        <w:continuationSeparator/>
      </w:r>
    </w:p>
  </w:footnote>
  <w:footnote w:id="1">
    <w:p w:rsidR="00985688" w:rsidRPr="00B67C31" w:rsidRDefault="00985688" w:rsidP="005A613A">
      <w:pPr>
        <w:pStyle w:val="FootnoteText"/>
        <w:ind w:left="567" w:hanging="567"/>
        <w:rPr>
          <w:sz w:val="24"/>
          <w:szCs w:val="24"/>
          <w:lang w:val="it-IT"/>
        </w:rPr>
      </w:pPr>
      <w:r w:rsidRPr="00B67C31">
        <w:rPr>
          <w:rStyle w:val="FootnoteReference"/>
          <w:sz w:val="24"/>
          <w:szCs w:val="24"/>
          <w:lang w:val="it-IT"/>
        </w:rPr>
        <w:footnoteRef/>
      </w:r>
      <w:r w:rsidRPr="00B67C31">
        <w:rPr>
          <w:sz w:val="24"/>
          <w:szCs w:val="24"/>
          <w:lang w:val="it-IT"/>
        </w:rPr>
        <w:t xml:space="preserve"> </w:t>
      </w:r>
      <w:r w:rsidRPr="00B67C31">
        <w:rPr>
          <w:sz w:val="24"/>
          <w:szCs w:val="24"/>
          <w:lang w:val="it-IT"/>
        </w:rPr>
        <w:tab/>
        <w:t xml:space="preserve">GU C </w:t>
      </w:r>
      <w:r w:rsidRPr="008A2422">
        <w:rPr>
          <w:sz w:val="24"/>
          <w:szCs w:val="24"/>
          <w:lang w:val="it-IT"/>
        </w:rPr>
        <w:t>290</w:t>
      </w:r>
      <w:r w:rsidRPr="00B67C31">
        <w:rPr>
          <w:sz w:val="24"/>
          <w:szCs w:val="24"/>
          <w:lang w:val="it-IT"/>
        </w:rPr>
        <w:t xml:space="preserve"> del </w:t>
      </w:r>
      <w:r w:rsidRPr="008A2422">
        <w:rPr>
          <w:sz w:val="24"/>
          <w:szCs w:val="24"/>
          <w:lang w:val="it-IT"/>
        </w:rPr>
        <w:t>18</w:t>
      </w:r>
      <w:r w:rsidRPr="00B67C31">
        <w:rPr>
          <w:sz w:val="24"/>
          <w:szCs w:val="24"/>
          <w:lang w:val="it-IT"/>
        </w:rPr>
        <w:t>.</w:t>
      </w:r>
      <w:r w:rsidRPr="008A2422">
        <w:rPr>
          <w:sz w:val="24"/>
          <w:szCs w:val="24"/>
          <w:lang w:val="it-IT"/>
        </w:rPr>
        <w:t>8</w:t>
      </w:r>
      <w:r w:rsidRPr="00B67C31">
        <w:rPr>
          <w:sz w:val="24"/>
          <w:szCs w:val="24"/>
          <w:lang w:val="it-IT"/>
        </w:rPr>
        <w:t>.</w:t>
      </w:r>
      <w:r w:rsidRPr="008A2422">
        <w:rPr>
          <w:sz w:val="24"/>
          <w:szCs w:val="24"/>
          <w:lang w:val="it-IT"/>
        </w:rPr>
        <w:t>2023</w:t>
      </w:r>
      <w:r w:rsidRPr="00B67C31">
        <w:rPr>
          <w:sz w:val="24"/>
          <w:szCs w:val="24"/>
          <w:lang w:val="it-IT"/>
        </w:rPr>
        <w:t>, pag. </w:t>
      </w:r>
      <w:r w:rsidRPr="008A2422">
        <w:rPr>
          <w:sz w:val="24"/>
          <w:szCs w:val="24"/>
          <w:lang w:val="it-IT"/>
        </w:rPr>
        <w:t>17</w:t>
      </w:r>
      <w:r w:rsidRPr="00B67C31">
        <w:rPr>
          <w:sz w:val="24"/>
          <w:szCs w:val="24"/>
          <w:lang w:val="it-IT"/>
        </w:rPr>
        <w:t>.</w:t>
      </w:r>
    </w:p>
  </w:footnote>
  <w:footnote w:id="2">
    <w:p w:rsidR="00985688" w:rsidRPr="00B67C31" w:rsidRDefault="00985688" w:rsidP="005A613A">
      <w:pPr>
        <w:pStyle w:val="FootnoteText"/>
        <w:ind w:left="567" w:hanging="567"/>
        <w:rPr>
          <w:sz w:val="24"/>
          <w:szCs w:val="24"/>
          <w:lang w:val="it-IT"/>
        </w:rPr>
      </w:pPr>
      <w:r w:rsidRPr="00B67C31">
        <w:rPr>
          <w:rStyle w:val="FootnoteReference"/>
          <w:sz w:val="24"/>
          <w:szCs w:val="24"/>
          <w:lang w:val="it-IT"/>
        </w:rPr>
        <w:footnoteRef/>
      </w:r>
      <w:r w:rsidRPr="00B67C31">
        <w:rPr>
          <w:sz w:val="24"/>
          <w:szCs w:val="24"/>
          <w:lang w:val="it-IT"/>
        </w:rPr>
        <w:t xml:space="preserve"> </w:t>
      </w:r>
      <w:r w:rsidRPr="00B67C31">
        <w:rPr>
          <w:sz w:val="24"/>
          <w:szCs w:val="24"/>
          <w:lang w:val="it-IT"/>
        </w:rPr>
        <w:tab/>
        <w:t>Non ancora pubblicato nella Gazzetta ufficiale.</w:t>
      </w:r>
    </w:p>
  </w:footnote>
  <w:footnote w:id="3">
    <w:p w:rsidR="00985688" w:rsidRPr="005E009E" w:rsidRDefault="00985688" w:rsidP="005A613A">
      <w:pPr>
        <w:pStyle w:val="FootnoteText"/>
        <w:ind w:left="567" w:hanging="567"/>
        <w:rPr>
          <w:sz w:val="24"/>
          <w:szCs w:val="24"/>
          <w:lang w:val="fi-FI"/>
        </w:rPr>
      </w:pPr>
      <w:r w:rsidRPr="00B67C31">
        <w:rPr>
          <w:rStyle w:val="FootnoteReference"/>
          <w:sz w:val="24"/>
          <w:szCs w:val="24"/>
          <w:lang w:val="it-IT"/>
        </w:rPr>
        <w:footnoteRef/>
      </w:r>
      <w:r w:rsidRPr="005E009E">
        <w:rPr>
          <w:sz w:val="24"/>
          <w:szCs w:val="24"/>
          <w:lang w:val="fi-FI"/>
        </w:rPr>
        <w:t xml:space="preserve"> </w:t>
      </w:r>
      <w:r w:rsidRPr="005E009E">
        <w:rPr>
          <w:sz w:val="24"/>
          <w:szCs w:val="24"/>
          <w:lang w:val="fi-FI"/>
        </w:rPr>
        <w:tab/>
        <w:t>GU C, C/</w:t>
      </w:r>
      <w:r w:rsidRPr="008A2422">
        <w:rPr>
          <w:sz w:val="24"/>
          <w:szCs w:val="24"/>
          <w:lang w:val="fi-FI"/>
        </w:rPr>
        <w:t>2023</w:t>
      </w:r>
      <w:r w:rsidRPr="005E009E">
        <w:rPr>
          <w:sz w:val="24"/>
          <w:szCs w:val="24"/>
          <w:lang w:val="fi-FI"/>
        </w:rPr>
        <w:t>/</w:t>
      </w:r>
      <w:r w:rsidRPr="008A2422">
        <w:rPr>
          <w:sz w:val="24"/>
          <w:szCs w:val="24"/>
          <w:lang w:val="fi-FI"/>
        </w:rPr>
        <w:t>1329</w:t>
      </w:r>
      <w:r w:rsidRPr="005E009E">
        <w:rPr>
          <w:sz w:val="24"/>
          <w:szCs w:val="24"/>
          <w:lang w:val="fi-FI"/>
        </w:rPr>
        <w:t xml:space="preserve">, </w:t>
      </w:r>
      <w:r w:rsidR="00B67C31" w:rsidRPr="008A2422">
        <w:rPr>
          <w:sz w:val="24"/>
          <w:szCs w:val="24"/>
          <w:lang w:val="fi-FI"/>
        </w:rPr>
        <w:t>22</w:t>
      </w:r>
      <w:r w:rsidR="00B67C31" w:rsidRPr="00B67C31">
        <w:rPr>
          <w:sz w:val="24"/>
          <w:szCs w:val="24"/>
          <w:lang w:val="fi-FI"/>
        </w:rPr>
        <w:t>.</w:t>
      </w:r>
      <w:r w:rsidR="00B67C31" w:rsidRPr="008A2422">
        <w:rPr>
          <w:sz w:val="24"/>
          <w:szCs w:val="24"/>
          <w:lang w:val="fi-FI"/>
        </w:rPr>
        <w:t>12</w:t>
      </w:r>
      <w:r w:rsidR="00B67C31" w:rsidRPr="00B67C31">
        <w:rPr>
          <w:sz w:val="24"/>
          <w:szCs w:val="24"/>
          <w:lang w:val="fi-FI"/>
        </w:rPr>
        <w:t>.</w:t>
      </w:r>
      <w:r w:rsidR="00B67C31" w:rsidRPr="008A2422">
        <w:rPr>
          <w:sz w:val="24"/>
          <w:szCs w:val="24"/>
          <w:lang w:val="fi-FI"/>
        </w:rPr>
        <w:t>2023</w:t>
      </w:r>
      <w:r w:rsidR="00B67C31" w:rsidRPr="00B67C31">
        <w:rPr>
          <w:sz w:val="24"/>
          <w:szCs w:val="24"/>
          <w:lang w:val="fi-FI"/>
        </w:rPr>
        <w:t xml:space="preserve">, </w:t>
      </w:r>
      <w:r w:rsidRPr="005E009E">
        <w:rPr>
          <w:sz w:val="24"/>
          <w:szCs w:val="24"/>
          <w:lang w:val="fi-FI"/>
        </w:rPr>
        <w:t xml:space="preserve">ELI: </w:t>
      </w:r>
      <w:hyperlink r:id="rId1" w:history="1">
        <w:r w:rsidRPr="005E009E">
          <w:rPr>
            <w:rStyle w:val="Hyperlink"/>
            <w:sz w:val="24"/>
            <w:szCs w:val="24"/>
            <w:lang w:val="fi-FI"/>
          </w:rPr>
          <w:t>http://data.europa.eu/eli/C/</w:t>
        </w:r>
        <w:r w:rsidRPr="008A2422">
          <w:rPr>
            <w:rStyle w:val="Hyperlink"/>
            <w:sz w:val="24"/>
            <w:szCs w:val="24"/>
            <w:lang w:val="fi-FI"/>
          </w:rPr>
          <w:t>2023</w:t>
        </w:r>
        <w:r w:rsidRPr="005E009E">
          <w:rPr>
            <w:rStyle w:val="Hyperlink"/>
            <w:sz w:val="24"/>
            <w:szCs w:val="24"/>
            <w:lang w:val="fi-FI"/>
          </w:rPr>
          <w:t>/</w:t>
        </w:r>
        <w:r w:rsidRPr="008A2422">
          <w:rPr>
            <w:rStyle w:val="Hyperlink"/>
            <w:sz w:val="24"/>
            <w:szCs w:val="24"/>
            <w:lang w:val="fi-FI"/>
          </w:rPr>
          <w:t>1329</w:t>
        </w:r>
        <w:r w:rsidRPr="005E009E">
          <w:rPr>
            <w:rStyle w:val="Hyperlink"/>
            <w:sz w:val="24"/>
            <w:szCs w:val="24"/>
            <w:lang w:val="fi-FI"/>
          </w:rPr>
          <w:t>/oj</w:t>
        </w:r>
      </w:hyperlink>
      <w:r w:rsidRPr="005E009E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688" w:rsidRPr="005A613A" w:rsidRDefault="009856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IT"/>
    <w:docVar w:name="dvnumam" w:val="0"/>
    <w:docVar w:name="dvpe" w:val="754.668"/>
    <w:docVar w:name="dvrapporteur" w:val="Relatrici: "/>
    <w:docVar w:name="dvstar" w:val="***I"/>
    <w:docVar w:name="dvtitre" w:val="Risoluzione legislativa del Parlamento europeo del 23 aprile 2024 sulla proposta di regolamento del Parlamento europeo e del Consiglio relativo al coordinamento efficace delle politiche economiche e alla sorveglianza di bilancio multilaterale e che abroga il regolamento (CE) n. 1466/97 del Consiglio(COM2023)0240 – C9-0150/2023 – 2023/0138(COD))"/>
  </w:docVars>
  <w:rsids>
    <w:rsidRoot w:val="0089006B"/>
    <w:rsid w:val="00002272"/>
    <w:rsid w:val="00064002"/>
    <w:rsid w:val="000677B9"/>
    <w:rsid w:val="000831BA"/>
    <w:rsid w:val="000A42CC"/>
    <w:rsid w:val="000E7DD9"/>
    <w:rsid w:val="0010095E"/>
    <w:rsid w:val="00125B37"/>
    <w:rsid w:val="00137A7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13A"/>
    <w:rsid w:val="005C2568"/>
    <w:rsid w:val="005E009E"/>
    <w:rsid w:val="006037C0"/>
    <w:rsid w:val="0060470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06B"/>
    <w:rsid w:val="008A2422"/>
    <w:rsid w:val="008C2AC6"/>
    <w:rsid w:val="00930C23"/>
    <w:rsid w:val="0093193B"/>
    <w:rsid w:val="009509D8"/>
    <w:rsid w:val="00950B64"/>
    <w:rsid w:val="00981893"/>
    <w:rsid w:val="0098568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C31"/>
    <w:rsid w:val="00BA01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293"/>
    <w:rsid w:val="00D872DF"/>
    <w:rsid w:val="00D91E21"/>
    <w:rsid w:val="00D937F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E5C35"/>
  <w15:chartTrackingRefBased/>
  <w15:docId w15:val="{7FC05A66-0B86-44F2-93DF-BC41C916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A01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A01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A01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A01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A01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A0189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BA0189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BA0189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BA0189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BA01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01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A01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A0189"/>
    <w:pPr>
      <w:spacing w:after="120"/>
    </w:pPr>
  </w:style>
  <w:style w:type="paragraph" w:customStyle="1" w:styleId="PageHeading">
    <w:name w:val="PageHeading"/>
    <w:basedOn w:val="Normal"/>
    <w:rsid w:val="00BA01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0189"/>
    <w:rPr>
      <w:b/>
    </w:rPr>
  </w:style>
  <w:style w:type="paragraph" w:customStyle="1" w:styleId="NormalBold12a">
    <w:name w:val="NormalBold12a"/>
    <w:basedOn w:val="Normal"/>
    <w:rsid w:val="00BA0189"/>
    <w:pPr>
      <w:spacing w:after="240"/>
    </w:pPr>
    <w:rPr>
      <w:b/>
    </w:rPr>
  </w:style>
  <w:style w:type="paragraph" w:customStyle="1" w:styleId="AmJustText">
    <w:name w:val="AmJustText"/>
    <w:basedOn w:val="Normal"/>
    <w:rsid w:val="00BA01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A01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0189"/>
    <w:pPr>
      <w:spacing w:after="480"/>
      <w:ind w:left="1417"/>
    </w:pPr>
  </w:style>
  <w:style w:type="paragraph" w:customStyle="1" w:styleId="CoverNormal">
    <w:name w:val="CoverNormal"/>
    <w:basedOn w:val="Normal"/>
    <w:rsid w:val="00BA0189"/>
    <w:pPr>
      <w:ind w:left="1418"/>
    </w:pPr>
  </w:style>
  <w:style w:type="paragraph" w:customStyle="1" w:styleId="AmCrossRef">
    <w:name w:val="AmCrossRef"/>
    <w:basedOn w:val="Normal"/>
    <w:rsid w:val="00BA01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01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A01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A01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01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0189"/>
    <w:pPr>
      <w:spacing w:before="240" w:after="1200"/>
    </w:pPr>
  </w:style>
  <w:style w:type="paragraph" w:styleId="Header">
    <w:name w:val="header"/>
    <w:basedOn w:val="Normal"/>
    <w:link w:val="HeaderChar"/>
    <w:rsid w:val="00BA01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A0189"/>
    <w:rPr>
      <w:sz w:val="24"/>
      <w:lang w:val="it-IT"/>
    </w:rPr>
  </w:style>
  <w:style w:type="paragraph" w:customStyle="1" w:styleId="AmOrLang">
    <w:name w:val="AmOrLang"/>
    <w:basedOn w:val="Normal"/>
    <w:rsid w:val="00BA01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01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A01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A0189"/>
    <w:pPr>
      <w:spacing w:before="240"/>
    </w:pPr>
    <w:rPr>
      <w:b/>
    </w:rPr>
  </w:style>
  <w:style w:type="paragraph" w:customStyle="1" w:styleId="EPBody">
    <w:name w:val="EPBody"/>
    <w:basedOn w:val="Normal"/>
    <w:rsid w:val="00BA01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01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0189"/>
    <w:pPr>
      <w:spacing w:before="480" w:after="240"/>
    </w:pPr>
  </w:style>
  <w:style w:type="paragraph" w:customStyle="1" w:styleId="Lgendesigne">
    <w:name w:val="Légende signe"/>
    <w:basedOn w:val="Normal"/>
    <w:rsid w:val="00BA01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01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0189"/>
    <w:rPr>
      <w:sz w:val="18"/>
    </w:rPr>
  </w:style>
  <w:style w:type="paragraph" w:customStyle="1" w:styleId="msonormal0">
    <w:name w:val="msonormal"/>
    <w:basedOn w:val="Normal"/>
    <w:rsid w:val="00BA018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A0189"/>
    <w:rPr>
      <w:noProof/>
      <w:sz w:val="24"/>
    </w:rPr>
  </w:style>
  <w:style w:type="paragraph" w:customStyle="1" w:styleId="Normal12">
    <w:name w:val="Normal12"/>
    <w:basedOn w:val="Normal"/>
    <w:link w:val="Normal12Char"/>
    <w:rsid w:val="00BA018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A01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A01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A01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A01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A018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A0189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BA01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A0189"/>
    <w:rPr>
      <w:b/>
      <w:sz w:val="24"/>
      <w:lang w:val="it-IT"/>
    </w:rPr>
  </w:style>
  <w:style w:type="paragraph" w:customStyle="1" w:styleId="Normal12Italic">
    <w:name w:val="Normal12Italic"/>
    <w:basedOn w:val="Normal12"/>
    <w:rsid w:val="00BA0189"/>
    <w:rPr>
      <w:i/>
    </w:rPr>
  </w:style>
  <w:style w:type="paragraph" w:customStyle="1" w:styleId="JustificationTitle">
    <w:name w:val="JustificationTitle"/>
    <w:basedOn w:val="Normal"/>
    <w:next w:val="Normal12"/>
    <w:rsid w:val="00BA018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A018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A01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A01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A0189"/>
    <w:pPr>
      <w:spacing w:before="240"/>
      <w:jc w:val="center"/>
    </w:pPr>
    <w:rPr>
      <w:i/>
    </w:rPr>
  </w:style>
  <w:style w:type="character" w:customStyle="1" w:styleId="Footer2Middle">
    <w:name w:val="Footer2Middle"/>
    <w:rsid w:val="00BA01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A018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BA0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0189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BA01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01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018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01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0189"/>
    <w:rPr>
      <w:b/>
      <w:bCs/>
      <w:lang w:val="it-IT"/>
    </w:rPr>
  </w:style>
  <w:style w:type="paragraph" w:styleId="Revision">
    <w:name w:val="Revision"/>
    <w:hidden/>
    <w:uiPriority w:val="99"/>
    <w:semiHidden/>
    <w:rsid w:val="00BA0189"/>
    <w:rPr>
      <w:sz w:val="24"/>
      <w:lang w:val="it-IT"/>
    </w:rPr>
  </w:style>
  <w:style w:type="paragraph" w:customStyle="1" w:styleId="NormalCenter12a">
    <w:name w:val="NormalCenter12a"/>
    <w:basedOn w:val="Normal"/>
    <w:rsid w:val="00BA0189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BA0189"/>
    <w:pPr>
      <w:spacing w:before="720" w:after="240"/>
      <w:jc w:val="center"/>
    </w:pPr>
    <w:rPr>
      <w:lang w:val="en-GB"/>
    </w:rPr>
  </w:style>
  <w:style w:type="paragraph" w:customStyle="1" w:styleId="Normal24a">
    <w:name w:val="Normal24a"/>
    <w:basedOn w:val="Normal"/>
    <w:rsid w:val="00BA0189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BA0189"/>
    <w:pPr>
      <w:jc w:val="center"/>
    </w:pPr>
    <w:rPr>
      <w:b/>
      <w:lang w:val="en-GB"/>
    </w:rPr>
  </w:style>
  <w:style w:type="paragraph" w:customStyle="1" w:styleId="norm">
    <w:name w:val="norm"/>
    <w:basedOn w:val="Normal"/>
    <w:rsid w:val="00BA0189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0">
    <w:name w:val="Point 0"/>
    <w:basedOn w:val="Normal"/>
    <w:rsid w:val="00BA0189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BA0189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0number">
    <w:name w:val="Point 0 (number)"/>
    <w:basedOn w:val="Normal"/>
    <w:rsid w:val="00BA0189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BA0189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BA0189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BA0189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BA0189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BA0189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BA0189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BA0189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BA0189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BA0189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BA0189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BA018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BA0189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BA0189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Tiret0">
    <w:name w:val="Tiret 0"/>
    <w:basedOn w:val="Point0"/>
    <w:rsid w:val="00BA0189"/>
    <w:pPr>
      <w:numPr>
        <w:numId w:val="46"/>
      </w:numPr>
    </w:pPr>
  </w:style>
  <w:style w:type="paragraph" w:customStyle="1" w:styleId="Bullet0">
    <w:name w:val="Bullet 0"/>
    <w:basedOn w:val="Normal"/>
    <w:rsid w:val="00BA0189"/>
    <w:pPr>
      <w:widowControl/>
      <w:numPr>
        <w:numId w:val="47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Annexetitre">
    <w:name w:val="Annexe titre"/>
    <w:basedOn w:val="Normal"/>
    <w:next w:val="Normal"/>
    <w:rsid w:val="00BA0189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BA0189"/>
    <w:rPr>
      <w:color w:val="0000FF"/>
      <w:u w:val="single"/>
    </w:rPr>
  </w:style>
  <w:style w:type="paragraph" w:customStyle="1" w:styleId="Normal12a">
    <w:name w:val="Normal12a"/>
    <w:basedOn w:val="Normal"/>
    <w:rsid w:val="00BA0189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BA0189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A0189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BA018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A018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BA018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BA0189"/>
    <w:pPr>
      <w:spacing w:before="120" w:after="120"/>
    </w:pPr>
    <w:rPr>
      <w:snapToGrid w:val="0"/>
      <w:sz w:val="16"/>
      <w:lang w:val="en-GB" w:eastAsia="en-US"/>
    </w:rPr>
  </w:style>
  <w:style w:type="paragraph" w:styleId="EndnoteText">
    <w:name w:val="endnote text"/>
    <w:basedOn w:val="Normal"/>
    <w:link w:val="EndnoteTextChar"/>
    <w:rsid w:val="00BA0189"/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BA0189"/>
  </w:style>
  <w:style w:type="character" w:styleId="EndnoteReference">
    <w:name w:val="endnote reference"/>
    <w:basedOn w:val="DefaultParagraphFont"/>
    <w:rsid w:val="00BA0189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BA0189"/>
    <w:pPr>
      <w:spacing w:after="100"/>
      <w:ind w:left="1920"/>
    </w:pPr>
    <w:rPr>
      <w:lang w:val="en-GB"/>
    </w:rPr>
  </w:style>
  <w:style w:type="paragraph" w:customStyle="1" w:styleId="Considrant">
    <w:name w:val="Considérant"/>
    <w:basedOn w:val="Normal"/>
    <w:rsid w:val="00BA0189"/>
    <w:pPr>
      <w:widowControl/>
      <w:numPr>
        <w:numId w:val="4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BA0189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BA0189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BA0189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BA0189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BA0189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BA0189"/>
  </w:style>
  <w:style w:type="character" w:customStyle="1" w:styleId="tabchar">
    <w:name w:val="tabchar"/>
    <w:basedOn w:val="DefaultParagraphFont"/>
    <w:rsid w:val="00BA0189"/>
  </w:style>
  <w:style w:type="character" w:customStyle="1" w:styleId="erpldocument-subtitle-author">
    <w:name w:val="erpl_document-subtitle-author"/>
    <w:basedOn w:val="DefaultParagraphFont"/>
    <w:rsid w:val="00BA0189"/>
  </w:style>
  <w:style w:type="paragraph" w:styleId="TOC7">
    <w:name w:val="toc 7"/>
    <w:basedOn w:val="Normal"/>
    <w:next w:val="Normal"/>
    <w:autoRedefine/>
    <w:uiPriority w:val="39"/>
    <w:rsid w:val="00BA0189"/>
    <w:pPr>
      <w:spacing w:after="100"/>
      <w:ind w:left="1440"/>
    </w:pPr>
    <w:rPr>
      <w:lang w:val="en-GB"/>
    </w:rPr>
  </w:style>
  <w:style w:type="character" w:customStyle="1" w:styleId="FooterChar1">
    <w:name w:val="Footer Char1"/>
    <w:basedOn w:val="DefaultParagraphFont"/>
    <w:rsid w:val="00BA0189"/>
    <w:rPr>
      <w:sz w:val="24"/>
      <w:szCs w:val="24"/>
      <w:lang w:val="it-IT"/>
    </w:rPr>
  </w:style>
  <w:style w:type="paragraph" w:styleId="Footer">
    <w:name w:val="footer"/>
    <w:basedOn w:val="Normal"/>
    <w:link w:val="FooterChar"/>
    <w:rsid w:val="00BA01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0189"/>
    <w:rPr>
      <w:sz w:val="24"/>
      <w:lang w:val="it-IT"/>
    </w:rPr>
  </w:style>
  <w:style w:type="character" w:styleId="FollowedHyperlink">
    <w:name w:val="FollowedHyperlink"/>
    <w:basedOn w:val="DefaultParagraphFont"/>
    <w:rsid w:val="00985688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B67C31"/>
    <w:pPr>
      <w:keepLines/>
      <w:widowControl w:val="0"/>
      <w:ind w:left="850" w:hanging="850"/>
    </w:pPr>
    <w:rPr>
      <w:sz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19529-3AC4-463A-97AE-78096D5C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AP</cp:lastModifiedBy>
  <cp:revision>2</cp:revision>
  <cp:lastPrinted>2004-11-19T15:42:00Z</cp:lastPrinted>
  <dcterms:created xsi:type="dcterms:W3CDTF">2024-09-23T16:03:00Z</dcterms:created>
  <dcterms:modified xsi:type="dcterms:W3CDTF">2024-09-23T16:03:00Z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