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4755" w:rsidTr="0010095E">
        <w:trPr>
          <w:trHeight w:hRule="exact" w:val="1418"/>
        </w:trPr>
        <w:tc>
          <w:tcPr>
            <w:tcW w:w="6804" w:type="dxa"/>
            <w:shd w:val="clear" w:color="auto" w:fill="auto"/>
            <w:vAlign w:val="center"/>
          </w:tcPr>
          <w:p w:rsidR="00751A4A" w:rsidRPr="00524755" w:rsidRDefault="00F06030" w:rsidP="0010095E">
            <w:pPr>
              <w:pStyle w:val="EPName"/>
            </w:pPr>
            <w:r w:rsidRPr="00524755">
              <w:t>Европейски</w:t>
            </w:r>
            <w:r w:rsidR="005B3D33" w:rsidRPr="00524755">
              <w:t xml:space="preserve"> парламент</w:t>
            </w:r>
          </w:p>
          <w:p w:rsidR="00751A4A" w:rsidRPr="00524755" w:rsidRDefault="00817416" w:rsidP="00756632">
            <w:pPr>
              <w:pStyle w:val="EPTerm"/>
              <w:rPr>
                <w:rStyle w:val="HideTWBExt"/>
                <w:noProof w:val="0"/>
                <w:vanish w:val="0"/>
                <w:color w:val="auto"/>
              </w:rPr>
            </w:pPr>
            <w:r w:rsidRPr="00524755">
              <w:t>2019</w:t>
            </w:r>
            <w:r w:rsidR="00F06030">
              <w:t> – </w:t>
            </w:r>
            <w:r w:rsidRPr="00524755">
              <w:t>2024</w:t>
            </w:r>
          </w:p>
        </w:tc>
        <w:tc>
          <w:tcPr>
            <w:tcW w:w="2268" w:type="dxa"/>
            <w:shd w:val="clear" w:color="auto" w:fill="auto"/>
          </w:tcPr>
          <w:p w:rsidR="00751A4A" w:rsidRPr="00524755" w:rsidRDefault="00187494" w:rsidP="0010095E">
            <w:pPr>
              <w:pStyle w:val="EPLogo"/>
            </w:pPr>
            <w:r w:rsidRPr="005247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4755" w:rsidRDefault="00D058B8" w:rsidP="004C5D52">
      <w:pPr>
        <w:pStyle w:val="LineTop"/>
      </w:pPr>
    </w:p>
    <w:p w:rsidR="00680577" w:rsidRPr="00524755" w:rsidRDefault="005B3D33" w:rsidP="00680577">
      <w:pPr>
        <w:pStyle w:val="EPBodyTA1"/>
      </w:pPr>
      <w:r w:rsidRPr="00524755">
        <w:t>ПРИЕТИ ТЕКСТОВЕ</w:t>
      </w:r>
    </w:p>
    <w:p w:rsidR="00D058B8" w:rsidRPr="00524755" w:rsidRDefault="00D058B8" w:rsidP="00D058B8">
      <w:pPr>
        <w:pStyle w:val="LineBottom"/>
      </w:pPr>
    </w:p>
    <w:p w:rsidR="005B3D33" w:rsidRPr="00524755" w:rsidRDefault="005B3D33" w:rsidP="00CA4F6F">
      <w:pPr>
        <w:pStyle w:val="ATHeading1"/>
      </w:pPr>
      <w:bookmarkStart w:id="0" w:name="TANumber"/>
      <w:r w:rsidRPr="00524755">
        <w:t>P9_TA(2024)0</w:t>
      </w:r>
      <w:bookmarkEnd w:id="0"/>
      <w:r w:rsidR="00CA4F6F">
        <w:t>312</w:t>
      </w:r>
    </w:p>
    <w:p w:rsidR="005B3D33" w:rsidRPr="00524755" w:rsidRDefault="00DD4C36" w:rsidP="00DD4C36">
      <w:pPr>
        <w:pStyle w:val="ATHeading2"/>
      </w:pPr>
      <w:bookmarkStart w:id="1" w:name="title"/>
      <w:r w:rsidRPr="00DD4C36">
        <w:t>Определяне и изясняване на прилагането на процедурата при прекомерен дефицит - Регламент за изменение</w:t>
      </w:r>
      <w:bookmarkEnd w:id="1"/>
    </w:p>
    <w:p w:rsidR="005B3D33" w:rsidRPr="00524755" w:rsidRDefault="005B3D33" w:rsidP="005B3D33">
      <w:pPr>
        <w:rPr>
          <w:i/>
          <w:vanish/>
        </w:rPr>
      </w:pPr>
      <w:r w:rsidRPr="00524755">
        <w:rPr>
          <w:i/>
        </w:rPr>
        <w:fldChar w:fldCharType="begin"/>
      </w:r>
      <w:r w:rsidRPr="00524755">
        <w:rPr>
          <w:i/>
        </w:rPr>
        <w:instrText xml:space="preserve"> TC"(</w:instrText>
      </w:r>
      <w:bookmarkStart w:id="2" w:name="DocNumber"/>
      <w:r w:rsidRPr="00524755">
        <w:rPr>
          <w:i/>
        </w:rPr>
        <w:instrText>A9-0444/2023</w:instrText>
      </w:r>
      <w:bookmarkEnd w:id="2"/>
      <w:r w:rsidRPr="00524755">
        <w:rPr>
          <w:i/>
        </w:rPr>
        <w:instrText xml:space="preserve"> - Докладчик:</w:instrText>
      </w:r>
      <w:r w:rsidR="00EF2B1F">
        <w:rPr>
          <w:i/>
        </w:rPr>
        <w:instrText xml:space="preserve"> Маркус </w:instrText>
      </w:r>
      <w:proofErr w:type="spellStart"/>
      <w:r w:rsidR="00EF2B1F">
        <w:rPr>
          <w:i/>
        </w:rPr>
        <w:instrText>Фербер</w:instrText>
      </w:r>
      <w:proofErr w:type="spellEnd"/>
      <w:r w:rsidRPr="00524755">
        <w:rPr>
          <w:i/>
        </w:rPr>
        <w:instrText xml:space="preserve">, </w:instrText>
      </w:r>
      <w:proofErr w:type="spellStart"/>
      <w:r w:rsidRPr="00524755">
        <w:rPr>
          <w:i/>
        </w:rPr>
        <w:instrText>Маргарида</w:instrText>
      </w:r>
      <w:proofErr w:type="spellEnd"/>
      <w:r w:rsidRPr="00524755">
        <w:rPr>
          <w:i/>
        </w:rPr>
        <w:instrText xml:space="preserve"> </w:instrText>
      </w:r>
      <w:proofErr w:type="spellStart"/>
      <w:r w:rsidRPr="00524755">
        <w:rPr>
          <w:i/>
        </w:rPr>
        <w:instrText>Маркеш</w:instrText>
      </w:r>
      <w:proofErr w:type="spellEnd"/>
      <w:r w:rsidRPr="00524755">
        <w:rPr>
          <w:i/>
        </w:rPr>
        <w:instrText xml:space="preserve">)"\l3 \n&gt; \* MERGEFORMAT </w:instrText>
      </w:r>
      <w:r w:rsidRPr="00524755">
        <w:rPr>
          <w:i/>
        </w:rPr>
        <w:fldChar w:fldCharType="end"/>
      </w:r>
    </w:p>
    <w:p w:rsidR="005B3D33" w:rsidRPr="00524755" w:rsidRDefault="005B3D33" w:rsidP="005B3D33">
      <w:pPr>
        <w:rPr>
          <w:vanish/>
        </w:rPr>
      </w:pPr>
      <w:bookmarkStart w:id="3" w:name="Commission"/>
      <w:r w:rsidRPr="00524755">
        <w:rPr>
          <w:vanish/>
        </w:rPr>
        <w:t>Комисия по икономически и парични въпроси</w:t>
      </w:r>
      <w:bookmarkEnd w:id="3"/>
    </w:p>
    <w:p w:rsidR="005B3D33" w:rsidRPr="00524755" w:rsidRDefault="005B3D33" w:rsidP="005B3D33">
      <w:pPr>
        <w:rPr>
          <w:vanish/>
        </w:rPr>
      </w:pPr>
      <w:bookmarkStart w:id="4" w:name="PE"/>
      <w:r w:rsidRPr="00524755">
        <w:rPr>
          <w:vanish/>
        </w:rPr>
        <w:t>PE757.279</w:t>
      </w:r>
      <w:bookmarkEnd w:id="4"/>
    </w:p>
    <w:p w:rsidR="005B3D33" w:rsidRPr="00524755" w:rsidRDefault="005B3D33" w:rsidP="00070395">
      <w:pPr>
        <w:pStyle w:val="ATHeading3"/>
      </w:pPr>
      <w:bookmarkStart w:id="5" w:name="Sujet"/>
      <w:r w:rsidRPr="00524755">
        <w:t xml:space="preserve">Законодателна резолюция на Европейския парламент от </w:t>
      </w:r>
      <w:r w:rsidR="00DD4C36">
        <w:t>23</w:t>
      </w:r>
      <w:r w:rsidRPr="00524755">
        <w:t xml:space="preserve"> </w:t>
      </w:r>
      <w:r w:rsidR="00F06030">
        <w:t xml:space="preserve">април </w:t>
      </w:r>
      <w:r w:rsidRPr="00524755">
        <w:t>2024 г. относно предложението за регламент на Съвета за изменение на Регламент (EО) № 1467/97 за определяне и изясняване на прилагането на процедурата при прекомерен дефицит</w:t>
      </w:r>
      <w:bookmarkEnd w:id="5"/>
      <w:r w:rsidRPr="00524755">
        <w:t xml:space="preserve"> </w:t>
      </w:r>
      <w:bookmarkStart w:id="6" w:name="References"/>
      <w:r w:rsidRPr="00524755">
        <w:t>(</w:t>
      </w:r>
      <w:r w:rsidR="00070395" w:rsidRPr="00070395">
        <w:rPr>
          <w:lang w:val="en-GB"/>
        </w:rPr>
        <w:t>15876/2023</w:t>
      </w:r>
      <w:r w:rsidRPr="00524755">
        <w:t xml:space="preserve"> – C9-</w:t>
      </w:r>
      <w:r w:rsidR="00070395" w:rsidRPr="00070395">
        <w:rPr>
          <w:lang w:val="en-GB"/>
        </w:rPr>
        <w:t>0005/2024</w:t>
      </w:r>
      <w:r w:rsidRPr="00524755">
        <w:t xml:space="preserve"> – 2023/0137(CNS))</w:t>
      </w:r>
      <w:bookmarkEnd w:id="6"/>
    </w:p>
    <w:p w:rsidR="005B3D33" w:rsidRPr="00524755" w:rsidRDefault="005B3D33" w:rsidP="005B3D33"/>
    <w:p w:rsidR="00D14020" w:rsidRPr="00524755" w:rsidRDefault="00D14020" w:rsidP="00D14020">
      <w:pPr>
        <w:pStyle w:val="NormalBold"/>
      </w:pPr>
      <w:bookmarkStart w:id="7" w:name="TextBodyBegin"/>
      <w:bookmarkEnd w:id="7"/>
      <w:r w:rsidRPr="00524755">
        <w:t>(Специална законодателна процедура – консултация)</w:t>
      </w:r>
    </w:p>
    <w:p w:rsidR="00D14020" w:rsidRPr="00524755" w:rsidRDefault="00D14020" w:rsidP="00D14020">
      <w:pPr>
        <w:pStyle w:val="EPComma"/>
      </w:pPr>
      <w:r w:rsidRPr="00524755">
        <w:rPr>
          <w:i/>
        </w:rPr>
        <w:t>Европейският парламент</w:t>
      </w:r>
      <w:r w:rsidRPr="00524755">
        <w:t>,</w:t>
      </w:r>
    </w:p>
    <w:p w:rsidR="00D14020" w:rsidRPr="00524755" w:rsidRDefault="00D14020" w:rsidP="00070395">
      <w:pPr>
        <w:pStyle w:val="NormalHanging12a"/>
      </w:pPr>
      <w:r w:rsidRPr="00524755">
        <w:t>–</w:t>
      </w:r>
      <w:r w:rsidRPr="00524755">
        <w:tab/>
        <w:t xml:space="preserve">като взе предвид </w:t>
      </w:r>
      <w:r w:rsidR="00070395">
        <w:t>проекта на</w:t>
      </w:r>
      <w:r w:rsidRPr="00524755">
        <w:t xml:space="preserve"> Съвета (</w:t>
      </w:r>
      <w:r w:rsidR="00070395" w:rsidRPr="00070395">
        <w:rPr>
          <w:lang w:val="en-GB"/>
        </w:rPr>
        <w:t>15876/2023</w:t>
      </w:r>
      <w:r w:rsidRPr="00524755">
        <w:t>),</w:t>
      </w:r>
    </w:p>
    <w:p w:rsidR="00D14020" w:rsidRPr="00524755" w:rsidRDefault="00D14020" w:rsidP="00D14020">
      <w:pPr>
        <w:pStyle w:val="NormalHanging12a"/>
      </w:pPr>
      <w:r w:rsidRPr="00524755">
        <w:t>–</w:t>
      </w:r>
      <w:r w:rsidRPr="00524755">
        <w:tab/>
        <w:t>като взе предвид член 126, параграф 14 , втора алинея от Договора за функционирането на Европейския съюз, съгласно който Съветът се е консултирал с него (C9</w:t>
      </w:r>
      <w:r w:rsidRPr="00524755">
        <w:noBreakHyphen/>
        <w:t>0</w:t>
      </w:r>
      <w:r w:rsidR="00DD4C36">
        <w:t>005</w:t>
      </w:r>
      <w:r w:rsidRPr="00524755">
        <w:t>/202</w:t>
      </w:r>
      <w:r w:rsidR="00DD4C36">
        <w:t>4</w:t>
      </w:r>
      <w:r w:rsidRPr="00524755">
        <w:t>),</w:t>
      </w:r>
    </w:p>
    <w:p w:rsidR="00D14020" w:rsidRPr="00524755" w:rsidRDefault="00D14020" w:rsidP="00D14020">
      <w:pPr>
        <w:pStyle w:val="NormalHanging12a"/>
      </w:pPr>
      <w:r w:rsidRPr="00524755">
        <w:t>–</w:t>
      </w:r>
      <w:r w:rsidRPr="00524755">
        <w:tab/>
        <w:t>като взе предвид член 82 от своя Правилник за дейността,</w:t>
      </w:r>
    </w:p>
    <w:p w:rsidR="00D14020" w:rsidRPr="00524755" w:rsidRDefault="00D14020" w:rsidP="00D14020">
      <w:pPr>
        <w:pStyle w:val="NormalHanging12a"/>
      </w:pPr>
      <w:r w:rsidRPr="00524755">
        <w:t>–</w:t>
      </w:r>
      <w:r w:rsidRPr="00524755">
        <w:tab/>
        <w:t>като взе предвид писмото на комисията по бюджети,</w:t>
      </w:r>
    </w:p>
    <w:p w:rsidR="00D14020" w:rsidRPr="00524755" w:rsidRDefault="00D14020" w:rsidP="00D14020">
      <w:pPr>
        <w:pStyle w:val="NormalHanging12a"/>
      </w:pPr>
      <w:r w:rsidRPr="00524755">
        <w:t>–</w:t>
      </w:r>
      <w:r w:rsidRPr="00524755">
        <w:tab/>
        <w:t>като взе предвид доклада на комисията по икономически и парични въпроси (A9-0444/2023),</w:t>
      </w:r>
    </w:p>
    <w:p w:rsidR="00D14020" w:rsidRPr="00524755" w:rsidRDefault="00D14020" w:rsidP="00070395">
      <w:pPr>
        <w:pStyle w:val="NormalHanging12a"/>
      </w:pPr>
      <w:r w:rsidRPr="00524755">
        <w:t>1.</w:t>
      </w:r>
      <w:r w:rsidRPr="00524755">
        <w:tab/>
        <w:t xml:space="preserve">одобрява </w:t>
      </w:r>
      <w:r w:rsidR="00070395">
        <w:t>проекта на Съвета</w:t>
      </w:r>
      <w:r w:rsidRPr="00524755">
        <w:t>, както е изменен;</w:t>
      </w:r>
    </w:p>
    <w:p w:rsidR="00D14020" w:rsidRPr="00524755" w:rsidRDefault="00070395" w:rsidP="00D14020">
      <w:pPr>
        <w:pStyle w:val="NormalHanging12a"/>
      </w:pPr>
      <w:r>
        <w:t>2</w:t>
      </w:r>
      <w:r w:rsidR="00D14020" w:rsidRPr="00524755">
        <w:t>.</w:t>
      </w:r>
      <w:r w:rsidR="00D14020" w:rsidRPr="00524755">
        <w:tab/>
        <w:t>приканва Съвета, в случай че възнамерява да се отклони от текста, одобрен от Парламента, да го информира за това;</w:t>
      </w:r>
    </w:p>
    <w:p w:rsidR="00D14020" w:rsidRPr="00524755" w:rsidRDefault="00070395" w:rsidP="00070395">
      <w:pPr>
        <w:pStyle w:val="NormalHanging12a"/>
      </w:pPr>
      <w:r>
        <w:t>3</w:t>
      </w:r>
      <w:r w:rsidR="00D14020" w:rsidRPr="00524755">
        <w:t>.</w:t>
      </w:r>
      <w:r w:rsidR="00D14020" w:rsidRPr="00524755">
        <w:tab/>
        <w:t xml:space="preserve">призовава Съвета отново да се консултира с него, в случай че възнамерява да внесе съществени изменения в </w:t>
      </w:r>
      <w:r>
        <w:t>проекта на Съвета</w:t>
      </w:r>
      <w:r w:rsidR="00D14020" w:rsidRPr="00524755">
        <w:t>;</w:t>
      </w:r>
    </w:p>
    <w:p w:rsidR="00D14020" w:rsidRPr="00524755" w:rsidRDefault="00070395" w:rsidP="00E20E38">
      <w:pPr>
        <w:pStyle w:val="NormalHanging12a"/>
      </w:pPr>
      <w:r>
        <w:t>4</w:t>
      </w:r>
      <w:r w:rsidR="00D14020" w:rsidRPr="00524755">
        <w:t>.</w:t>
      </w:r>
      <w:r w:rsidR="00D14020" w:rsidRPr="00524755">
        <w:tab/>
        <w:t>възлага на своя председател да предаде позицията на Парламента съответно на Съвета, на Комисията и на националните парламенти.</w:t>
      </w:r>
      <w:r w:rsidR="00D14020" w:rsidRPr="00524755">
        <w:br w:type="page"/>
      </w:r>
    </w:p>
    <w:p w:rsidR="00D14020" w:rsidRPr="00524755" w:rsidRDefault="00D14020" w:rsidP="00D14020">
      <w:pPr>
        <w:pStyle w:val="AmNumberTabs"/>
        <w:keepNext/>
      </w:pPr>
      <w:r w:rsidRPr="00524755">
        <w:lastRenderedPageBreak/>
        <w:t>Изменение</w:t>
      </w:r>
      <w:r w:rsidRPr="00524755">
        <w:tab/>
      </w:r>
      <w:r w:rsidRPr="00524755">
        <w:tab/>
      </w:r>
      <w:r w:rsidR="00DD4C36">
        <w:t>2</w:t>
      </w:r>
    </w:p>
    <w:p w:rsidR="00D14020" w:rsidRPr="00524755" w:rsidRDefault="00D14020" w:rsidP="00D14020"/>
    <w:p w:rsidR="00D14020" w:rsidRPr="00524755" w:rsidRDefault="00D14020" w:rsidP="00D14020">
      <w:pPr>
        <w:pStyle w:val="AmHeadingConsam"/>
      </w:pPr>
      <w:r w:rsidRPr="00524755">
        <w:t>ИЗМЕНЕНИЯ, ВНЕСЕНИ ОТ ЕВРОПЕЙСКИЯ ПАРЛАМЕНТ</w:t>
      </w:r>
      <w:r w:rsidRPr="00524755">
        <w:rPr>
          <w:rStyle w:val="FootnoteReference"/>
        </w:rPr>
        <w:footnoteReference w:customMarkFollows="1" w:id="1"/>
        <w:t>*</w:t>
      </w:r>
    </w:p>
    <w:p w:rsidR="00D14020" w:rsidRPr="00524755" w:rsidRDefault="00D14020" w:rsidP="00DD4C36">
      <w:pPr>
        <w:pStyle w:val="NormalCenter12a"/>
      </w:pPr>
      <w:r w:rsidRPr="00524755">
        <w:t xml:space="preserve">към </w:t>
      </w:r>
      <w:r w:rsidR="00DD4C36">
        <w:t>проекта на Съвета</w:t>
      </w:r>
    </w:p>
    <w:p w:rsidR="00D14020" w:rsidRPr="00524755" w:rsidRDefault="00D14020" w:rsidP="00D14020">
      <w:pPr>
        <w:pStyle w:val="NormalCenter12a"/>
      </w:pPr>
      <w:r w:rsidRPr="00524755">
        <w:t>---------------------------------------------------------</w:t>
      </w:r>
    </w:p>
    <w:p w:rsidR="00DD4C36" w:rsidRPr="00633D23" w:rsidRDefault="00DD4C36" w:rsidP="00DD4C36">
      <w:pPr>
        <w:widowControl/>
        <w:spacing w:before="360" w:line="360" w:lineRule="auto"/>
        <w:jc w:val="center"/>
        <w:rPr>
          <w:rFonts w:eastAsia="Calibri"/>
          <w:b/>
          <w:noProof/>
          <w:color w:val="000000"/>
          <w:szCs w:val="22"/>
          <w:lang w:eastAsia="en-US"/>
        </w:rPr>
      </w:pPr>
      <w:bookmarkStart w:id="8" w:name="TextBodyEnd"/>
      <w:bookmarkEnd w:id="8"/>
      <w:r w:rsidRPr="00633D23">
        <w:rPr>
          <w:rFonts w:eastAsia="Calibri"/>
          <w:b/>
          <w:color w:val="000000"/>
          <w:szCs w:val="22"/>
          <w:lang w:eastAsia="en-US"/>
        </w:rPr>
        <w:t>РЕГЛАМЕНТ НА СЪВЕТА</w:t>
      </w:r>
    </w:p>
    <w:p w:rsidR="00DD4C36" w:rsidRPr="00633D23" w:rsidRDefault="00DD4C36" w:rsidP="00DD4C36">
      <w:pPr>
        <w:widowControl/>
        <w:spacing w:before="360" w:after="360" w:line="360" w:lineRule="auto"/>
        <w:jc w:val="center"/>
        <w:rPr>
          <w:rFonts w:eastAsia="Calibri"/>
          <w:b/>
          <w:noProof/>
          <w:color w:val="000000"/>
          <w:szCs w:val="22"/>
          <w:lang w:eastAsia="en-US"/>
        </w:rPr>
      </w:pPr>
      <w:r w:rsidRPr="00633D23">
        <w:rPr>
          <w:rFonts w:eastAsia="Calibri"/>
          <w:b/>
          <w:color w:val="000000"/>
          <w:szCs w:val="22"/>
          <w:lang w:eastAsia="en-US"/>
        </w:rPr>
        <w:t>за изменение на Регламент (ЕО) № 1467/97 за ускоряване и изясняване на прилагането на процедурата при прекомерен дефицит</w:t>
      </w:r>
    </w:p>
    <w:p w:rsidR="00DD4C36" w:rsidRPr="00633D23" w:rsidRDefault="00DD4C36" w:rsidP="00DD4C36">
      <w:pPr>
        <w:keepNext/>
        <w:widowControl/>
        <w:spacing w:before="600" w:after="120" w:line="360" w:lineRule="auto"/>
        <w:rPr>
          <w:rFonts w:eastAsia="Calibri"/>
          <w:noProof/>
          <w:color w:val="000000"/>
          <w:szCs w:val="22"/>
          <w:lang w:eastAsia="en-US"/>
        </w:rPr>
      </w:pPr>
      <w:r w:rsidRPr="00633D23">
        <w:rPr>
          <w:rFonts w:eastAsia="Calibri"/>
          <w:color w:val="000000"/>
          <w:szCs w:val="22"/>
          <w:lang w:eastAsia="en-US"/>
        </w:rPr>
        <w:t>СЪВЕТЪТ НА ЕВРОПЕЙСКИЯ СЪЮЗ,</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като взе предвид Договора за функционирането на Европейския съюз, и по-специално член 126, параграф 14, втора алинея от него,</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като взе предвид предложението на Европейската комисия,</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след предаване на проекта на законодателния акт на националните парламенти,</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като взе предвид становището на Европейския парламент</w:t>
      </w:r>
      <w:r w:rsidRPr="00633D23">
        <w:rPr>
          <w:rFonts w:eastAsia="Calibri"/>
          <w:noProof/>
          <w:color w:val="000000"/>
          <w:szCs w:val="22"/>
          <w:vertAlign w:val="superscript"/>
          <w:lang w:eastAsia="en-US"/>
        </w:rPr>
        <w:footnoteReference w:id="2"/>
      </w:r>
      <w:r w:rsidRPr="00633D23">
        <w:rPr>
          <w:rFonts w:eastAsia="Calibri"/>
          <w:color w:val="000000"/>
          <w:szCs w:val="22"/>
          <w:lang w:eastAsia="en-US"/>
        </w:rPr>
        <w:t>,</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като взе предвид становището на Европейската централна банка</w:t>
      </w:r>
      <w:r w:rsidRPr="00633D23">
        <w:rPr>
          <w:rFonts w:eastAsia="Calibri"/>
          <w:noProof/>
          <w:color w:val="000000"/>
          <w:szCs w:val="22"/>
          <w:vertAlign w:val="superscript"/>
          <w:lang w:eastAsia="en-US"/>
        </w:rPr>
        <w:footnoteReference w:id="3"/>
      </w:r>
      <w:r w:rsidRPr="00633D23">
        <w:rPr>
          <w:rFonts w:eastAsia="Calibri"/>
          <w:color w:val="000000"/>
          <w:szCs w:val="22"/>
          <w:lang w:eastAsia="en-US"/>
        </w:rPr>
        <w:t>,</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в съответствие със специалната законодателна процедура,</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като има предвид, че:</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lastRenderedPageBreak/>
        <w:t>(1)</w:t>
      </w:r>
      <w:r w:rsidRPr="00633D23">
        <w:rPr>
          <w:rFonts w:eastAsia="Calibri"/>
          <w:color w:val="000000"/>
          <w:szCs w:val="22"/>
          <w:lang w:eastAsia="en-US"/>
        </w:rPr>
        <w:tab/>
        <w:t>Координацията на икономическите политики на държавите членки в рамките на Съюза, предвидена в Договора за функционирането на Европейския съюз (ДФЕС), води до спазване на ръководните принципи за ценова стабилност, стабилни публични финанси и парични условия, както и устойчив платежен баланс.</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(2)</w:t>
      </w:r>
      <w:r w:rsidRPr="00633D23">
        <w:rPr>
          <w:rFonts w:eastAsia="Calibri"/>
          <w:color w:val="000000"/>
          <w:szCs w:val="22"/>
          <w:lang w:eastAsia="en-US"/>
        </w:rPr>
        <w:tab/>
        <w:t xml:space="preserve">Рамката за икономическо управление на Съюза, която включва развита система за координиране на политиките и наблюдение на икономическите политики на държавите членки, ръководи държавите членки при постигането на техните цели на икономическата и фискалната политика. След Договора от </w:t>
      </w:r>
      <w:proofErr w:type="spellStart"/>
      <w:r w:rsidRPr="00633D23">
        <w:rPr>
          <w:rFonts w:eastAsia="Calibri"/>
          <w:color w:val="000000"/>
          <w:szCs w:val="22"/>
          <w:lang w:eastAsia="en-US"/>
        </w:rPr>
        <w:t>Маастрихт</w:t>
      </w:r>
      <w:proofErr w:type="spellEnd"/>
      <w:r w:rsidRPr="00633D23">
        <w:rPr>
          <w:rFonts w:eastAsia="Calibri"/>
          <w:color w:val="000000"/>
          <w:szCs w:val="22"/>
          <w:lang w:eastAsia="en-US"/>
        </w:rPr>
        <w:t xml:space="preserve"> от 1992 г. рамката спомогна за постигане на макроикономическо сближаване, за защита на стабилните публични финанси и за преодоляване на макроикономическите дисбаланси. Заедно с общата парична политика и общата валута в еврозоната, рамката създаде условия за икономическа стабилност, устойчив и приобщаващ икономически растеж и по-висока заетост за гражданите на Съюза.</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lastRenderedPageBreak/>
        <w:t>(3)</w:t>
      </w:r>
      <w:r w:rsidRPr="00633D23">
        <w:rPr>
          <w:rFonts w:eastAsia="Calibri"/>
          <w:color w:val="000000"/>
          <w:szCs w:val="22"/>
          <w:lang w:eastAsia="en-US"/>
        </w:rPr>
        <w:tab/>
        <w:t>Пактът за стабилност и растеж (ПСР), който първоначално се състоеше от Регламент (ЕО) № 1466/97 на Съвета</w:t>
      </w:r>
      <w:r w:rsidRPr="00633D23">
        <w:rPr>
          <w:rFonts w:eastAsia="Calibri"/>
          <w:noProof/>
          <w:color w:val="000000"/>
          <w:szCs w:val="22"/>
          <w:vertAlign w:val="superscript"/>
          <w:lang w:eastAsia="en-US"/>
        </w:rPr>
        <w:footnoteReference w:id="4"/>
      </w:r>
      <w:r w:rsidRPr="00633D23">
        <w:rPr>
          <w:rFonts w:eastAsia="Calibri"/>
          <w:color w:val="000000"/>
          <w:szCs w:val="22"/>
          <w:lang w:eastAsia="en-US"/>
        </w:rPr>
        <w:t>, Регламент (ЕО) № 1467/97 на Съвета от 7 юли 1997 г.</w:t>
      </w:r>
      <w:r w:rsidRPr="00633D23">
        <w:rPr>
          <w:rFonts w:eastAsia="Calibri"/>
          <w:noProof/>
          <w:color w:val="000000"/>
          <w:szCs w:val="22"/>
          <w:vertAlign w:val="superscript"/>
          <w:lang w:eastAsia="en-US"/>
        </w:rPr>
        <w:footnoteReference w:id="5"/>
      </w:r>
      <w:r w:rsidRPr="00633D23">
        <w:rPr>
          <w:rFonts w:eastAsia="Calibri"/>
          <w:color w:val="000000"/>
          <w:szCs w:val="22"/>
          <w:lang w:eastAsia="en-US"/>
        </w:rPr>
        <w:t xml:space="preserve"> и Резолюцията на Европейския съвет от 17 юни 1997 г. относно ПСР</w:t>
      </w:r>
      <w:r w:rsidRPr="00633D23">
        <w:rPr>
          <w:rFonts w:eastAsia="Calibri"/>
          <w:noProof/>
          <w:color w:val="000000"/>
          <w:szCs w:val="22"/>
          <w:vertAlign w:val="superscript"/>
          <w:lang w:eastAsia="en-US"/>
        </w:rPr>
        <w:footnoteReference w:id="6"/>
      </w:r>
      <w:r w:rsidRPr="00633D23">
        <w:rPr>
          <w:rFonts w:eastAsia="Calibri"/>
          <w:color w:val="000000"/>
          <w:szCs w:val="22"/>
          <w:lang w:eastAsia="en-US"/>
        </w:rPr>
        <w:t>, се основава на целта за стабилни и устойчиви държавни финанси като средство за укрепване на условията за ценова стабилност и за силен, устойчив и приобщаващ растеж, подкрепен от финансова стабилност, като по този начин се подпомага постигането на целите на Съюза за устойчив растеж и заетост.</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(4)</w:t>
      </w:r>
      <w:r w:rsidRPr="00633D23">
        <w:rPr>
          <w:rFonts w:eastAsia="Calibri"/>
          <w:color w:val="000000"/>
          <w:szCs w:val="22"/>
          <w:lang w:eastAsia="en-US"/>
        </w:rPr>
        <w:tab/>
        <w:t>В третия етап на Икономическия и паричен съюз (ИПС) държавите членки са задължени, съгласно член 126, параграф 1 от ДФЕС, да избягват прекомерен бюджетен дефицит.</w:t>
      </w:r>
    </w:p>
    <w:p w:rsidR="00DD4C36" w:rsidRPr="00633D23" w:rsidRDefault="00DD4C36" w:rsidP="00E20E38">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(5)</w:t>
      </w:r>
      <w:r w:rsidRPr="00633D23">
        <w:rPr>
          <w:rFonts w:eastAsia="Calibri"/>
          <w:color w:val="000000"/>
          <w:szCs w:val="22"/>
          <w:lang w:eastAsia="en-US"/>
        </w:rPr>
        <w:tab/>
        <w:t xml:space="preserve">Рамката за икономическо управление на Съюза следва да бъде адаптирана, за да отчита в по-голяма степен повишената разнородност на фискалните позиции, публичния дълг, икономическите предизвикателства и други уязвимости в държавите членки. Силният политически отговор на пандемията от COVID-19 се оказа високо ефективен за смекчаване на икономическите и социалните последици от кризата, но доведе до значително увеличаване на съотношенията на дълга на публичния и частния сектор към БВП, като открои значението на намаляването на съотношенията на дълга и дефицитите до разумни равнища по постепенен, реалистичен, устойчив и благоприятстващ растежа начин, който дава възможност за </w:t>
      </w:r>
      <w:proofErr w:type="spellStart"/>
      <w:r w:rsidRPr="00633D23">
        <w:rPr>
          <w:rFonts w:eastAsia="Calibri"/>
          <w:color w:val="000000"/>
          <w:szCs w:val="22"/>
          <w:lang w:eastAsia="en-US"/>
        </w:rPr>
        <w:t>антициклични</w:t>
      </w:r>
      <w:proofErr w:type="spellEnd"/>
      <w:r w:rsidRPr="00633D23">
        <w:rPr>
          <w:rFonts w:eastAsia="Calibri"/>
          <w:color w:val="000000"/>
          <w:szCs w:val="22"/>
          <w:lang w:eastAsia="en-US"/>
        </w:rPr>
        <w:t xml:space="preserve"> политики и преодоляване на макроикономическите дисбаланси, като същевременно се обръща дължимото внимание на целите в областта на заетостта и социалните цели.</w:t>
      </w:r>
      <w:r w:rsidR="00E20E38">
        <w:rPr>
          <w:rFonts w:eastAsia="Calibri"/>
          <w:noProof/>
          <w:color w:val="000000"/>
          <w:szCs w:val="22"/>
          <w:lang w:val="en-GB" w:eastAsia="en-US"/>
        </w:rPr>
        <w:t xml:space="preserve"> </w:t>
      </w:r>
      <w:r w:rsidRPr="00633D23">
        <w:rPr>
          <w:rFonts w:eastAsia="Calibri"/>
          <w:color w:val="000000"/>
          <w:szCs w:val="22"/>
          <w:lang w:eastAsia="en-US"/>
        </w:rPr>
        <w:t xml:space="preserve">Същевременно рамката за икономическо управление на Съюза следва да бъде адаптирана, за да спомогне за справяне със средносрочните и дългосрочните предизвикателства, пред които е изправен Съюзът, включително постигането на справедлив цифров </w:t>
      </w:r>
      <w:r w:rsidRPr="00633D23">
        <w:rPr>
          <w:rFonts w:eastAsia="Calibri"/>
          <w:color w:val="000000"/>
          <w:szCs w:val="22"/>
          <w:lang w:eastAsia="en-US"/>
        </w:rPr>
        <w:lastRenderedPageBreak/>
        <w:t>и екологичен преход, в това число Европейският закон за климата</w:t>
      </w:r>
      <w:r w:rsidRPr="00633D23">
        <w:rPr>
          <w:rFonts w:eastAsia="Calibri"/>
          <w:noProof/>
          <w:color w:val="000000"/>
          <w:szCs w:val="22"/>
          <w:vertAlign w:val="superscript"/>
          <w:lang w:eastAsia="en-US"/>
        </w:rPr>
        <w:footnoteReference w:id="7"/>
      </w:r>
      <w:r w:rsidRPr="00633D23">
        <w:rPr>
          <w:rFonts w:eastAsia="Calibri"/>
          <w:color w:val="000000"/>
          <w:szCs w:val="22"/>
          <w:lang w:eastAsia="en-US"/>
        </w:rPr>
        <w:t>, гарантирането на енергийна сигурност, подкрепата за отворена стратегическа автономност, справянето с демографските промени, засилването на социалната и икономическата устойчивост и устойчивата конвергенция, и изпълнението на Стратегическия компас за сигурност и отбрана, като за всички тях са необходими реформи и устойчиви високи равнища на инвестиции през следващите години.</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(6)</w:t>
      </w:r>
      <w:r w:rsidRPr="00633D23">
        <w:rPr>
          <w:rFonts w:eastAsia="Calibri"/>
          <w:color w:val="000000"/>
          <w:szCs w:val="22"/>
          <w:lang w:eastAsia="en-US"/>
        </w:rPr>
        <w:tab/>
        <w:t>Рамката за икономическо управление на Съюза следва да насърчава стабилни и устойчиви публични финанси и устойчив и приобщаващ растеж и следователно да прави разграничение между държавите членки, като взема предвид техния публичен дълг и икономически предизвикателства и дава възможност за многогодишни специфични за всяка държава фискални траектории, като същевременно гарантира ефективно многостранно наблюдение и зачита принципа на равно третиране.</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(7)</w:t>
      </w:r>
      <w:r w:rsidRPr="00633D23">
        <w:rPr>
          <w:rFonts w:eastAsia="Calibri"/>
          <w:color w:val="000000"/>
          <w:szCs w:val="22"/>
          <w:lang w:eastAsia="en-US"/>
        </w:rPr>
        <w:tab/>
        <w:t>Същевременно, за да се осигури прозрачна и обща рамка на Съюза, основана на референтните стойности, посочени в член 126, параграф 2 от ДФЕС и Протокол № 12 относно процедурата при прекомерен дефицит, приложен към ДФЕС и към Договора за Европейския съюз (ДЕС), по-стриктното правоприлагане, което е в основата на многостранното наблюдение, следва да бъде необходимото допълнение към една рамка за надзор, основана на риска, която позволява фискални траектории, специфични за всяка държава.</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lastRenderedPageBreak/>
        <w:t>(8)</w:t>
      </w:r>
      <w:r w:rsidRPr="00633D23">
        <w:rPr>
          <w:rFonts w:eastAsia="Calibri"/>
          <w:color w:val="000000"/>
          <w:szCs w:val="22"/>
          <w:lang w:eastAsia="en-US"/>
        </w:rPr>
        <w:tab/>
        <w:t>За да се опрости фискалната рамка на Съюза и да се повиши прозрачността, единен оперативен показател, основан на устойчивостта на обслужването на дълга, следва да служи като основа за определяне на план за нетните разходи и за извършване на годишен фискален надзор за всяка държава членка. Този единен показател следва да се основава на финансираните на национално равнище нетни първични разходи, т.е.</w:t>
      </w:r>
      <w:r w:rsidRPr="00633D23">
        <w:rPr>
          <w:rFonts w:eastAsia="Calibri"/>
          <w:b/>
          <w:bCs/>
          <w:i/>
          <w:iCs/>
          <w:color w:val="000000"/>
          <w:szCs w:val="22"/>
          <w:lang w:eastAsia="en-US"/>
        </w:rPr>
        <w:t>: държавните разходи</w:t>
      </w:r>
      <w:r>
        <w:rPr>
          <w:rFonts w:eastAsia="Calibri"/>
          <w:b/>
          <w:bCs/>
          <w:i/>
          <w:iCs/>
          <w:color w:val="000000"/>
          <w:szCs w:val="22"/>
          <w:lang w:eastAsia="en-US"/>
        </w:rPr>
        <w:t xml:space="preserve"> </w:t>
      </w:r>
      <w:r w:rsidRPr="00633D23">
        <w:rPr>
          <w:rFonts w:eastAsia="Calibri"/>
          <w:b/>
          <w:bCs/>
          <w:i/>
          <w:iCs/>
          <w:color w:val="000000"/>
          <w:szCs w:val="22"/>
          <w:lang w:eastAsia="en-US"/>
        </w:rPr>
        <w:t>без разходите за лихви</w:t>
      </w:r>
      <w:r w:rsidRPr="00633D23">
        <w:rPr>
          <w:rFonts w:eastAsia="Calibri"/>
          <w:color w:val="000000"/>
          <w:szCs w:val="22"/>
          <w:lang w:eastAsia="en-US"/>
        </w:rPr>
        <w:t xml:space="preserve">, </w:t>
      </w:r>
      <w:proofErr w:type="spellStart"/>
      <w:r w:rsidRPr="00633D23">
        <w:rPr>
          <w:rFonts w:eastAsia="Calibri"/>
          <w:color w:val="000000"/>
          <w:szCs w:val="22"/>
          <w:lang w:eastAsia="en-US"/>
        </w:rPr>
        <w:t>дискреционните</w:t>
      </w:r>
      <w:proofErr w:type="spellEnd"/>
      <w:r w:rsidRPr="00633D23">
        <w:rPr>
          <w:rFonts w:eastAsia="Calibri"/>
          <w:color w:val="000000"/>
          <w:szCs w:val="22"/>
          <w:lang w:eastAsia="en-US"/>
        </w:rPr>
        <w:t xml:space="preserve"> мерки по отношение на приходите</w:t>
      </w:r>
      <w:r w:rsidRPr="00DA0613">
        <w:rPr>
          <w:rFonts w:eastAsia="Calibri"/>
          <w:b/>
          <w:bCs/>
          <w:i/>
          <w:iCs/>
          <w:color w:val="000000"/>
          <w:szCs w:val="22"/>
          <w:lang w:eastAsia="en-US"/>
        </w:rPr>
        <w:t>,</w:t>
      </w:r>
      <w:r>
        <w:rPr>
          <w:rFonts w:eastAsia="Calibri"/>
          <w:color w:val="000000"/>
          <w:szCs w:val="22"/>
          <w:lang w:eastAsia="en-US"/>
        </w:rPr>
        <w:t xml:space="preserve"> </w:t>
      </w:r>
      <w:r w:rsidRPr="00DA0613">
        <w:rPr>
          <w:rFonts w:eastAsia="Calibri"/>
          <w:b/>
          <w:bCs/>
          <w:i/>
          <w:iCs/>
          <w:color w:val="000000"/>
          <w:szCs w:val="22"/>
          <w:lang w:eastAsia="en-US"/>
        </w:rPr>
        <w:t>разходи</w:t>
      </w:r>
      <w:r>
        <w:rPr>
          <w:rFonts w:eastAsia="Calibri"/>
          <w:b/>
          <w:bCs/>
          <w:i/>
          <w:iCs/>
          <w:color w:val="000000"/>
          <w:szCs w:val="22"/>
          <w:lang w:eastAsia="en-US"/>
        </w:rPr>
        <w:t>те</w:t>
      </w:r>
      <w:r w:rsidRPr="00DA0613">
        <w:rPr>
          <w:rFonts w:eastAsia="Calibri"/>
          <w:b/>
          <w:bCs/>
          <w:i/>
          <w:iCs/>
          <w:color w:val="000000"/>
          <w:szCs w:val="22"/>
          <w:lang w:eastAsia="en-US"/>
        </w:rPr>
        <w:t xml:space="preserve"> по програми на Съюза, изцяло съчетани с приходи от фондове на Съюза</w:t>
      </w:r>
      <w:r w:rsidRPr="00633D23">
        <w:rPr>
          <w:rFonts w:eastAsia="Calibri"/>
          <w:color w:val="000000"/>
          <w:szCs w:val="22"/>
          <w:lang w:eastAsia="en-US"/>
        </w:rPr>
        <w:t xml:space="preserve"> </w:t>
      </w:r>
      <w:r w:rsidRPr="00DA0613">
        <w:rPr>
          <w:rFonts w:eastAsia="Calibri"/>
          <w:b/>
          <w:bCs/>
          <w:i/>
          <w:iCs/>
          <w:color w:val="000000"/>
          <w:szCs w:val="22"/>
          <w:lang w:eastAsia="en-US"/>
        </w:rPr>
        <w:t>и национални разходи за съфинансиране на програми, финансирани от Съюза, както</w:t>
      </w:r>
      <w:r>
        <w:rPr>
          <w:rFonts w:eastAsia="Calibri"/>
          <w:color w:val="000000"/>
          <w:szCs w:val="22"/>
          <w:lang w:eastAsia="en-US"/>
        </w:rPr>
        <w:t xml:space="preserve"> </w:t>
      </w:r>
      <w:r w:rsidRPr="00633D23">
        <w:rPr>
          <w:rFonts w:eastAsia="Calibri"/>
          <w:color w:val="000000"/>
          <w:szCs w:val="22"/>
          <w:lang w:eastAsia="en-US"/>
        </w:rPr>
        <w:t xml:space="preserve">и </w:t>
      </w:r>
      <w:r w:rsidRPr="00DA0613">
        <w:rPr>
          <w:rFonts w:eastAsia="Calibri"/>
          <w:b/>
          <w:bCs/>
          <w:i/>
          <w:iCs/>
          <w:color w:val="000000"/>
          <w:szCs w:val="22"/>
          <w:lang w:eastAsia="en-US"/>
        </w:rPr>
        <w:t>циклични елементи на разходите за обезщетения при</w:t>
      </w:r>
      <w:r w:rsidRPr="00633D23">
        <w:rPr>
          <w:rFonts w:eastAsia="Calibri"/>
          <w:color w:val="000000"/>
          <w:szCs w:val="22"/>
          <w:lang w:eastAsia="en-US"/>
        </w:rPr>
        <w:t xml:space="preserve"> безработица. В съответствие с ръководните принципи, използвани от Европейската комисия за класифициране на трансакциите като еднократни, еднократните и другите временни мерки също следва да бъдат изключени от нетните разходи. Този показател позволява макроикономическа стабилизация, тъй като не е засегнат от действието на автоматичните стабилизатори, включително колебанията в приходите и разходите извън прекия контрол на правителството.</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(9)</w:t>
      </w:r>
      <w:r w:rsidRPr="00633D23">
        <w:rPr>
          <w:rFonts w:eastAsia="Calibri"/>
          <w:color w:val="000000"/>
          <w:szCs w:val="22"/>
          <w:lang w:eastAsia="en-US"/>
        </w:rPr>
        <w:tab/>
        <w:t>Процедурата при прекомерен дефицит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xml:space="preserve">) при неспазване на референтната стойност за дефицита от 3% от брутния вътрешен продукт (БВП) („основана на дефицита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посочена в член 126, параграф 2 от ДФЕС и Протокол № 12, е добре установен елемент от рамката за фискален надзор на Съюза, който оказва ефективно влияние върху фискалната политика в държавите членки.</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(10)</w:t>
      </w:r>
      <w:r w:rsidRPr="00633D23">
        <w:rPr>
          <w:rFonts w:eastAsia="Calibri"/>
          <w:color w:val="000000"/>
          <w:szCs w:val="22"/>
          <w:lang w:eastAsia="en-US"/>
        </w:rPr>
        <w:tab/>
        <w:t xml:space="preserve">За да се засили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xml:space="preserve"> при неспазване на критерия за дълга от 60% от БВП („основана на дълга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посочена в член 126, параграф 2 от ДФЕС и Протокол № 12, акцентът следва да бъде поставен върху отклоненията от плана за нетните разходи, определен от Съвета съгласно Регламент (ЕС) [ ...] на Европейския парламент и на Съвета</w:t>
      </w:r>
      <w:r w:rsidRPr="00633D23">
        <w:rPr>
          <w:rFonts w:eastAsia="Calibri"/>
          <w:noProof/>
          <w:color w:val="000000"/>
          <w:szCs w:val="22"/>
          <w:vertAlign w:val="superscript"/>
          <w:lang w:eastAsia="en-US"/>
        </w:rPr>
        <w:footnoteReference w:id="8"/>
      </w:r>
      <w:r w:rsidRPr="00633D23">
        <w:rPr>
          <w:rFonts w:eastAsia="Calibri"/>
          <w:color w:val="000000"/>
          <w:szCs w:val="22"/>
          <w:lang w:eastAsia="en-US"/>
        </w:rPr>
        <w:t>.</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lastRenderedPageBreak/>
        <w:t>(13)</w:t>
      </w:r>
      <w:r w:rsidRPr="00633D23">
        <w:rPr>
          <w:rFonts w:eastAsia="Calibri"/>
          <w:color w:val="000000"/>
          <w:szCs w:val="22"/>
          <w:lang w:eastAsia="en-US"/>
        </w:rPr>
        <w:tab/>
        <w:t>В съответствие с членове 24 и 25 от Регламент (ЕС) [относно предпазните мерки] Съветът, по препоръка на Комисията, може да позволи на държавите членки да се отклонят от плана за нетните разходи, определен от Съвета съгласно посочения регламент, в случай на сериозен икономически спад в еврозоната или в Съюза като цяло или в случай на извънредни обстоятелства извън контрола на правителството със значително въздействие върху публичните финанси на съответната държава членка, при условие че това не застрашава фискалната устойчивост в средносрочен план. Вследствие на това такова отклонение не следва да бъде регистрирано в контролния отчет, нито да води до откриването на процедура при прекомерен дефицит, основана на дълга.</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(14)</w:t>
      </w:r>
      <w:r w:rsidRPr="00633D23">
        <w:rPr>
          <w:rFonts w:eastAsia="Calibri"/>
          <w:color w:val="000000"/>
          <w:szCs w:val="22"/>
          <w:lang w:eastAsia="en-US"/>
        </w:rPr>
        <w:tab/>
        <w:t>Когато оценява наличието на прекомерен дефицит в съответствие с член 126, параграф 3 от ДФЕС, Комисията следва да вземе предвид всички значими фактори. Съществените предизвикателства, свързани с публичния дълг в съответната държава членка, следва да се считат за ключов утежняващ фактор.</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DD4C36">
        <w:rPr>
          <w:rFonts w:eastAsia="Calibri"/>
          <w:b/>
          <w:bCs/>
          <w:i/>
          <w:iCs/>
          <w:color w:val="000000"/>
          <w:szCs w:val="22"/>
          <w:lang w:eastAsia="en-US"/>
        </w:rPr>
        <w:t>(14а)</w:t>
      </w:r>
      <w:r w:rsidRPr="00633D23">
        <w:rPr>
          <w:rFonts w:eastAsia="Calibri"/>
          <w:color w:val="000000"/>
          <w:szCs w:val="22"/>
          <w:lang w:eastAsia="en-US"/>
        </w:rPr>
        <w:tab/>
        <w:t>Като се отчитат нарастващото геополитическо напрежение и предизвикателствата пред сигурността, както и съответстващата на това необходимост държавите членки да изградят способностите си, увеличаването на държавните инвестиции в отбраната, когато е приложимо, следва да се счита за фактор от значение при оценката на наличието на прекомерен дефицит в съответствие с член 126, параграф 3 от ДФЕС. Този фактор може да бъде оценен спрямо средните стойности за ЕС, средносрочните тенденции или други съответни референтни показатели, като се вземат предвид и статистическите правила относно момента на регистриране на разходите за военно оборудване.</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lastRenderedPageBreak/>
        <w:t>(15)</w:t>
      </w:r>
      <w:r w:rsidRPr="00633D23">
        <w:rPr>
          <w:rFonts w:eastAsia="Calibri"/>
          <w:color w:val="000000"/>
          <w:szCs w:val="22"/>
          <w:lang w:eastAsia="en-US"/>
        </w:rPr>
        <w:tab/>
        <w:t>За да се проследяват действителните отклонения от плана за нетните разходи, както е посочено в член 21 от Регламент (ЕС) [относно предпазните мерки], Комисията следва да създаде контролен отчет за всяка държава членка, в който годишните отклонения се сумират във времето. Информацията в контролния отчет следва да бъде в основата на действията по правоприлагане. По-специално Комисията изготвя доклад в съответствие с член 126, параграф 3 от ДФЕС, когато съотношението на държавния дълг към БВП надвишава референтната стойност, състоянието на бюджета не е близо до баланс или излишък и когато отклоненията, регистрирани в контролния отчет на държавата членка, надвишават установените годишни или кумулативни прагове. Състоянието на бюджета се счита за близко до балансираното, ако номиналният дефицит не надвишава 0,5 процентни пункта от БВП.</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(16)</w:t>
      </w:r>
      <w:r w:rsidRPr="00633D23">
        <w:rPr>
          <w:rFonts w:eastAsia="Calibri"/>
          <w:color w:val="000000"/>
          <w:szCs w:val="22"/>
          <w:lang w:eastAsia="en-US"/>
        </w:rPr>
        <w:tab/>
        <w:t xml:space="preserve">Коригиращият план за нетните разходи в рамките на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xml:space="preserve"> следва да сведе или да задържи дефицита по консолидирания държавен бюджет под референтната стойност от 3% от БВП, посочена в член 126, параграф 2 от ДФЕС и Протокол № 12, в срока, определен от Съвета. Коригиращият план за нетните разходи в рамките на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xml:space="preserve"> по принцип ще бъде първоначално определеният от Съвета, като същевременно се вземе предвид необходимостта да се гарантира минимална структурна корекция от 0,5% от БВП в случай на нарушение на критерия за дефицита или необходимостта от коригиране на отклонението от този план по правило в случай на нарушение на критерия за дълга. В случай че този първоначален план вече не е осъществим поради обективни обстоятелства, следва да е възможно Съветът да определи различен план в рамките на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w:t>
      </w:r>
    </w:p>
    <w:p w:rsidR="00DD4C36" w:rsidRDefault="00DD4C36" w:rsidP="00DD4C36">
      <w:pPr>
        <w:widowControl/>
        <w:rPr>
          <w:rFonts w:eastAsia="Calibri"/>
          <w:color w:val="000000"/>
          <w:szCs w:val="22"/>
          <w:lang w:eastAsia="en-US"/>
        </w:rPr>
      </w:pPr>
      <w:r>
        <w:rPr>
          <w:rFonts w:eastAsia="Calibri"/>
          <w:color w:val="000000"/>
          <w:szCs w:val="22"/>
          <w:lang w:eastAsia="en-US"/>
        </w:rPr>
        <w:br w:type="page"/>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lastRenderedPageBreak/>
        <w:t>(17)</w:t>
      </w:r>
      <w:r w:rsidRPr="00633D23">
        <w:rPr>
          <w:rFonts w:eastAsia="Calibri"/>
          <w:color w:val="000000"/>
          <w:szCs w:val="22"/>
          <w:lang w:eastAsia="en-US"/>
        </w:rPr>
        <w:tab/>
        <w:t xml:space="preserve">За държавите членки, за които се прилага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Съветът, по препоръка на Комисията, следва да продължи да може да удължава крайния срок за коригиране на прекомерния дефицит, когато установи наличието на сериозен икономически спад в еврозоната или в Съюза като цяло в съответствие с член 24 от Регламент (ЕС) [относно предпазните мерки] или в случай на извънредни обстоятелства извън контрола на правителството със значително въздействие върху публичните финанси на отделна държава членка в съответствие с член 25 от Регламент (ЕС) [относно предпазните мерки] и при условие че това не застрашава фискалната устойчивост в средносрочен план.</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lastRenderedPageBreak/>
        <w:t>(18)</w:t>
      </w:r>
      <w:r w:rsidRPr="00633D23">
        <w:rPr>
          <w:rFonts w:eastAsia="Calibri"/>
          <w:color w:val="000000"/>
          <w:szCs w:val="22"/>
          <w:lang w:eastAsia="en-US"/>
        </w:rPr>
        <w:tab/>
        <w:t>Специфичните разпоредби на Регламент (ЕО) № 1467/97, свързани с вноските в пенсионните системи от втория стълб, следва да бъдат заличени, тъй като в плана за нетните разходи, определен от Съвета, следва вече да е взета предвид загубата на приходи, свързана с тези вноски.</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(19)</w:t>
      </w:r>
      <w:r w:rsidRPr="00633D23">
        <w:rPr>
          <w:rFonts w:eastAsia="Calibri"/>
          <w:color w:val="000000"/>
          <w:szCs w:val="22"/>
          <w:lang w:eastAsia="en-US"/>
        </w:rPr>
        <w:tab/>
        <w:t>Независимите фискални институции доказаха способността си да насърчават фискалната дисциплина и да укрепват доверието в публичните финанси на държавите членки. За да се засили националната ангажираност, ролята на независимите фискални институции следва да бъде запазена в реформираната рамка за икономическо управление на Съюза</w:t>
      </w:r>
      <w:r w:rsidRPr="00DA0613">
        <w:rPr>
          <w:rFonts w:eastAsia="Calibri"/>
          <w:b/>
          <w:bCs/>
          <w:i/>
          <w:iCs/>
          <w:color w:val="000000"/>
          <w:szCs w:val="22"/>
          <w:lang w:eastAsia="en-US"/>
        </w:rPr>
        <w:t>, с оглед на постепенното изграждане на техния капацитет</w:t>
      </w:r>
      <w:r w:rsidRPr="00633D23">
        <w:rPr>
          <w:rFonts w:eastAsia="Calibri"/>
          <w:color w:val="000000"/>
          <w:szCs w:val="22"/>
          <w:lang w:eastAsia="en-US"/>
        </w:rPr>
        <w:t>. Един по-независим Европейски фискален съвет следва да играе по-значима консултативна роля в рамката за икономическо управление на Съюза.</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(20)</w:t>
      </w:r>
      <w:r w:rsidRPr="00633D23">
        <w:rPr>
          <w:rFonts w:eastAsia="Calibri"/>
          <w:color w:val="000000"/>
          <w:szCs w:val="22"/>
          <w:lang w:eastAsia="en-US"/>
        </w:rPr>
        <w:tab/>
        <w:t xml:space="preserve">Следва да се определят ясни условия за отмяна на процедурите при прекомерен дефицит. За отмяната следва да е необходимо дефицитът да остане надеждно под референтната стойност от 3% от БВП, посочена в член 126, параграф 2 от ДФЕС и Протокол № 12, а за основаната на дълг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xml:space="preserve"> — държавата членка да докаже съответствие с плана за нетните разходи в рамките на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(21)</w:t>
      </w:r>
      <w:r w:rsidRPr="00633D23">
        <w:rPr>
          <w:rFonts w:eastAsia="Calibri"/>
          <w:color w:val="000000"/>
          <w:szCs w:val="22"/>
          <w:lang w:eastAsia="en-US"/>
        </w:rPr>
        <w:tab/>
        <w:t xml:space="preserve">Глобите, предвидени в член 126, параграф 11 от ДФЕС, не следва да предвиждат минимален размер, а да се натрупват до предприемането на ефективни действия, за да представляват реален стимул за спазване на предизвестията, отправени към държавите членки в рамките на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xml:space="preserve"> в съответствие с член 126, параграф 9 от ДФЕС.</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lastRenderedPageBreak/>
        <w:t>(22)</w:t>
      </w:r>
      <w:r w:rsidRPr="00633D23">
        <w:rPr>
          <w:rFonts w:eastAsia="Calibri"/>
          <w:color w:val="000000"/>
          <w:szCs w:val="22"/>
          <w:lang w:eastAsia="en-US"/>
        </w:rPr>
        <w:tab/>
        <w:t>Разпоредбите, свързани с Обединеното кралство, следва да бъдат заличени.</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(23)</w:t>
      </w:r>
      <w:r w:rsidRPr="00633D23">
        <w:rPr>
          <w:rFonts w:eastAsia="Calibri"/>
          <w:color w:val="000000"/>
          <w:szCs w:val="22"/>
          <w:lang w:eastAsia="en-US"/>
        </w:rPr>
        <w:tab/>
        <w:t>Настоящият регламент е част от пакет заедно с Регламент (ЕС) [относно предпазните мерки] и Директива (ЕС) [ ...] за изменение на Директива 2011/85/ЕС относно изискванията за бюджетните рамки на държавите членки. Взети заедно, с тях се създава реформирана рамка на Съюза за икономическо управление, чрез която в правото на Съюза се включва същността на дял III „Фискален пакт“ от Договора за стабилност, координация и управление в икономическия и паричен съюз (ДСКУ)</w:t>
      </w:r>
      <w:r w:rsidRPr="00633D23">
        <w:rPr>
          <w:rFonts w:eastAsia="Calibri"/>
          <w:noProof/>
          <w:color w:val="000000"/>
          <w:szCs w:val="22"/>
          <w:vertAlign w:val="superscript"/>
          <w:lang w:eastAsia="en-US"/>
        </w:rPr>
        <w:footnoteReference w:id="9"/>
      </w:r>
      <w:r w:rsidRPr="00633D23">
        <w:rPr>
          <w:rFonts w:eastAsia="Calibri"/>
          <w:color w:val="000000"/>
          <w:szCs w:val="22"/>
          <w:lang w:eastAsia="en-US"/>
        </w:rPr>
        <w:t>, в съответствие с член 16 от него. Въз основава на опита от прилагането на ДСКУ от държавите членки, предложеният законодателен пакет запазва средносрочната ориентация на фискалния пакт като инструмент за постигане на бюджетна дисциплина и насърчаване на растежа. Пакетът съдържа засилено специфично за всяка държава измерение, предназначено за повишаване на националната ангажираност, включително чрез засилване на ролята на независимите фискални институции, което се основава на общите принципи на фискалния пакт, предложени от Комисията</w:t>
      </w:r>
      <w:r w:rsidRPr="00633D23">
        <w:rPr>
          <w:rFonts w:eastAsia="Calibri"/>
          <w:noProof/>
          <w:color w:val="000000"/>
          <w:szCs w:val="22"/>
          <w:vertAlign w:val="superscript"/>
          <w:lang w:eastAsia="en-US"/>
        </w:rPr>
        <w:footnoteReference w:id="10"/>
      </w:r>
      <w:r w:rsidRPr="00633D23">
        <w:rPr>
          <w:rFonts w:eastAsia="Calibri"/>
          <w:color w:val="000000"/>
          <w:szCs w:val="22"/>
          <w:lang w:eastAsia="en-US"/>
        </w:rPr>
        <w:t xml:space="preserve"> в съответствие с член 3, параграф 2 от ДСКУ.</w:t>
      </w:r>
      <w:r>
        <w:rPr>
          <w:rFonts w:eastAsia="Calibri"/>
          <w:color w:val="000000"/>
          <w:szCs w:val="22"/>
          <w:lang w:eastAsia="en-US"/>
        </w:rPr>
        <w:t xml:space="preserve"> </w:t>
      </w:r>
      <w:r w:rsidRPr="00633D23">
        <w:rPr>
          <w:rFonts w:eastAsia="Calibri"/>
          <w:color w:val="000000"/>
          <w:szCs w:val="22"/>
          <w:lang w:eastAsia="en-US"/>
        </w:rPr>
        <w:t xml:space="preserve">Анализът на разходите, след приспадане на </w:t>
      </w:r>
      <w:proofErr w:type="spellStart"/>
      <w:r w:rsidRPr="00633D23">
        <w:rPr>
          <w:rFonts w:eastAsia="Calibri"/>
          <w:color w:val="000000"/>
          <w:szCs w:val="22"/>
          <w:lang w:eastAsia="en-US"/>
        </w:rPr>
        <w:t>дискреционните</w:t>
      </w:r>
      <w:proofErr w:type="spellEnd"/>
      <w:r w:rsidRPr="00633D23">
        <w:rPr>
          <w:rFonts w:eastAsia="Calibri"/>
          <w:color w:val="000000"/>
          <w:szCs w:val="22"/>
          <w:lang w:eastAsia="en-US"/>
        </w:rPr>
        <w:t xml:space="preserve"> мерки по отношение на приходите, за цялостната оценка на съответствието, изисквана от фискалния пакт, е изложен в Регламент (ЕС) [относно предпазните мерки]. Както и във фискалния пакт, временни отклонения от средносрочния план се допускат само при извънредни обстоятелства в съответствие с членове 24 и 25 от Регламент (ЕС) [относно предпазните мерки] и в съответствие с разпоредбите относно контролния отчет. Подобно на фискалния пакт в случай на значителни отклонения от средносрочния план следва да се приложат мерки за коригиране на отклоненията в рамките на определен период от време. Пакетът укрепва процедурите за фискален надзор и правоприлагане, за да се изпълни ангажиментът за насърчаване на стабилни и устойчиви публични финанси и устойчив и приобщаващ растеж. По този начин реформата на рамката за икономическо управление запазва основните цели за бюджетна дисциплина и устойчивост на дълга, определени в ДСКУ.</w:t>
      </w:r>
    </w:p>
    <w:p w:rsidR="00DD4C36" w:rsidRPr="00633D23" w:rsidRDefault="00DD4C36" w:rsidP="00DD4C36">
      <w:pPr>
        <w:widowControl/>
        <w:spacing w:before="120" w:after="120" w:line="380" w:lineRule="exact"/>
        <w:ind w:left="709" w:hanging="709"/>
        <w:rPr>
          <w:rFonts w:eastAsia="Calibri"/>
          <w:noProof/>
          <w:color w:val="000000"/>
          <w:szCs w:val="22"/>
          <w:lang w:eastAsia="en-US"/>
        </w:rPr>
      </w:pPr>
      <w:r w:rsidRPr="00633D23">
        <w:rPr>
          <w:rFonts w:eastAsia="Calibri"/>
          <w:color w:val="000000"/>
          <w:szCs w:val="22"/>
          <w:lang w:eastAsia="en-US"/>
        </w:rPr>
        <w:lastRenderedPageBreak/>
        <w:t>(24)</w:t>
      </w:r>
      <w:r w:rsidRPr="00633D23">
        <w:rPr>
          <w:rFonts w:eastAsia="Calibri"/>
          <w:color w:val="000000"/>
          <w:szCs w:val="22"/>
          <w:lang w:eastAsia="en-US"/>
        </w:rPr>
        <w:tab/>
        <w:t xml:space="preserve">Когато реформираната рамка влезе в сила, ще са необходими преходни разпоредби за държавите членки, които са обект на </w:t>
      </w:r>
      <w:proofErr w:type="spellStart"/>
      <w:r w:rsidRPr="00633D23">
        <w:rPr>
          <w:rFonts w:eastAsia="Calibri"/>
          <w:color w:val="000000"/>
          <w:szCs w:val="22"/>
          <w:lang w:eastAsia="en-US"/>
        </w:rPr>
        <w:t>ППДф</w:t>
      </w:r>
      <w:proofErr w:type="spellEnd"/>
      <w:r w:rsidRPr="00633D23">
        <w:rPr>
          <w:rFonts w:eastAsia="Calibri"/>
          <w:color w:val="000000"/>
          <w:szCs w:val="22"/>
          <w:lang w:eastAsia="en-US"/>
        </w:rPr>
        <w:t>. Препоръките съгласно член 126, параграф 7 от ДФЕС и предизвестията съгласно член 126, параграф 9 от ДФЕС, които са приети преди влизането в сила на настоящия регламент за изменение, трябва да бъдат преразгледани, за да бъдат уеднаквени с разпоредбите на изменения член 3, параграф 4 и член 5, параграф 1. Това ще позволи на Съвета да определи коригиращ план за нетните разходи в съответствие с новите разпоредби за държавите членки, които са предприели действия, без да се засилва процедурата при прекомерен дефицит.</w:t>
      </w:r>
    </w:p>
    <w:p w:rsidR="00DD4C36" w:rsidRPr="00633D23" w:rsidRDefault="00DD4C36" w:rsidP="00DD4C36">
      <w:pPr>
        <w:widowControl/>
        <w:spacing w:before="120" w:after="120" w:line="380" w:lineRule="exact"/>
        <w:ind w:left="709" w:hanging="709"/>
        <w:rPr>
          <w:rFonts w:eastAsia="Calibri"/>
          <w:noProof/>
          <w:color w:val="000000"/>
          <w:szCs w:val="22"/>
          <w:lang w:eastAsia="en-US"/>
        </w:rPr>
      </w:pPr>
      <w:r w:rsidRPr="00DD4C36">
        <w:rPr>
          <w:rFonts w:eastAsia="Calibri"/>
          <w:b/>
          <w:bCs/>
          <w:i/>
          <w:iCs/>
          <w:color w:val="000000"/>
          <w:szCs w:val="22"/>
          <w:lang w:eastAsia="en-US"/>
        </w:rPr>
        <w:t>(24а)</w:t>
      </w:r>
      <w:r w:rsidRPr="00633D23">
        <w:rPr>
          <w:rFonts w:eastAsia="Calibri"/>
          <w:color w:val="000000"/>
          <w:szCs w:val="22"/>
          <w:lang w:eastAsia="en-US"/>
        </w:rPr>
        <w:tab/>
        <w:t>Като се има предвид, че правилата на основаната на дефицита процедура при прекомерен дефицит остават непроменени с минимално годишно структурно подобрение от поне 0,5% от БВП като референтна стойност, на фона на значително променената среда на лихвените проценти, Комисията може, за преходен период през 2025 г., 2026 г. и 2027 г., за да не се компрометира положителното въздействие на Механизма за възстановяване и устойчивост, да коригира референтния показател, за да отчете увеличението на лихвените плащания при определянето на предложения план за корекции, свързан с първия средносрочен фискално-структурен план за 2025 г., 2026 г. и 2027 г. в рамките на процедурата при прекомерен дефицит, при условие че съответната държава членка отговаря на условията, определени в член 11, буква в) от Регламент (ЕС) относно предпазните мерки, в съответствие с целта за постигане на екологичен и цифров преход и изграждане на отбранителни способности.</w:t>
      </w:r>
    </w:p>
    <w:p w:rsidR="00DD4C36" w:rsidRPr="00633D23" w:rsidRDefault="00DD4C36" w:rsidP="00DD4C36">
      <w:pPr>
        <w:widowControl/>
        <w:spacing w:before="120" w:after="120" w:line="360" w:lineRule="auto"/>
        <w:ind w:left="709" w:hanging="709"/>
        <w:rPr>
          <w:rFonts w:eastAsia="Calibri"/>
          <w:noProof/>
          <w:color w:val="000000"/>
          <w:szCs w:val="22"/>
          <w:lang w:eastAsia="en-US"/>
        </w:rPr>
      </w:pPr>
      <w:r w:rsidRPr="00633D23">
        <w:rPr>
          <w:rFonts w:eastAsia="Calibri"/>
          <w:color w:val="000000"/>
          <w:szCs w:val="22"/>
          <w:lang w:eastAsia="en-US"/>
        </w:rPr>
        <w:t>(25)</w:t>
      </w:r>
      <w:r w:rsidRPr="00633D23">
        <w:rPr>
          <w:rFonts w:eastAsia="Calibri"/>
          <w:color w:val="000000"/>
          <w:szCs w:val="22"/>
          <w:lang w:eastAsia="en-US"/>
        </w:rPr>
        <w:tab/>
        <w:t>Поради това Регламент (ЕО) № 1467/97 следва да бъде съответно изменен.</w:t>
      </w:r>
    </w:p>
    <w:p w:rsidR="00E20E38" w:rsidRDefault="00DD4C36" w:rsidP="00E20E38">
      <w:pPr>
        <w:keepNext/>
        <w:widowControl/>
        <w:spacing w:before="120" w:after="120" w:line="360" w:lineRule="auto"/>
        <w:ind w:left="851" w:hanging="851"/>
        <w:rPr>
          <w:rFonts w:eastAsia="Calibri"/>
          <w:color w:val="000000"/>
          <w:szCs w:val="22"/>
          <w:lang w:eastAsia="en-US"/>
        </w:rPr>
      </w:pPr>
      <w:r w:rsidRPr="00633D23">
        <w:rPr>
          <w:rFonts w:eastAsia="Calibri"/>
          <w:color w:val="000000"/>
          <w:szCs w:val="22"/>
          <w:lang w:eastAsia="en-US"/>
        </w:rPr>
        <w:t>ПРИЕ НАСТОЯЩИЯ РЕГЛАМЕНТ:</w:t>
      </w:r>
    </w:p>
    <w:p w:rsidR="00E20E38" w:rsidRDefault="00E20E38">
      <w:pPr>
        <w:widowControl/>
        <w:rPr>
          <w:rFonts w:eastAsia="Calibri"/>
          <w:color w:val="000000"/>
          <w:szCs w:val="22"/>
          <w:lang w:eastAsia="en-US"/>
        </w:rPr>
      </w:pPr>
      <w:r>
        <w:rPr>
          <w:rFonts w:eastAsia="Calibri"/>
          <w:color w:val="000000"/>
          <w:szCs w:val="22"/>
          <w:lang w:eastAsia="en-US"/>
        </w:rPr>
        <w:br w:type="page"/>
      </w:r>
    </w:p>
    <w:p w:rsidR="00DD4C36" w:rsidRPr="00633D23" w:rsidRDefault="00DD4C36" w:rsidP="00DD4C36">
      <w:pPr>
        <w:keepNext/>
        <w:widowControl/>
        <w:spacing w:before="360" w:after="120" w:line="360" w:lineRule="auto"/>
        <w:jc w:val="center"/>
        <w:rPr>
          <w:rFonts w:eastAsia="Calibri"/>
          <w:i/>
          <w:noProof/>
          <w:color w:val="000000"/>
          <w:szCs w:val="22"/>
          <w:lang w:eastAsia="en-US"/>
        </w:rPr>
      </w:pPr>
      <w:r w:rsidRPr="00633D23">
        <w:rPr>
          <w:rFonts w:eastAsia="Calibri"/>
          <w:i/>
          <w:color w:val="000000"/>
          <w:szCs w:val="22"/>
          <w:lang w:eastAsia="en-US"/>
        </w:rPr>
        <w:lastRenderedPageBreak/>
        <w:t>Член 1</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Регламент (ЕО) № 1467/97 се изменя, както следва:</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1)</w:t>
      </w:r>
      <w:r w:rsidRPr="00633D23">
        <w:rPr>
          <w:rFonts w:eastAsia="Calibri"/>
          <w:color w:val="000000"/>
          <w:szCs w:val="22"/>
          <w:lang w:eastAsia="en-US"/>
        </w:rPr>
        <w:tab/>
        <w:t>Членове 1 и 2 се заменят със следното:</w:t>
      </w:r>
    </w:p>
    <w:p w:rsidR="00DD4C36" w:rsidRPr="00633D23" w:rsidRDefault="00DD4C36" w:rsidP="00DD4C36">
      <w:pPr>
        <w:keepNext/>
        <w:widowControl/>
        <w:spacing w:before="360" w:after="120" w:line="360" w:lineRule="auto"/>
        <w:ind w:left="851"/>
        <w:rPr>
          <w:rFonts w:eastAsia="Calibri"/>
          <w:i/>
          <w:noProof/>
          <w:color w:val="000000"/>
          <w:szCs w:val="24"/>
          <w:lang w:eastAsia="en-US"/>
        </w:rPr>
      </w:pPr>
      <w:r w:rsidRPr="00633D23">
        <w:rPr>
          <w:rFonts w:eastAsia="Calibri"/>
          <w:i/>
          <w:color w:val="000000"/>
          <w:szCs w:val="22"/>
          <w:lang w:eastAsia="en-US"/>
        </w:rPr>
        <w:t>„Член 1</w:t>
      </w:r>
    </w:p>
    <w:p w:rsidR="00DD4C36" w:rsidRPr="00633D23" w:rsidRDefault="00DD4C36" w:rsidP="00DD4C36">
      <w:pPr>
        <w:widowControl/>
        <w:spacing w:before="120" w:after="120" w:line="360" w:lineRule="auto"/>
        <w:ind w:left="1560" w:hanging="710"/>
        <w:rPr>
          <w:rFonts w:eastAsia="Calibri"/>
          <w:noProof/>
          <w:color w:val="000000"/>
          <w:szCs w:val="22"/>
          <w:lang w:eastAsia="en-US"/>
        </w:rPr>
      </w:pPr>
      <w:r w:rsidRPr="00633D23">
        <w:rPr>
          <w:rFonts w:eastAsia="Calibri"/>
          <w:color w:val="000000"/>
          <w:szCs w:val="22"/>
          <w:lang w:eastAsia="en-US"/>
        </w:rPr>
        <w:t>1. </w:t>
      </w:r>
      <w:r>
        <w:rPr>
          <w:rFonts w:eastAsia="Calibri"/>
          <w:color w:val="000000"/>
          <w:szCs w:val="22"/>
          <w:lang w:eastAsia="en-US"/>
        </w:rPr>
        <w:tab/>
      </w:r>
      <w:r w:rsidRPr="00633D23">
        <w:rPr>
          <w:rFonts w:eastAsia="Calibri"/>
          <w:color w:val="000000"/>
          <w:szCs w:val="22"/>
          <w:lang w:eastAsia="en-US"/>
        </w:rPr>
        <w:t>С настоящия регламент се определят разпоредбите за ускоряване и изясняване на прилагането на процедурата при прекомерен дефицит. Целта на процедурата при прекомерен дефицит е да възпира възникването на прекомерни бюджетни дефицити, а в случай че те възникнат — да способства за тяхното бързо коригиране, като съблюдаването на бюджетната дисциплина се проверява въз основа на критериите за бюджетния дефицит и за държавния дълг.</w:t>
      </w:r>
    </w:p>
    <w:p w:rsidR="00DD4C36" w:rsidRPr="00633D23" w:rsidRDefault="00DD4C36" w:rsidP="00DD4C36">
      <w:pPr>
        <w:widowControl/>
        <w:spacing w:before="120" w:after="120" w:line="360" w:lineRule="auto"/>
        <w:ind w:left="1560" w:hanging="710"/>
        <w:rPr>
          <w:rFonts w:eastAsia="Calibri"/>
          <w:noProof/>
          <w:color w:val="000000"/>
          <w:szCs w:val="22"/>
          <w:lang w:eastAsia="en-US"/>
        </w:rPr>
      </w:pPr>
      <w:r w:rsidRPr="00633D23">
        <w:rPr>
          <w:rFonts w:eastAsia="Calibri"/>
          <w:color w:val="000000"/>
          <w:szCs w:val="22"/>
          <w:lang w:eastAsia="en-US"/>
        </w:rPr>
        <w:t>2. </w:t>
      </w:r>
      <w:r>
        <w:rPr>
          <w:rFonts w:eastAsia="Calibri"/>
          <w:color w:val="000000"/>
          <w:szCs w:val="22"/>
          <w:lang w:eastAsia="en-US"/>
        </w:rPr>
        <w:tab/>
      </w:r>
      <w:r w:rsidRPr="00633D23">
        <w:rPr>
          <w:rFonts w:eastAsia="Calibri"/>
          <w:color w:val="000000"/>
          <w:szCs w:val="22"/>
          <w:lang w:eastAsia="en-US"/>
        </w:rPr>
        <w:t>За целите на настоящия регламент под „участващи държави членки“ се разбира онези държави членки, чиято парична единица е еврото. Прилагат се определенията по член 2 от Регламент (ЕС) [относно предпазните мерки].</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keepNext/>
        <w:widowControl/>
        <w:spacing w:before="360" w:after="120" w:line="360" w:lineRule="auto"/>
        <w:ind w:left="851"/>
        <w:rPr>
          <w:rFonts w:eastAsia="Calibri"/>
          <w:i/>
          <w:noProof/>
          <w:color w:val="000000"/>
          <w:szCs w:val="24"/>
          <w:lang w:eastAsia="en-US"/>
        </w:rPr>
      </w:pPr>
      <w:r w:rsidRPr="00633D23">
        <w:rPr>
          <w:rFonts w:eastAsia="Calibri"/>
          <w:i/>
          <w:color w:val="000000"/>
          <w:szCs w:val="22"/>
          <w:lang w:eastAsia="en-US"/>
        </w:rPr>
        <w:lastRenderedPageBreak/>
        <w:t>Член 2</w:t>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1. </w:t>
      </w:r>
      <w:r>
        <w:rPr>
          <w:rFonts w:eastAsia="Calibri"/>
          <w:color w:val="000000"/>
          <w:szCs w:val="22"/>
          <w:lang w:eastAsia="en-US"/>
        </w:rPr>
        <w:tab/>
      </w:r>
      <w:r w:rsidRPr="00633D23">
        <w:rPr>
          <w:rFonts w:eastAsia="Calibri"/>
          <w:color w:val="000000"/>
          <w:szCs w:val="22"/>
          <w:lang w:eastAsia="en-US"/>
        </w:rPr>
        <w:t>Счита се, че бюджетният дефицит надхвърля референтната стойност по изключение в съответствие с член 126, параграф 2, второ тире, буква а) от Договора за функционирането на Европейския съюз (ДФЕС), когато Съветът е установил наличието на сериозен икономически спад в еврозоната или в Съюза като цяло в съответствие с член 24 от Регламент (ЕС) [относно предпазните мерки] или при извънредни обстоятелства извън контрола на правителството, които оказват значително въздействие върху публичните финанси на съответната държава членка, в съответствие с член 25 от Регламент (ЕС) [относно предпазните мерки].</w:t>
      </w:r>
    </w:p>
    <w:p w:rsidR="00DD4C36" w:rsidRPr="00633D23" w:rsidRDefault="00DD4C36" w:rsidP="00DD4C36">
      <w:pPr>
        <w:widowControl/>
        <w:spacing w:before="120" w:after="120" w:line="360" w:lineRule="auto"/>
        <w:ind w:left="1418"/>
        <w:rPr>
          <w:rFonts w:eastAsia="Calibri"/>
          <w:noProof/>
          <w:color w:val="000000"/>
          <w:szCs w:val="22"/>
          <w:lang w:eastAsia="en-US"/>
        </w:rPr>
      </w:pPr>
      <w:r w:rsidRPr="00633D23">
        <w:rPr>
          <w:rFonts w:eastAsia="Calibri"/>
          <w:color w:val="000000"/>
          <w:szCs w:val="22"/>
          <w:lang w:eastAsia="en-US"/>
        </w:rPr>
        <w:t>В допълнение прекомерният дефицит над референтната стойност се счита за временен, когато предоставените от Комисията бюджетни прогнози сочат, че дефицитът ще падне под ориентировъчната стойност след края на сериозния икономически спад или извънредните обстоятелства, посочени в първа алинея.</w:t>
      </w:r>
    </w:p>
    <w:p w:rsidR="00DD4C36" w:rsidRPr="00633D23" w:rsidRDefault="00E20E38" w:rsidP="00DD4C36">
      <w:pPr>
        <w:widowControl/>
        <w:spacing w:before="120" w:after="120" w:line="360" w:lineRule="auto"/>
        <w:ind w:left="1418" w:hanging="568"/>
        <w:rPr>
          <w:rFonts w:eastAsia="Calibri"/>
          <w:noProof/>
          <w:color w:val="000000"/>
          <w:szCs w:val="22"/>
          <w:lang w:eastAsia="en-US"/>
        </w:rPr>
      </w:pPr>
      <w:r>
        <w:rPr>
          <w:rFonts w:eastAsia="Calibri"/>
          <w:color w:val="000000"/>
          <w:szCs w:val="22"/>
          <w:lang w:val="en-GB" w:eastAsia="en-US"/>
        </w:rPr>
        <w:t>1a</w:t>
      </w:r>
      <w:r w:rsidR="00DD4C36" w:rsidRPr="00633D23">
        <w:rPr>
          <w:rFonts w:eastAsia="Calibri"/>
          <w:color w:val="000000"/>
          <w:szCs w:val="22"/>
          <w:lang w:eastAsia="en-US"/>
        </w:rPr>
        <w:t>. </w:t>
      </w:r>
      <w:r w:rsidR="00DD4C36">
        <w:rPr>
          <w:rFonts w:eastAsia="Calibri"/>
          <w:color w:val="000000"/>
          <w:szCs w:val="22"/>
          <w:lang w:eastAsia="en-US"/>
        </w:rPr>
        <w:tab/>
      </w:r>
      <w:r w:rsidR="00DD4C36" w:rsidRPr="00633D23">
        <w:rPr>
          <w:rFonts w:eastAsia="Calibri"/>
          <w:color w:val="000000"/>
          <w:szCs w:val="22"/>
          <w:lang w:eastAsia="en-US"/>
        </w:rPr>
        <w:t>Когато надхвърля референтната стойност, се счита, че съотношението на държавния дълг към брутния вътрешен продукт (БВП) намалява в достатъчна степен и се доближава до референтната стойност със задоволителни темпове в съответствие с член 126, параграф 2, буква б) от ДФЕС, ако съответната държава членка спазва своя план за нетните разходи.</w:t>
      </w:r>
    </w:p>
    <w:p w:rsidR="00DD4C36" w:rsidRPr="00633D23" w:rsidRDefault="00E20E38" w:rsidP="00E20E38">
      <w:pPr>
        <w:widowControl/>
        <w:spacing w:before="120" w:after="120" w:line="360" w:lineRule="auto"/>
        <w:ind w:left="1417" w:hanging="566"/>
        <w:rPr>
          <w:rFonts w:eastAsia="Calibri"/>
          <w:noProof/>
          <w:color w:val="000000"/>
          <w:szCs w:val="22"/>
          <w:lang w:eastAsia="en-US"/>
        </w:rPr>
      </w:pPr>
      <w:bookmarkStart w:id="9" w:name="_GoBack"/>
      <w:bookmarkEnd w:id="9"/>
      <w:r>
        <w:rPr>
          <w:rFonts w:eastAsia="Calibri"/>
          <w:color w:val="000000"/>
          <w:szCs w:val="22"/>
          <w:lang w:val="en-GB" w:eastAsia="en-US"/>
        </w:rPr>
        <w:t>2.</w:t>
      </w:r>
      <w:r>
        <w:rPr>
          <w:rFonts w:eastAsia="Calibri"/>
          <w:color w:val="000000"/>
          <w:szCs w:val="22"/>
          <w:lang w:val="en-GB" w:eastAsia="en-US"/>
        </w:rPr>
        <w:tab/>
      </w:r>
      <w:r w:rsidR="00DD4C36" w:rsidRPr="00633D23">
        <w:rPr>
          <w:rFonts w:eastAsia="Calibri"/>
          <w:color w:val="000000"/>
          <w:szCs w:val="22"/>
          <w:lang w:eastAsia="en-US"/>
        </w:rPr>
        <w:t>Комисията изготвя доклад в съответствие с член 126, параграф 3 от ДФЕС, когато съотношението на държавния дълг към БВП надвишава референтната стойност, състоянието на бюджета не е близо до баланс или излишък и когато отклоненията, регистрирани в контролния отчет на държавата членка надвишават:</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lastRenderedPageBreak/>
        <w:t>а)</w:t>
      </w:r>
      <w:r w:rsidRPr="00633D23">
        <w:rPr>
          <w:rFonts w:eastAsia="Calibri"/>
          <w:color w:val="000000"/>
          <w:szCs w:val="22"/>
          <w:lang w:eastAsia="en-US"/>
        </w:rPr>
        <w:tab/>
        <w:t>0,3 процентни пункта от БВП годишно, или</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б)</w:t>
      </w:r>
      <w:r w:rsidRPr="00633D23">
        <w:rPr>
          <w:rFonts w:eastAsia="Calibri"/>
          <w:color w:val="000000"/>
          <w:szCs w:val="22"/>
          <w:lang w:eastAsia="en-US"/>
        </w:rPr>
        <w:tab/>
        <w:t>0,6 процентни пункта от БВП кумулативно.</w:t>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3. </w:t>
      </w:r>
      <w:r>
        <w:rPr>
          <w:rFonts w:eastAsia="Calibri"/>
          <w:color w:val="000000"/>
          <w:szCs w:val="22"/>
          <w:lang w:eastAsia="en-US"/>
        </w:rPr>
        <w:tab/>
      </w:r>
      <w:r w:rsidRPr="00633D23">
        <w:rPr>
          <w:rFonts w:eastAsia="Calibri"/>
          <w:color w:val="000000"/>
          <w:szCs w:val="22"/>
          <w:lang w:eastAsia="en-US"/>
        </w:rPr>
        <w:t>Когато изготвя доклад съгласно член 126, параграф 3 от ДФЕС, Комисията отчита всички действащи фактори, посочени в този член, доколкото те се отразяват в значителна степен на оценката за спазването на критериите за дефицита и за дълга от страна на съответната държава членка.</w:t>
      </w:r>
    </w:p>
    <w:p w:rsidR="00DD4C36" w:rsidRPr="00633D23" w:rsidRDefault="00DD4C36" w:rsidP="00DD4C36">
      <w:pPr>
        <w:widowControl/>
        <w:spacing w:before="120" w:after="120" w:line="360" w:lineRule="auto"/>
        <w:ind w:left="850" w:firstLine="567"/>
        <w:rPr>
          <w:rFonts w:eastAsia="Calibri"/>
          <w:noProof/>
          <w:color w:val="000000"/>
          <w:szCs w:val="22"/>
          <w:lang w:eastAsia="en-US"/>
        </w:rPr>
      </w:pPr>
      <w:r w:rsidRPr="00633D23">
        <w:rPr>
          <w:rFonts w:eastAsia="Calibri"/>
          <w:color w:val="000000"/>
          <w:szCs w:val="22"/>
          <w:lang w:eastAsia="en-US"/>
        </w:rPr>
        <w:t>Докладът отразява съответно:</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а)</w:t>
      </w:r>
      <w:r w:rsidRPr="00633D23">
        <w:rPr>
          <w:rFonts w:eastAsia="Calibri"/>
          <w:color w:val="000000"/>
          <w:szCs w:val="22"/>
          <w:lang w:eastAsia="en-US"/>
        </w:rPr>
        <w:tab/>
        <w:t>степента на предизвикателствата, свързани с публичния дълг, въз основа на методиката, посочена в член 8 от Регламент [относно предпазните мерки], развитието на държавния дълг и неговото финансиране, както и свързаните с това рискови фактори, по-специално падежната структура, валутната деноминация на дълга и условните задължения, включително всички имплицитни задължения, свързани със застаряването на населението, и частния дълг;</w:t>
      </w:r>
    </w:p>
    <w:p w:rsidR="00DD4C36" w:rsidRPr="00633D23" w:rsidRDefault="00DD4C36" w:rsidP="00DD4C36">
      <w:pPr>
        <w:widowControl/>
        <w:spacing w:before="120" w:after="120" w:line="360" w:lineRule="auto"/>
        <w:ind w:left="1405"/>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lastRenderedPageBreak/>
        <w:t>б)</w:t>
      </w:r>
      <w:r w:rsidRPr="00633D23">
        <w:rPr>
          <w:rFonts w:eastAsia="Calibri"/>
          <w:color w:val="000000"/>
          <w:szCs w:val="22"/>
          <w:lang w:eastAsia="en-US"/>
        </w:rPr>
        <w:tab/>
        <w:t>развитието на средносрочните бюджетни позиции, включително по-специално размера на действителното отклонение от плана за нетните разходи, в годишно и кумулативно изражение, измерено в контролния отчет;</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в)</w:t>
      </w:r>
      <w:r w:rsidRPr="00633D23">
        <w:rPr>
          <w:rFonts w:eastAsia="Calibri"/>
          <w:color w:val="000000"/>
          <w:szCs w:val="22"/>
          <w:lang w:eastAsia="en-US"/>
        </w:rPr>
        <w:tab/>
        <w:t>динамиката на икономическата позиция в средносрочен план, включително потенциалния растеж, промените в инфлацията и цикличното развитие в сравнение с хипотезите, залегнали в основата на плана за нетните разходи;</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г)</w:t>
      </w:r>
      <w:r w:rsidRPr="00633D23">
        <w:rPr>
          <w:rFonts w:eastAsia="Calibri"/>
          <w:color w:val="000000"/>
          <w:szCs w:val="22"/>
          <w:lang w:eastAsia="en-US"/>
        </w:rPr>
        <w:tab/>
        <w:t xml:space="preserve">изпълнението на реформи и инвестиции, включително по-специално политиките за предотвратяване и коригиране на макроикономическите дисбаланси и политиките за изпълнение на общата стратегия на Съюза за растеж и заетост, включително подкрепяните от </w:t>
      </w:r>
      <w:proofErr w:type="spellStart"/>
      <w:r w:rsidRPr="00633D23">
        <w:rPr>
          <w:rFonts w:eastAsia="Calibri"/>
          <w:color w:val="000000"/>
          <w:szCs w:val="22"/>
          <w:lang w:eastAsia="en-US"/>
        </w:rPr>
        <w:t>NextGenerationEU</w:t>
      </w:r>
      <w:proofErr w:type="spellEnd"/>
      <w:r w:rsidRPr="00633D23">
        <w:rPr>
          <w:rFonts w:eastAsia="Calibri"/>
          <w:color w:val="000000"/>
          <w:szCs w:val="22"/>
          <w:lang w:eastAsia="en-US"/>
        </w:rPr>
        <w:t>, и цялостното качество на публичните финанси, по-специално ефективността на националните бюджетни рамки;</w:t>
      </w:r>
    </w:p>
    <w:p w:rsidR="00DD4C36" w:rsidRPr="00DA0613" w:rsidRDefault="00DD4C36" w:rsidP="00DD4C36">
      <w:pPr>
        <w:widowControl/>
        <w:spacing w:before="120" w:after="120" w:line="360" w:lineRule="auto"/>
        <w:ind w:left="1985" w:hanging="567"/>
        <w:rPr>
          <w:rFonts w:eastAsia="Calibri"/>
          <w:b/>
          <w:bCs/>
          <w:i/>
          <w:iCs/>
          <w:noProof/>
          <w:color w:val="000000"/>
          <w:szCs w:val="22"/>
          <w:lang w:eastAsia="en-US"/>
        </w:rPr>
      </w:pPr>
      <w:r w:rsidRPr="00DA0613">
        <w:rPr>
          <w:rFonts w:eastAsia="Calibri"/>
          <w:b/>
          <w:bCs/>
          <w:i/>
          <w:iCs/>
          <w:color w:val="000000"/>
          <w:szCs w:val="22"/>
          <w:lang w:eastAsia="en-US"/>
        </w:rPr>
        <w:t>га)</w:t>
      </w:r>
      <w:r w:rsidRPr="00DA0613">
        <w:rPr>
          <w:rFonts w:eastAsia="Calibri"/>
          <w:b/>
          <w:bCs/>
          <w:i/>
          <w:iCs/>
          <w:color w:val="000000"/>
          <w:szCs w:val="22"/>
          <w:lang w:eastAsia="en-US"/>
        </w:rPr>
        <w:tab/>
      </w:r>
      <w:r w:rsidRPr="00DD4C36">
        <w:rPr>
          <w:rFonts w:eastAsia="Calibri"/>
          <w:color w:val="000000"/>
          <w:szCs w:val="22"/>
          <w:lang w:eastAsia="en-US"/>
        </w:rPr>
        <w:t>увеличаването на държавните инвестиции в отбраната, когато е приложимо, като се има предвид и моментът на регистриране на разходите за военно оборудване.</w:t>
      </w:r>
    </w:p>
    <w:p w:rsidR="00DD4C36" w:rsidRPr="00633D23" w:rsidRDefault="00DD4C36" w:rsidP="00DD4C36">
      <w:pPr>
        <w:widowControl/>
        <w:spacing w:before="120" w:after="120" w:line="360" w:lineRule="auto"/>
        <w:ind w:left="1418" w:hanging="567"/>
        <w:rPr>
          <w:rFonts w:eastAsia="Calibri"/>
          <w:noProof/>
          <w:color w:val="000000"/>
          <w:szCs w:val="22"/>
          <w:lang w:eastAsia="en-US"/>
        </w:rPr>
      </w:pPr>
      <w:r>
        <w:rPr>
          <w:rFonts w:eastAsia="Calibri"/>
          <w:color w:val="000000"/>
          <w:szCs w:val="22"/>
          <w:lang w:eastAsia="en-US"/>
        </w:rPr>
        <w:t>4.</w:t>
      </w:r>
      <w:r>
        <w:rPr>
          <w:rFonts w:eastAsia="Calibri"/>
          <w:color w:val="000000"/>
          <w:szCs w:val="22"/>
          <w:lang w:eastAsia="en-US"/>
        </w:rPr>
        <w:tab/>
      </w:r>
      <w:r w:rsidRPr="00633D23">
        <w:rPr>
          <w:rFonts w:eastAsia="Calibri"/>
          <w:color w:val="000000"/>
          <w:szCs w:val="22"/>
          <w:lang w:eastAsia="en-US"/>
        </w:rPr>
        <w:t>Комисията отчита надлежно и изрично всички други фактори, които според съответната държава членка са от значение за цялостната оценка на спазването на критериите за дефицита и за дълга и които държавата членка е представила на Съвета и на Комисията. В този контекст се обръща особено внимание на финансовия принос за насърчаване на международната солидарност и за постигане на общите приоритети на Съюза, определени в Регламент (ЕС) [относно предпазните мерки].</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850"/>
        <w:rPr>
          <w:b/>
          <w:bCs/>
          <w:noProof/>
          <w:color w:val="000000"/>
          <w:szCs w:val="22"/>
          <w:lang w:eastAsia="en-US"/>
        </w:rPr>
      </w:pPr>
      <w:r w:rsidRPr="00633D23">
        <w:rPr>
          <w:rFonts w:eastAsia="Calibri"/>
          <w:color w:val="000000"/>
          <w:szCs w:val="22"/>
          <w:lang w:eastAsia="en-US"/>
        </w:rPr>
        <w:lastRenderedPageBreak/>
        <w:t>Съветът и Комисията правят балансирана цялостна оценка на всички действащи фактори, по-специално на степента, в която те се отразяват на оценката на спазването на критериите за дефицита и/или за дълга като утежняващи или смекчаващи фактори. Когато държавата членка е изправена пред значителни предизвикателства, свързани с публичния дълг, както е посочено в параграф 3, буква а), това се счита за ключов утежняващ фактор. Благоприятните циклични икономически, бюджетни и финансови тенденции не се считат за смекчаващи фактори, докато неблагоприятните тенденции могат да се считат за смекчаващи фактори.</w:t>
      </w:r>
    </w:p>
    <w:p w:rsidR="00DD4C36" w:rsidRPr="00633D23" w:rsidRDefault="00DD4C36" w:rsidP="00DD4C36">
      <w:pPr>
        <w:widowControl/>
        <w:spacing w:before="120" w:after="120" w:line="360" w:lineRule="auto"/>
        <w:ind w:left="850"/>
        <w:rPr>
          <w:rFonts w:eastAsia="Calibri"/>
          <w:noProof/>
          <w:color w:val="000000"/>
          <w:szCs w:val="22"/>
          <w:shd w:val="clear" w:color="auto" w:fill="FFFFFF"/>
          <w:lang w:eastAsia="en-US"/>
        </w:rPr>
      </w:pPr>
      <w:r w:rsidRPr="00633D23">
        <w:rPr>
          <w:rFonts w:eastAsia="Calibri"/>
          <w:color w:val="000000"/>
          <w:szCs w:val="22"/>
          <w:lang w:eastAsia="en-US"/>
        </w:rPr>
        <w:t>При оценката на спазването на критерия за дефицита, ако съотношението на държавния дълг към БВП надхвърля референтната стойност, тези фактори се вземат под внимание на отделните етапи на вземането на решение за наличие на прекомерен дефицит, предвидени в член 126, параграфи 4, 5 и 6 от ДФЕС, само ако е изцяло изпълнено двойното условие на ръководния принцип, а именно че преди да бъдат взети предвид действащите фактори, бюджетният дефицит остава близо до референтната стойност и неговото превишение над референтната стойност е временно.</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t>Тези фактори обаче се вземат предвид на отделните етапи на вземането на решение за наличие на прекомерен дефицит при оценката на спазването на критерия за дълга.</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8" w:hanging="567"/>
        <w:rPr>
          <w:rFonts w:eastAsia="Calibri"/>
          <w:noProof/>
          <w:color w:val="000000"/>
          <w:szCs w:val="22"/>
          <w:lang w:eastAsia="en-US"/>
        </w:rPr>
      </w:pPr>
      <w:r w:rsidRPr="00633D23">
        <w:rPr>
          <w:rFonts w:eastAsia="Calibri"/>
          <w:color w:val="000000"/>
          <w:szCs w:val="22"/>
          <w:lang w:eastAsia="en-US"/>
        </w:rPr>
        <w:lastRenderedPageBreak/>
        <w:t xml:space="preserve">5. </w:t>
      </w:r>
      <w:r>
        <w:rPr>
          <w:rFonts w:eastAsia="Calibri"/>
          <w:color w:val="000000"/>
          <w:szCs w:val="22"/>
          <w:lang w:eastAsia="en-US"/>
        </w:rPr>
        <w:tab/>
      </w:r>
      <w:r w:rsidRPr="00633D23">
        <w:rPr>
          <w:rFonts w:eastAsia="Calibri"/>
          <w:color w:val="000000"/>
          <w:szCs w:val="22"/>
          <w:lang w:eastAsia="en-US"/>
        </w:rPr>
        <w:t>Когато държавите членки могат да се отклонят от своите планове за нетните разходи в съответствие с членове 24 и 25 от Регламент (ЕС) [относно предпазните мерки], в своята оценка Комисията и Съветът могат да решат да не правят заключение относно наличието на прекомерен дефицит.</w:t>
      </w:r>
    </w:p>
    <w:p w:rsidR="00DD4C36" w:rsidRDefault="00DD4C36" w:rsidP="00DD4C36">
      <w:pPr>
        <w:widowControl/>
        <w:spacing w:before="120" w:after="120" w:line="360" w:lineRule="auto"/>
        <w:ind w:left="1418" w:hanging="568"/>
        <w:rPr>
          <w:rFonts w:eastAsia="Calibri"/>
          <w:color w:val="000000"/>
          <w:szCs w:val="22"/>
          <w:lang w:eastAsia="en-US"/>
        </w:rPr>
      </w:pPr>
      <w:r w:rsidRPr="00633D23">
        <w:rPr>
          <w:rFonts w:eastAsia="Calibri"/>
          <w:color w:val="000000"/>
          <w:szCs w:val="22"/>
          <w:lang w:eastAsia="en-US"/>
        </w:rPr>
        <w:t>6. </w:t>
      </w:r>
      <w:r>
        <w:rPr>
          <w:rFonts w:eastAsia="Calibri"/>
          <w:color w:val="000000"/>
          <w:szCs w:val="22"/>
          <w:lang w:eastAsia="en-US"/>
        </w:rPr>
        <w:tab/>
      </w:r>
      <w:r w:rsidRPr="00633D23">
        <w:rPr>
          <w:rFonts w:eastAsia="Calibri"/>
          <w:color w:val="000000"/>
          <w:szCs w:val="22"/>
          <w:lang w:eastAsia="en-US"/>
        </w:rPr>
        <w:t>Ако Съветът, като действа съгласно член 126, параграф 6 от ДФЕС, приеме решение, че в държава членка е налице прекомерен дефицит, Съветът и Комисията в следващите етапи на процедурата от посочения член на ДФЕС вземат предвид действащите фактори, посочени в параграф 3 от настоящия член, доколкото те се отразяват на положението в съответната държава членка, включително посочените в член 5, параграф 2 от настоящия регламент, по-специално при определяне на срока за коригиране на прекомерния дефицит и евентуалното удължаване на този срок. Тези действащи фактори обаче не се вземат предвид за решението на Съвета по член 126, параграф 12 от ДФЕС за отмяна на някои или всички негови решения по член 126, парагр</w:t>
      </w:r>
      <w:r>
        <w:rPr>
          <w:rFonts w:eastAsia="Calibri"/>
          <w:color w:val="000000"/>
          <w:szCs w:val="22"/>
          <w:lang w:eastAsia="en-US"/>
        </w:rPr>
        <w:t>афи 6—9 и параграф 11 от ДФЕС.</w:t>
      </w:r>
    </w:p>
    <w:p w:rsidR="00DD4C36" w:rsidRPr="00DD4C36" w:rsidRDefault="00DD4C36" w:rsidP="00DD4C36">
      <w:pPr>
        <w:spacing w:before="120" w:after="120" w:line="360" w:lineRule="auto"/>
        <w:ind w:left="1416"/>
        <w:rPr>
          <w:b/>
          <w:bCs/>
          <w:i/>
          <w:iCs/>
          <w:szCs w:val="24"/>
        </w:rPr>
      </w:pPr>
      <w:r w:rsidRPr="00DD4C36">
        <w:rPr>
          <w:b/>
          <w:bCs/>
          <w:i/>
          <w:iCs/>
          <w:szCs w:val="24"/>
        </w:rPr>
        <w:t>--------------------------</w:t>
      </w:r>
    </w:p>
    <w:p w:rsidR="00DD4C36" w:rsidRPr="00DD4C36" w:rsidRDefault="00DD4C36" w:rsidP="00DD4C36">
      <w:pPr>
        <w:tabs>
          <w:tab w:val="left" w:pos="1985"/>
        </w:tabs>
        <w:spacing w:before="120" w:after="120" w:line="360" w:lineRule="auto"/>
        <w:ind w:left="1985" w:hanging="569"/>
        <w:rPr>
          <w:b/>
          <w:bCs/>
          <w:i/>
          <w:iCs/>
          <w:szCs w:val="24"/>
        </w:rPr>
      </w:pPr>
      <w:r w:rsidRPr="00DD4C36">
        <w:rPr>
          <w:b/>
          <w:bCs/>
          <w:i/>
          <w:iCs/>
          <w:szCs w:val="24"/>
        </w:rPr>
        <w:t>*</w:t>
      </w:r>
      <w:r w:rsidRPr="00DD4C36">
        <w:rPr>
          <w:b/>
          <w:bCs/>
          <w:i/>
          <w:iCs/>
          <w:szCs w:val="24"/>
        </w:rPr>
        <w:tab/>
        <w:t>Регламент (ЕС) […] от ... [въведете дата] [въведете пълно заглавие] (ОВ L …).“</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2)</w:t>
      </w:r>
      <w:r w:rsidRPr="00633D23">
        <w:rPr>
          <w:rFonts w:eastAsia="Calibri"/>
          <w:color w:val="000000"/>
          <w:szCs w:val="22"/>
          <w:lang w:eastAsia="en-US"/>
        </w:rPr>
        <w:tab/>
        <w:t>Член 3 се заменя със следното:</w:t>
      </w:r>
    </w:p>
    <w:p w:rsidR="00DD4C36" w:rsidRPr="00633D23" w:rsidRDefault="00DD4C36" w:rsidP="00DD4C36">
      <w:pPr>
        <w:keepNext/>
        <w:widowControl/>
        <w:spacing w:before="360" w:after="120" w:line="360" w:lineRule="auto"/>
        <w:ind w:left="851"/>
        <w:rPr>
          <w:rFonts w:eastAsia="Calibri"/>
          <w:i/>
          <w:noProof/>
          <w:color w:val="000000"/>
          <w:szCs w:val="24"/>
          <w:lang w:eastAsia="en-US"/>
        </w:rPr>
      </w:pPr>
      <w:r w:rsidRPr="00633D23">
        <w:rPr>
          <w:rFonts w:eastAsia="Calibri"/>
          <w:i/>
          <w:color w:val="000000"/>
          <w:szCs w:val="22"/>
          <w:lang w:eastAsia="en-US"/>
        </w:rPr>
        <w:t>„Член 3</w:t>
      </w:r>
    </w:p>
    <w:p w:rsidR="00DD4C36" w:rsidRPr="00633D23" w:rsidRDefault="00DD4C36" w:rsidP="00DD4C36">
      <w:pPr>
        <w:widowControl/>
        <w:spacing w:before="120" w:after="120" w:line="360" w:lineRule="auto"/>
        <w:ind w:left="1418" w:hanging="568"/>
        <w:rPr>
          <w:rFonts w:eastAsia="Calibri"/>
          <w:b/>
          <w:bCs/>
          <w:noProof/>
          <w:color w:val="000000"/>
          <w:szCs w:val="22"/>
          <w:lang w:eastAsia="en-US"/>
        </w:rPr>
      </w:pPr>
      <w:r w:rsidRPr="00633D23">
        <w:rPr>
          <w:rFonts w:eastAsia="Calibri"/>
          <w:color w:val="000000"/>
          <w:szCs w:val="22"/>
          <w:lang w:eastAsia="en-US"/>
        </w:rPr>
        <w:t>1. </w:t>
      </w:r>
      <w:r>
        <w:rPr>
          <w:rFonts w:eastAsia="Calibri"/>
          <w:color w:val="000000"/>
          <w:szCs w:val="22"/>
          <w:lang w:eastAsia="en-US"/>
        </w:rPr>
        <w:tab/>
      </w:r>
      <w:r w:rsidRPr="00633D23">
        <w:rPr>
          <w:rFonts w:eastAsia="Calibri"/>
          <w:color w:val="000000"/>
          <w:szCs w:val="22"/>
          <w:lang w:eastAsia="en-US"/>
        </w:rPr>
        <w:t>В срок от две седмици от приемането от Комисията на доклад, съставен в съответствие с изискванията на член 126, параграф 3 от ДФЕС, Европейският икономически и финансов комитет предоставя становище в съответствие с член 126, параграф 4 от ДФЕС.</w:t>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2. </w:t>
      </w:r>
      <w:r>
        <w:rPr>
          <w:rFonts w:eastAsia="Calibri"/>
          <w:color w:val="000000"/>
          <w:szCs w:val="22"/>
          <w:lang w:eastAsia="en-US"/>
        </w:rPr>
        <w:tab/>
      </w:r>
      <w:r w:rsidRPr="00633D23">
        <w:rPr>
          <w:rFonts w:eastAsia="Calibri"/>
          <w:color w:val="000000"/>
          <w:szCs w:val="22"/>
          <w:lang w:eastAsia="en-US"/>
        </w:rPr>
        <w:t>Като взема изцяло предвид посоченото в параграф 1 от настоящия член становище, Комисията — ако прецени, че е налице прекомерен дефицит — отправя към Съвета становище и предложение в съответствие с член 126, параграфи 5 и 6 от ДФЕС и информира Европейския парламент за това.</w:t>
      </w: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lastRenderedPageBreak/>
        <w:t>3. </w:t>
      </w:r>
      <w:r>
        <w:rPr>
          <w:rFonts w:eastAsia="Calibri"/>
          <w:color w:val="000000"/>
          <w:szCs w:val="22"/>
          <w:lang w:eastAsia="en-US"/>
        </w:rPr>
        <w:tab/>
      </w:r>
      <w:r w:rsidRPr="00633D23">
        <w:rPr>
          <w:rFonts w:eastAsia="Calibri"/>
          <w:color w:val="000000"/>
          <w:szCs w:val="22"/>
          <w:lang w:eastAsia="en-US"/>
        </w:rPr>
        <w:t>Съветът взема решение за наличието на прекомерен дефицит съгласно член 126, параграф 6 от ДФЕС, като правило в срок от четири месеца след отчетните дати, установени в член 3, параграфи 2 и 3 от Регламент (ЕО) № 479/2009. Когато реши, че е налице прекомерен дефицит, Съветът същевременно отправя препоръки до съответната държава членка съгласно член 126, параграф 7 от ДФЕС. Съветът оповестява публично решенията си съгласно член 126, параграф 6 от ДФЕС.</w:t>
      </w:r>
    </w:p>
    <w:p w:rsidR="00DD4C36" w:rsidRPr="00633D23" w:rsidRDefault="00DD4C36" w:rsidP="00E20E38">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4. </w:t>
      </w:r>
      <w:r>
        <w:rPr>
          <w:rFonts w:eastAsia="Calibri"/>
          <w:color w:val="000000"/>
          <w:szCs w:val="22"/>
          <w:lang w:eastAsia="en-US"/>
        </w:rPr>
        <w:tab/>
      </w:r>
      <w:r w:rsidRPr="00633D23">
        <w:rPr>
          <w:rFonts w:eastAsia="Calibri"/>
          <w:color w:val="000000"/>
          <w:szCs w:val="22"/>
          <w:lang w:eastAsia="en-US"/>
        </w:rPr>
        <w:t>В препоръката на Съвета, направена в съответствие с член 126, параграф 7 от ДФЕС, се определя максимален срок от шест месеца за предприемането на ефективни действия от съответната държава членка. Когато сериозността на ситуацията го налага, срокът за ефективни действия може да бъде три месеца. В препоръката на Съвета се определя и краен срок за коригиране на прекомерния дефицит.</w:t>
      </w:r>
      <w:r w:rsidR="00E20E38">
        <w:rPr>
          <w:rFonts w:eastAsia="Calibri"/>
          <w:noProof/>
          <w:color w:val="000000"/>
          <w:szCs w:val="22"/>
          <w:lang w:val="en-GB" w:eastAsia="en-US"/>
        </w:rPr>
        <w:t xml:space="preserve"> </w:t>
      </w:r>
      <w:r w:rsidRPr="00633D23">
        <w:rPr>
          <w:rFonts w:eastAsia="Calibri"/>
          <w:color w:val="000000"/>
          <w:szCs w:val="22"/>
          <w:lang w:eastAsia="en-US"/>
        </w:rPr>
        <w:t>В своята препоръка Съветът изисква също от държавата членка да изпълни коригиращ план за нетните разходи, който да гарантира, че дефицитът по консолидирания държавен бюджет остава или е сведен и поддържан под референтната стойност в срока, определен в препоръката.</w:t>
      </w:r>
      <w:r w:rsidR="00E20E38">
        <w:rPr>
          <w:rFonts w:eastAsia="Calibri"/>
          <w:noProof/>
          <w:color w:val="000000"/>
          <w:szCs w:val="22"/>
          <w:lang w:val="en-GB" w:eastAsia="en-US"/>
        </w:rPr>
        <w:t xml:space="preserve"> </w:t>
      </w:r>
      <w:r w:rsidRPr="00633D23">
        <w:rPr>
          <w:rFonts w:eastAsia="Calibri"/>
          <w:color w:val="000000"/>
          <w:szCs w:val="22"/>
          <w:lang w:eastAsia="en-US"/>
        </w:rPr>
        <w:t>Когато процедурата при прекомерен дефицит е открита въз основа на критерия за дефицита за годините, в които се очаква дефицитът по консолидирания държавен бюджет да надхвърли референтната стойност, коригиращият план за нетните разходи съответства на минимална годишна структурна корекция от поне 0,5% от БВП като референтна стойност.</w:t>
      </w:r>
    </w:p>
    <w:p w:rsidR="00DD4C36" w:rsidRPr="00633D23" w:rsidRDefault="00DD4C36" w:rsidP="00DD4C36">
      <w:pPr>
        <w:widowControl/>
        <w:spacing w:before="120" w:after="120" w:line="360" w:lineRule="auto"/>
        <w:ind w:left="1418"/>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8"/>
        <w:rPr>
          <w:rFonts w:eastAsia="Calibri"/>
          <w:noProof/>
          <w:color w:val="000000"/>
          <w:szCs w:val="22"/>
          <w:lang w:eastAsia="en-US"/>
        </w:rPr>
      </w:pPr>
      <w:r w:rsidRPr="00633D23">
        <w:rPr>
          <w:rFonts w:eastAsia="Calibri"/>
          <w:color w:val="000000"/>
          <w:szCs w:val="22"/>
          <w:lang w:eastAsia="en-US"/>
        </w:rPr>
        <w:lastRenderedPageBreak/>
        <w:t>Когато процедурата при прекомерен дефицит е открита въз основа на критерия за дълга, коригиращият план за нетните разходи е поне толкова строг, колкото планът за нетните разходи, приет от Съвета в съответствие с член 16 от Регламент (ЕС) [относно предпазните мерки], и по правило коригира кумулативните отклонения в контролния отчет до крайния срок, определен от Съвета.</w:t>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 xml:space="preserve">5. </w:t>
      </w:r>
      <w:r>
        <w:rPr>
          <w:rFonts w:eastAsia="Calibri"/>
          <w:color w:val="000000"/>
          <w:szCs w:val="22"/>
          <w:lang w:eastAsia="en-US"/>
        </w:rPr>
        <w:tab/>
      </w:r>
      <w:r w:rsidRPr="00633D23">
        <w:rPr>
          <w:rFonts w:eastAsia="Calibri"/>
          <w:color w:val="000000"/>
          <w:szCs w:val="22"/>
          <w:lang w:eastAsia="en-US"/>
        </w:rPr>
        <w:t xml:space="preserve">В посочения в параграф 4 от настоящия член срок съответната държава членка докладва на Съвета и на Комисията относно действията, предприети в отговор на препоръката на Съвета съгласно член 126, параграф 7 от ДФЕС. Докладът включва целите за бюджетните разходи и приходи и за </w:t>
      </w:r>
      <w:proofErr w:type="spellStart"/>
      <w:r w:rsidRPr="00633D23">
        <w:rPr>
          <w:rFonts w:eastAsia="Calibri"/>
          <w:color w:val="000000"/>
          <w:szCs w:val="22"/>
          <w:lang w:eastAsia="en-US"/>
        </w:rPr>
        <w:t>дискреционните</w:t>
      </w:r>
      <w:proofErr w:type="spellEnd"/>
      <w:r w:rsidRPr="00633D23">
        <w:rPr>
          <w:rFonts w:eastAsia="Calibri"/>
          <w:color w:val="000000"/>
          <w:szCs w:val="22"/>
          <w:lang w:eastAsia="en-US"/>
        </w:rPr>
        <w:t xml:space="preserve"> мерки по отношение както на разходната, така и на приходната част в съответствие с препоръката на Съвета, както и информация относно предприетите мерки и естеството на мерките, предвидени за постигане на целите. Държавите членки оповестяват доклада. Държавата членка може да прикани съответната независима фискална институция да изготви отделен </w:t>
      </w:r>
      <w:proofErr w:type="spellStart"/>
      <w:r w:rsidRPr="00633D23">
        <w:rPr>
          <w:rFonts w:eastAsia="Calibri"/>
          <w:color w:val="000000"/>
          <w:szCs w:val="22"/>
          <w:lang w:eastAsia="en-US"/>
        </w:rPr>
        <w:t>необвързващ</w:t>
      </w:r>
      <w:proofErr w:type="spellEnd"/>
      <w:r w:rsidRPr="00633D23">
        <w:rPr>
          <w:rFonts w:eastAsia="Calibri"/>
          <w:color w:val="000000"/>
          <w:szCs w:val="22"/>
          <w:lang w:eastAsia="en-US"/>
        </w:rPr>
        <w:t xml:space="preserve"> доклад относно достатъчността на предприетите и предвидените мерки по отношение на целите.</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lastRenderedPageBreak/>
        <w:t xml:space="preserve">6. </w:t>
      </w:r>
      <w:r>
        <w:rPr>
          <w:rFonts w:eastAsia="Calibri"/>
          <w:color w:val="000000"/>
          <w:szCs w:val="22"/>
          <w:lang w:eastAsia="en-US"/>
        </w:rPr>
        <w:tab/>
      </w:r>
      <w:r w:rsidRPr="00633D23">
        <w:rPr>
          <w:rFonts w:eastAsia="Calibri"/>
          <w:color w:val="000000"/>
          <w:szCs w:val="22"/>
          <w:lang w:eastAsia="en-US"/>
        </w:rPr>
        <w:t>Съветът може да реши, по препоръка на Комисията, да приеме преразгледана препоръка съгласно член 126, параграф 7 от ДФЕС, когато:</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a)</w:t>
      </w:r>
      <w:r w:rsidRPr="00633D23">
        <w:rPr>
          <w:rFonts w:eastAsia="Calibri"/>
          <w:color w:val="000000"/>
          <w:szCs w:val="22"/>
          <w:lang w:eastAsia="en-US"/>
        </w:rPr>
        <w:tab/>
        <w:t>са предприети ефективни действия в отговор на такава препоръка и се прилагат условията, посочени в член 25 от Регламент (ЕС) [относно предпазните мерки], или</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б)</w:t>
      </w:r>
      <w:r w:rsidRPr="00633D23">
        <w:rPr>
          <w:rFonts w:eastAsia="Calibri"/>
          <w:color w:val="000000"/>
          <w:szCs w:val="22"/>
          <w:lang w:eastAsia="en-US"/>
        </w:rPr>
        <w:tab/>
        <w:t>се прилагат условията, посочени в член 24 от Регламент (ЕС) [относно предпазните мерки].</w:t>
      </w:r>
    </w:p>
    <w:p w:rsidR="00DD4C36" w:rsidRPr="00633D23" w:rsidRDefault="00DD4C36" w:rsidP="00DD4C36">
      <w:pPr>
        <w:widowControl/>
        <w:spacing w:before="120" w:after="120" w:line="360" w:lineRule="auto"/>
        <w:ind w:left="1418"/>
        <w:rPr>
          <w:rFonts w:eastAsia="Calibri"/>
          <w:noProof/>
          <w:color w:val="000000"/>
          <w:szCs w:val="22"/>
          <w:lang w:eastAsia="en-US"/>
        </w:rPr>
      </w:pPr>
      <w:r w:rsidRPr="00633D23">
        <w:rPr>
          <w:rFonts w:eastAsia="Calibri"/>
          <w:color w:val="000000"/>
          <w:szCs w:val="22"/>
          <w:lang w:eastAsia="en-US"/>
        </w:rPr>
        <w:t>По-специално, с преразгледаната препоръка срокът за коригиране на прекомерния дефицит по правило може да бъде удължен с една година.“;</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3)</w:t>
      </w:r>
      <w:r w:rsidRPr="00633D23">
        <w:rPr>
          <w:rFonts w:eastAsia="Calibri"/>
          <w:color w:val="000000"/>
          <w:szCs w:val="22"/>
          <w:lang w:eastAsia="en-US"/>
        </w:rPr>
        <w:tab/>
        <w:t>Член 4 се заменя със следното:</w:t>
      </w:r>
    </w:p>
    <w:p w:rsidR="00DD4C36" w:rsidRPr="00633D23" w:rsidRDefault="00DD4C36" w:rsidP="00DD4C36">
      <w:pPr>
        <w:keepNext/>
        <w:widowControl/>
        <w:spacing w:before="360" w:after="120" w:line="360" w:lineRule="auto"/>
        <w:ind w:left="851"/>
        <w:rPr>
          <w:rFonts w:eastAsia="Calibri"/>
          <w:i/>
          <w:noProof/>
          <w:color w:val="000000"/>
          <w:szCs w:val="24"/>
          <w:lang w:eastAsia="en-US"/>
        </w:rPr>
      </w:pPr>
      <w:r w:rsidRPr="00633D23">
        <w:rPr>
          <w:rFonts w:eastAsia="Calibri"/>
          <w:i/>
          <w:color w:val="000000"/>
          <w:szCs w:val="22"/>
          <w:lang w:eastAsia="en-US"/>
        </w:rPr>
        <w:t>„Член 4</w:t>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 xml:space="preserve">1. </w:t>
      </w:r>
      <w:r>
        <w:rPr>
          <w:rFonts w:eastAsia="Calibri"/>
          <w:color w:val="000000"/>
          <w:szCs w:val="22"/>
          <w:lang w:eastAsia="en-US"/>
        </w:rPr>
        <w:tab/>
      </w:r>
      <w:r w:rsidRPr="00633D23">
        <w:rPr>
          <w:rFonts w:eastAsia="Calibri"/>
          <w:color w:val="000000"/>
          <w:szCs w:val="22"/>
          <w:lang w:eastAsia="en-US"/>
        </w:rPr>
        <w:t>Когато преценява дали са били предприети ефективни действия в отговор на неговите препоръки, отправени в съответствие с член 126, параграф 7 от ДФЕС, Съветът основава решението си на доклада, представен от съответната държава членка съгласно член 3, параграф 5 от настоящия регламент, и неговото прилагане, както и на всякакви други публично обявени и достатъчно подробни решения на правителството на съответната държава членка.</w:t>
      </w:r>
    </w:p>
    <w:p w:rsidR="00DD4C36" w:rsidRPr="00633D23" w:rsidRDefault="00DD4C36" w:rsidP="00DD4C36">
      <w:pPr>
        <w:widowControl/>
        <w:spacing w:before="120" w:after="120" w:line="360" w:lineRule="auto"/>
        <w:ind w:left="1418"/>
        <w:rPr>
          <w:rFonts w:eastAsia="Calibri"/>
          <w:noProof/>
          <w:color w:val="000000"/>
          <w:szCs w:val="22"/>
          <w:lang w:eastAsia="en-US"/>
        </w:rPr>
      </w:pPr>
      <w:r w:rsidRPr="00633D23">
        <w:rPr>
          <w:rFonts w:eastAsia="Calibri"/>
          <w:color w:val="000000"/>
          <w:szCs w:val="22"/>
          <w:lang w:eastAsia="en-US"/>
        </w:rPr>
        <w:t>Когато Съветът установи, в съответствие с член 126, параграф 8 от ДФЕС, че съответната държава членка не е предприела ефективни действия, той докладва за това на Европейския съвет.</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8" w:hanging="567"/>
        <w:rPr>
          <w:rFonts w:eastAsia="Calibri"/>
          <w:noProof/>
          <w:color w:val="000000"/>
          <w:szCs w:val="22"/>
          <w:lang w:eastAsia="en-US"/>
        </w:rPr>
      </w:pPr>
      <w:r w:rsidRPr="00633D23">
        <w:rPr>
          <w:rFonts w:eastAsia="Calibri"/>
          <w:color w:val="000000"/>
          <w:szCs w:val="22"/>
          <w:lang w:eastAsia="en-US"/>
        </w:rPr>
        <w:lastRenderedPageBreak/>
        <w:t xml:space="preserve">2. </w:t>
      </w:r>
      <w:r>
        <w:rPr>
          <w:rFonts w:eastAsia="Calibri"/>
          <w:color w:val="000000"/>
          <w:szCs w:val="22"/>
          <w:lang w:eastAsia="en-US"/>
        </w:rPr>
        <w:tab/>
      </w:r>
      <w:r w:rsidRPr="00633D23">
        <w:rPr>
          <w:rFonts w:eastAsia="Calibri"/>
          <w:color w:val="000000"/>
          <w:szCs w:val="22"/>
          <w:lang w:eastAsia="en-US"/>
        </w:rPr>
        <w:t>Всяко решение на Съвета по член 126, параграф 8 от ДФЕС да оповести публично препоръките си, когато се установи, че не са били предприети ефективни действия, се взема незабавно след изтичането на срока, определен в съответствие с член 3, параграф 4 от настоящия регламент.“;</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4)</w:t>
      </w:r>
      <w:r w:rsidRPr="00633D23">
        <w:rPr>
          <w:rFonts w:eastAsia="Calibri"/>
          <w:color w:val="000000"/>
          <w:szCs w:val="22"/>
          <w:lang w:eastAsia="en-US"/>
        </w:rPr>
        <w:tab/>
        <w:t>Член 5 се изменя, както следва:</w:t>
      </w:r>
    </w:p>
    <w:p w:rsidR="00DD4C36" w:rsidRPr="00633D23" w:rsidRDefault="00DD4C36" w:rsidP="00DD4C36">
      <w:pPr>
        <w:widowControl/>
        <w:spacing w:before="120" w:after="120" w:line="360" w:lineRule="auto"/>
        <w:ind w:left="1417" w:hanging="567"/>
        <w:rPr>
          <w:rFonts w:eastAsia="Calibri"/>
          <w:noProof/>
          <w:color w:val="000000"/>
          <w:szCs w:val="22"/>
          <w:lang w:eastAsia="en-US"/>
        </w:rPr>
      </w:pPr>
      <w:r w:rsidRPr="00633D23">
        <w:rPr>
          <w:rFonts w:eastAsia="Calibri"/>
          <w:color w:val="000000"/>
          <w:szCs w:val="22"/>
          <w:lang w:eastAsia="en-US"/>
        </w:rPr>
        <w:t>a)</w:t>
      </w:r>
      <w:r w:rsidRPr="00633D23">
        <w:rPr>
          <w:rFonts w:eastAsia="Calibri"/>
          <w:color w:val="000000"/>
          <w:szCs w:val="22"/>
          <w:lang w:eastAsia="en-US"/>
        </w:rPr>
        <w:tab/>
        <w:t>параграф 1 се заменя със следното:</w:t>
      </w:r>
    </w:p>
    <w:p w:rsidR="00DD4C36" w:rsidRPr="00633D23" w:rsidRDefault="00DD4C36" w:rsidP="00DD4C36">
      <w:pPr>
        <w:widowControl/>
        <w:spacing w:before="120" w:after="120" w:line="360" w:lineRule="auto"/>
        <w:ind w:left="1985" w:hanging="568"/>
        <w:rPr>
          <w:rFonts w:eastAsia="Calibri"/>
          <w:noProof/>
          <w:color w:val="000000"/>
          <w:szCs w:val="22"/>
          <w:lang w:eastAsia="en-US"/>
        </w:rPr>
      </w:pPr>
      <w:r w:rsidRPr="00633D23">
        <w:rPr>
          <w:rFonts w:eastAsia="Calibri"/>
          <w:color w:val="000000"/>
          <w:szCs w:val="22"/>
          <w:lang w:eastAsia="en-US"/>
        </w:rPr>
        <w:t xml:space="preserve">„1. </w:t>
      </w:r>
      <w:r>
        <w:rPr>
          <w:rFonts w:eastAsia="Calibri"/>
          <w:color w:val="000000"/>
          <w:szCs w:val="22"/>
          <w:lang w:eastAsia="en-US"/>
        </w:rPr>
        <w:tab/>
      </w:r>
      <w:r w:rsidRPr="00633D23">
        <w:rPr>
          <w:rFonts w:eastAsia="Calibri"/>
          <w:color w:val="000000"/>
          <w:szCs w:val="22"/>
          <w:lang w:eastAsia="en-US"/>
        </w:rPr>
        <w:t>Всяко решение на Съвета за отправяне на предизвестие до съответната участваща държава членка да вземе мерки за намаляване на дефицита съгласно член 126, параграф 9 от ДФЕС се взема в срок два месеца от решението на Съвета по член 126, параграф 8 от ДФЕС, с което се установява, че не са предприети ефективни действия. В предизвестието Съветът изисква от държавата членка да приложи коригиращ план за нетните разходи в съответствие с изискванията, установени в член 3, параграф 4. Съветът указва и мерките, които допринасят за изпълнението на коригиращия план за нетните разходи.“;</w:t>
      </w:r>
    </w:p>
    <w:p w:rsidR="00DD4C36" w:rsidRPr="00633D23" w:rsidRDefault="00DD4C36" w:rsidP="00DD4C36">
      <w:pPr>
        <w:widowControl/>
        <w:spacing w:before="120" w:after="120" w:line="360" w:lineRule="auto"/>
        <w:ind w:left="1417"/>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7" w:hanging="567"/>
        <w:rPr>
          <w:rFonts w:eastAsia="Calibri"/>
          <w:noProof/>
          <w:color w:val="000000"/>
          <w:szCs w:val="22"/>
          <w:lang w:eastAsia="en-US"/>
        </w:rPr>
      </w:pPr>
      <w:r w:rsidRPr="00633D23">
        <w:rPr>
          <w:rFonts w:eastAsia="Calibri"/>
          <w:color w:val="000000"/>
          <w:szCs w:val="22"/>
          <w:lang w:eastAsia="en-US"/>
        </w:rPr>
        <w:lastRenderedPageBreak/>
        <w:t>б)</w:t>
      </w:r>
      <w:r w:rsidRPr="00633D23">
        <w:rPr>
          <w:rFonts w:eastAsia="Calibri"/>
          <w:color w:val="000000"/>
          <w:szCs w:val="22"/>
          <w:lang w:eastAsia="en-US"/>
        </w:rPr>
        <w:tab/>
        <w:t>параграф 2 се заменя със следното:</w:t>
      </w:r>
    </w:p>
    <w:p w:rsidR="00DD4C36" w:rsidRPr="00633D23" w:rsidRDefault="00DD4C36" w:rsidP="00DD4C36">
      <w:pPr>
        <w:widowControl/>
        <w:spacing w:before="120" w:after="120" w:line="360" w:lineRule="auto"/>
        <w:ind w:left="1985" w:hanging="545"/>
        <w:rPr>
          <w:rFonts w:eastAsia="Calibri"/>
          <w:noProof/>
          <w:color w:val="000000"/>
          <w:szCs w:val="22"/>
          <w:lang w:eastAsia="en-US"/>
        </w:rPr>
      </w:pPr>
      <w:r w:rsidRPr="00633D23">
        <w:rPr>
          <w:rFonts w:eastAsia="Calibri"/>
          <w:color w:val="000000"/>
          <w:szCs w:val="22"/>
          <w:lang w:eastAsia="en-US"/>
        </w:rPr>
        <w:t>„2. </w:t>
      </w:r>
      <w:r>
        <w:rPr>
          <w:rFonts w:eastAsia="Calibri"/>
          <w:color w:val="000000"/>
          <w:szCs w:val="22"/>
          <w:lang w:eastAsia="en-US"/>
        </w:rPr>
        <w:tab/>
      </w:r>
      <w:r w:rsidRPr="00633D23">
        <w:rPr>
          <w:rFonts w:eastAsia="Calibri"/>
          <w:color w:val="000000"/>
          <w:szCs w:val="22"/>
          <w:lang w:eastAsia="en-US"/>
        </w:rPr>
        <w:t>Съветът може да реши, по препоръка на Комисията, да приеме преразгледана препоръка съгласно член 126, параграф 9 от ДФЕС, когато:</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a)</w:t>
      </w:r>
      <w:r w:rsidRPr="00633D23">
        <w:rPr>
          <w:rFonts w:eastAsia="Calibri"/>
          <w:color w:val="000000"/>
          <w:szCs w:val="22"/>
          <w:lang w:eastAsia="en-US"/>
        </w:rPr>
        <w:tab/>
        <w:t>са предприети ефективни действия в отговор на такова предизвестие и се прилагат условията, посочени в член 25 от Регламент (ЕС) [относно предпазните мерки], или</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б)</w:t>
      </w:r>
      <w:r w:rsidRPr="00633D23">
        <w:rPr>
          <w:rFonts w:eastAsia="Calibri"/>
          <w:color w:val="000000"/>
          <w:szCs w:val="22"/>
          <w:lang w:eastAsia="en-US"/>
        </w:rPr>
        <w:tab/>
        <w:t>се прилагат условията, посочени в член 24 от Регламент (ЕС) [относно предпазните мерки].</w:t>
      </w:r>
    </w:p>
    <w:p w:rsidR="00DD4C36" w:rsidRPr="00633D23" w:rsidRDefault="00DD4C36" w:rsidP="00DD4C36">
      <w:pPr>
        <w:widowControl/>
        <w:spacing w:before="120" w:after="120" w:line="360" w:lineRule="auto"/>
        <w:ind w:left="1440"/>
        <w:rPr>
          <w:rFonts w:eastAsia="Calibri"/>
          <w:noProof/>
          <w:color w:val="000000"/>
          <w:szCs w:val="22"/>
          <w:lang w:eastAsia="en-US"/>
        </w:rPr>
      </w:pPr>
      <w:r w:rsidRPr="00633D23">
        <w:rPr>
          <w:rFonts w:eastAsia="Calibri"/>
          <w:color w:val="000000"/>
          <w:szCs w:val="22"/>
          <w:lang w:eastAsia="en-US"/>
        </w:rPr>
        <w:t>По-специално, с преразгледаното предизвестие срокът за коригиране на прекомерния дефицит по правило може да бъде удължен с една година.“;</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5)</w:t>
      </w:r>
      <w:r w:rsidRPr="00633D23">
        <w:rPr>
          <w:rFonts w:eastAsia="Calibri"/>
          <w:color w:val="000000"/>
          <w:szCs w:val="22"/>
          <w:lang w:eastAsia="en-US"/>
        </w:rPr>
        <w:tab/>
        <w:t>В член 6 параграф 1 се заменя със следното:</w:t>
      </w:r>
    </w:p>
    <w:p w:rsidR="00DD4C36" w:rsidRPr="00633D23" w:rsidRDefault="00DD4C36" w:rsidP="00DD4C36">
      <w:pPr>
        <w:widowControl/>
        <w:spacing w:before="120" w:after="120" w:line="360" w:lineRule="auto"/>
        <w:ind w:left="1418" w:hanging="567"/>
        <w:contextualSpacing/>
        <w:rPr>
          <w:rFonts w:eastAsia="Calibri"/>
          <w:noProof/>
          <w:color w:val="000000"/>
          <w:szCs w:val="22"/>
          <w:lang w:eastAsia="en-US"/>
        </w:rPr>
      </w:pPr>
      <w:r w:rsidRPr="00633D23">
        <w:rPr>
          <w:rFonts w:eastAsia="Calibri"/>
          <w:color w:val="000000"/>
          <w:szCs w:val="22"/>
          <w:lang w:eastAsia="en-US"/>
        </w:rPr>
        <w:t>„1.</w:t>
      </w:r>
      <w:r>
        <w:rPr>
          <w:rFonts w:eastAsia="Calibri"/>
          <w:color w:val="000000"/>
          <w:szCs w:val="22"/>
          <w:lang w:eastAsia="en-US"/>
        </w:rPr>
        <w:tab/>
      </w:r>
      <w:r w:rsidRPr="00633D23">
        <w:rPr>
          <w:rFonts w:eastAsia="Calibri"/>
          <w:color w:val="000000"/>
          <w:szCs w:val="22"/>
          <w:lang w:eastAsia="en-US"/>
        </w:rPr>
        <w:t xml:space="preserve"> Когато преценява дали са били предприети ефективни действия в отговор на неговото предизвестие, отправено по член 126, параграф 9 от ДФЕС, Съветът основава решението си на доклада, представен от съответната държава членка съгласно член 5, параграф 1а от настоящия регламент, и неговото прилагане, както и на всякакви други обявени публично и достатъчно подробни решения на правителството на съответната държава членка. Вземат се предвид резултатите от мисията за наблюдение, проведена от Комисията в съответствие с член 10а от настоящия регламент.“;</w:t>
      </w:r>
    </w:p>
    <w:p w:rsidR="00DD4C36" w:rsidRPr="00633D23" w:rsidRDefault="00DD4C36" w:rsidP="00DD4C36">
      <w:pPr>
        <w:widowControl/>
        <w:spacing w:before="120" w:after="120" w:line="360" w:lineRule="auto"/>
        <w:ind w:left="720"/>
        <w:contextualSpacing/>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lastRenderedPageBreak/>
        <w:t>6)</w:t>
      </w:r>
      <w:r w:rsidRPr="00633D23">
        <w:rPr>
          <w:rFonts w:eastAsia="Calibri"/>
          <w:color w:val="000000"/>
          <w:szCs w:val="22"/>
          <w:lang w:eastAsia="en-US"/>
        </w:rPr>
        <w:tab/>
        <w:t>Член 8 се заменя със следното:</w:t>
      </w:r>
    </w:p>
    <w:p w:rsidR="00DD4C36" w:rsidRPr="00633D23" w:rsidRDefault="00DD4C36" w:rsidP="00DD4C36">
      <w:pPr>
        <w:keepNext/>
        <w:widowControl/>
        <w:spacing w:before="360" w:after="120" w:line="360" w:lineRule="auto"/>
        <w:ind w:left="851"/>
        <w:rPr>
          <w:rFonts w:eastAsia="Calibri"/>
          <w:i/>
          <w:noProof/>
          <w:color w:val="000000"/>
          <w:szCs w:val="24"/>
          <w:lang w:eastAsia="en-US"/>
        </w:rPr>
      </w:pPr>
      <w:r w:rsidRPr="00633D23">
        <w:rPr>
          <w:rFonts w:eastAsia="Calibri"/>
          <w:i/>
          <w:color w:val="000000"/>
          <w:szCs w:val="22"/>
          <w:lang w:eastAsia="en-US"/>
        </w:rPr>
        <w:t>„Член 8</w:t>
      </w:r>
    </w:p>
    <w:p w:rsidR="00DD4C36" w:rsidRPr="00633D23" w:rsidRDefault="00DD4C36" w:rsidP="00DD4C36">
      <w:pPr>
        <w:widowControl/>
        <w:spacing w:before="120" w:after="120" w:line="360" w:lineRule="auto"/>
        <w:ind w:left="1276" w:hanging="426"/>
        <w:rPr>
          <w:rFonts w:eastAsia="Calibri"/>
          <w:noProof/>
          <w:color w:val="000000"/>
          <w:szCs w:val="22"/>
          <w:lang w:eastAsia="en-US"/>
        </w:rPr>
      </w:pPr>
      <w:r w:rsidRPr="00633D23">
        <w:rPr>
          <w:rFonts w:eastAsia="Calibri"/>
          <w:color w:val="000000"/>
          <w:szCs w:val="22"/>
          <w:lang w:eastAsia="en-US"/>
        </w:rPr>
        <w:t xml:space="preserve">1. </w:t>
      </w:r>
      <w:r>
        <w:rPr>
          <w:rFonts w:eastAsia="Calibri"/>
          <w:color w:val="000000"/>
          <w:szCs w:val="22"/>
          <w:lang w:eastAsia="en-US"/>
        </w:rPr>
        <w:tab/>
      </w:r>
      <w:r w:rsidRPr="00633D23">
        <w:rPr>
          <w:rFonts w:eastAsia="Calibri"/>
          <w:color w:val="000000"/>
          <w:szCs w:val="22"/>
          <w:lang w:eastAsia="en-US"/>
        </w:rPr>
        <w:t>Всяко решение на Съвета по член 126, параграф 11 от ДФЕС за засилване на санкциите се взема не по-късно от два месеца след датите за предоставяне на информация съгласно Регламент (ЕО) № 479/2009.</w:t>
      </w:r>
    </w:p>
    <w:p w:rsidR="00DD4C36" w:rsidRPr="00633D23" w:rsidRDefault="00DD4C36" w:rsidP="00DD4C36">
      <w:pPr>
        <w:widowControl/>
        <w:spacing w:before="120" w:after="120" w:line="360" w:lineRule="auto"/>
        <w:ind w:left="1276" w:hanging="426"/>
        <w:rPr>
          <w:rFonts w:eastAsia="Calibri"/>
          <w:noProof/>
          <w:color w:val="000000"/>
          <w:szCs w:val="22"/>
          <w:lang w:eastAsia="en-US"/>
        </w:rPr>
      </w:pPr>
      <w:r w:rsidRPr="00633D23">
        <w:rPr>
          <w:rFonts w:eastAsia="Calibri"/>
          <w:color w:val="000000"/>
          <w:szCs w:val="22"/>
          <w:lang w:eastAsia="en-US"/>
        </w:rPr>
        <w:t xml:space="preserve">2. </w:t>
      </w:r>
      <w:r>
        <w:rPr>
          <w:rFonts w:eastAsia="Calibri"/>
          <w:color w:val="000000"/>
          <w:szCs w:val="22"/>
          <w:lang w:eastAsia="en-US"/>
        </w:rPr>
        <w:tab/>
      </w:r>
      <w:r w:rsidRPr="00633D23">
        <w:rPr>
          <w:rFonts w:eastAsia="Calibri"/>
          <w:color w:val="000000"/>
          <w:szCs w:val="22"/>
          <w:lang w:eastAsia="en-US"/>
        </w:rPr>
        <w:t>Всяко решение на Съвета по член 126, параграф 12 от ДФЕС за отмяна на някои или на всички негови решения се взема възможно най-скоро и във всички случаи не по-късно от два месеца след датите за предоставяне на информация съгласно Регламент (ЕО) № 479/2009.</w:t>
      </w:r>
    </w:p>
    <w:p w:rsidR="00DD4C36" w:rsidRPr="00633D23" w:rsidRDefault="00DD4C36" w:rsidP="00DD4C36">
      <w:pPr>
        <w:widowControl/>
        <w:spacing w:before="120" w:after="120" w:line="360" w:lineRule="auto"/>
        <w:ind w:left="1276" w:hanging="426"/>
        <w:rPr>
          <w:rFonts w:eastAsia="Calibri"/>
          <w:noProof/>
          <w:color w:val="000000"/>
          <w:szCs w:val="22"/>
          <w:lang w:eastAsia="en-US"/>
        </w:rPr>
      </w:pPr>
      <w:r w:rsidRPr="00633D23">
        <w:rPr>
          <w:rFonts w:eastAsia="Calibri"/>
          <w:color w:val="000000"/>
          <w:szCs w:val="22"/>
          <w:lang w:eastAsia="en-US"/>
        </w:rPr>
        <w:t xml:space="preserve">3. </w:t>
      </w:r>
      <w:r>
        <w:rPr>
          <w:rFonts w:eastAsia="Calibri"/>
          <w:color w:val="000000"/>
          <w:szCs w:val="22"/>
          <w:lang w:eastAsia="en-US"/>
        </w:rPr>
        <w:tab/>
      </w:r>
      <w:r w:rsidRPr="00633D23">
        <w:rPr>
          <w:rFonts w:eastAsia="Calibri"/>
          <w:color w:val="000000"/>
          <w:szCs w:val="22"/>
          <w:lang w:eastAsia="en-US"/>
        </w:rPr>
        <w:t>Решение на Съвета се взема съгласно член 126, параграф 12 от ДФЕС само когато дефицитът е бил сведен под референтната стойност и прогнозата на Комисията сочи, че се очаква да остане такъв през текущата и следващата година, и – когато процедурата при прекомерен дефицит е открита въз основа на критерия за дълга – съответната държава членка е спазила коригиращия план за нетните разходи, определен от Съвета в съответствие с член 3, параграф 4 или член 5, параграф 1 от настоящия регламент.“;</w:t>
      </w:r>
    </w:p>
    <w:p w:rsidR="00DD4C36" w:rsidRPr="00633D23" w:rsidRDefault="00DD4C36" w:rsidP="00DD4C36">
      <w:pPr>
        <w:widowControl/>
        <w:spacing w:before="120" w:after="120" w:line="360" w:lineRule="auto"/>
        <w:rPr>
          <w:rFonts w:eastAsia="Calibri"/>
          <w:b/>
          <w:noProof/>
          <w:color w:val="000000"/>
          <w:szCs w:val="24"/>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lastRenderedPageBreak/>
        <w:t>7)</w:t>
      </w:r>
      <w:r w:rsidRPr="00633D23">
        <w:rPr>
          <w:rFonts w:eastAsia="Calibri"/>
          <w:color w:val="000000"/>
          <w:szCs w:val="22"/>
          <w:lang w:eastAsia="en-US"/>
        </w:rPr>
        <w:tab/>
        <w:t>В член 9 параграф 1 се заменя със следното:</w:t>
      </w:r>
    </w:p>
    <w:p w:rsidR="00DD4C36" w:rsidRPr="00633D23" w:rsidRDefault="00DD4C36" w:rsidP="00DD4C36">
      <w:pPr>
        <w:widowControl/>
        <w:spacing w:before="120" w:after="120" w:line="360" w:lineRule="auto"/>
        <w:ind w:left="720"/>
        <w:contextualSpacing/>
        <w:rPr>
          <w:rFonts w:eastAsia="Calibri"/>
          <w:noProof/>
          <w:color w:val="000000"/>
          <w:szCs w:val="22"/>
          <w:lang w:eastAsia="en-US"/>
        </w:rPr>
      </w:pPr>
      <w:r w:rsidRPr="00633D23">
        <w:rPr>
          <w:rFonts w:eastAsia="Calibri"/>
          <w:color w:val="000000"/>
          <w:szCs w:val="22"/>
          <w:lang w:eastAsia="en-US"/>
        </w:rPr>
        <w:t>„1. </w:t>
      </w:r>
      <w:r>
        <w:rPr>
          <w:rFonts w:eastAsia="Calibri"/>
          <w:color w:val="000000"/>
          <w:szCs w:val="22"/>
          <w:lang w:eastAsia="en-US"/>
        </w:rPr>
        <w:tab/>
      </w:r>
      <w:r w:rsidRPr="00633D23">
        <w:rPr>
          <w:rFonts w:eastAsia="Calibri"/>
          <w:color w:val="000000"/>
          <w:szCs w:val="22"/>
          <w:lang w:eastAsia="en-US"/>
        </w:rPr>
        <w:t>Процедурата при прекомерен дефицит спира временно:</w:t>
      </w:r>
    </w:p>
    <w:p w:rsidR="00DD4C36" w:rsidRPr="00633D23" w:rsidRDefault="00DD4C36" w:rsidP="00DD4C36">
      <w:pPr>
        <w:widowControl/>
        <w:spacing w:before="120" w:after="120" w:line="360" w:lineRule="auto"/>
        <w:ind w:left="1984" w:hanging="567"/>
        <w:rPr>
          <w:rFonts w:eastAsia="Calibri"/>
          <w:noProof/>
          <w:color w:val="000000"/>
          <w:szCs w:val="22"/>
          <w:lang w:eastAsia="en-US"/>
        </w:rPr>
      </w:pPr>
      <w:r w:rsidRPr="00633D23">
        <w:rPr>
          <w:rFonts w:eastAsia="Calibri"/>
          <w:color w:val="000000"/>
          <w:szCs w:val="22"/>
          <w:lang w:eastAsia="en-US"/>
        </w:rPr>
        <w:t>a)</w:t>
      </w:r>
      <w:r w:rsidRPr="00633D23">
        <w:rPr>
          <w:rFonts w:eastAsia="Calibri"/>
          <w:color w:val="000000"/>
          <w:szCs w:val="22"/>
          <w:lang w:eastAsia="en-US"/>
        </w:rPr>
        <w:tab/>
        <w:t>когато съответната държава членка предприеме действия в съответствие с препоръките, направени съгласно член 126, параграф 7 от ДФЕС;</w:t>
      </w:r>
    </w:p>
    <w:p w:rsidR="00DD4C36" w:rsidRPr="00633D23" w:rsidRDefault="00DD4C36" w:rsidP="00DD4C36">
      <w:pPr>
        <w:widowControl/>
        <w:spacing w:before="120" w:after="120" w:line="360" w:lineRule="auto"/>
        <w:ind w:left="1984" w:hanging="567"/>
        <w:rPr>
          <w:rFonts w:eastAsia="Calibri"/>
          <w:noProof/>
          <w:color w:val="000000"/>
          <w:szCs w:val="22"/>
          <w:lang w:eastAsia="en-US"/>
        </w:rPr>
      </w:pPr>
      <w:r w:rsidRPr="00633D23">
        <w:rPr>
          <w:rFonts w:eastAsia="Calibri"/>
          <w:color w:val="000000"/>
          <w:szCs w:val="22"/>
          <w:lang w:eastAsia="en-US"/>
        </w:rPr>
        <w:t>б)</w:t>
      </w:r>
      <w:r w:rsidRPr="00633D23">
        <w:rPr>
          <w:rFonts w:eastAsia="Calibri"/>
          <w:color w:val="000000"/>
          <w:szCs w:val="22"/>
          <w:lang w:eastAsia="en-US"/>
        </w:rPr>
        <w:tab/>
        <w:t>когато съответната държава членка предприеме действия в съответствие с предизвестията, отправени на основание член 126, параграф 9 от ДФЕС.“;</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8)</w:t>
      </w:r>
      <w:r w:rsidRPr="00633D23">
        <w:rPr>
          <w:rFonts w:eastAsia="Calibri"/>
          <w:color w:val="000000"/>
          <w:szCs w:val="22"/>
          <w:lang w:eastAsia="en-US"/>
        </w:rPr>
        <w:tab/>
        <w:t>Член 10 се заменя със следното:</w:t>
      </w:r>
    </w:p>
    <w:p w:rsidR="00DD4C36" w:rsidRPr="00633D23" w:rsidRDefault="00DD4C36" w:rsidP="00DD4C36">
      <w:pPr>
        <w:keepNext/>
        <w:widowControl/>
        <w:spacing w:before="360" w:after="120" w:line="360" w:lineRule="auto"/>
        <w:ind w:left="851"/>
        <w:rPr>
          <w:rFonts w:eastAsia="Calibri"/>
          <w:i/>
          <w:noProof/>
          <w:color w:val="000000"/>
          <w:szCs w:val="24"/>
          <w:lang w:eastAsia="en-US"/>
        </w:rPr>
      </w:pPr>
      <w:r w:rsidRPr="00633D23">
        <w:rPr>
          <w:rFonts w:eastAsia="Calibri"/>
          <w:i/>
          <w:color w:val="000000"/>
          <w:szCs w:val="22"/>
          <w:lang w:eastAsia="en-US"/>
        </w:rPr>
        <w:t>„Член 10</w:t>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1. </w:t>
      </w:r>
      <w:r>
        <w:rPr>
          <w:rFonts w:eastAsia="Calibri"/>
          <w:color w:val="000000"/>
          <w:szCs w:val="22"/>
          <w:lang w:eastAsia="en-US"/>
        </w:rPr>
        <w:tab/>
      </w:r>
      <w:r w:rsidRPr="00633D23">
        <w:rPr>
          <w:rFonts w:eastAsia="Calibri"/>
          <w:color w:val="000000"/>
          <w:szCs w:val="22"/>
          <w:lang w:eastAsia="en-US"/>
        </w:rPr>
        <w:t>Съветът и Комисията следят редовно за изпълнението на действията, предприети:</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 xml:space="preserve">– </w:t>
      </w:r>
      <w:r>
        <w:rPr>
          <w:rFonts w:eastAsia="Calibri"/>
          <w:color w:val="000000"/>
          <w:szCs w:val="22"/>
          <w:lang w:eastAsia="en-US"/>
        </w:rPr>
        <w:tab/>
      </w:r>
      <w:r w:rsidRPr="00633D23">
        <w:rPr>
          <w:rFonts w:eastAsia="Calibri"/>
          <w:color w:val="000000"/>
          <w:szCs w:val="22"/>
          <w:lang w:eastAsia="en-US"/>
        </w:rPr>
        <w:t>от страна на съответната държава членка в отговор на препоръките, направени съгласно член 126, параграф 7 от ДФЕС;</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 </w:t>
      </w:r>
      <w:r>
        <w:rPr>
          <w:rFonts w:eastAsia="Calibri"/>
          <w:color w:val="000000"/>
          <w:szCs w:val="22"/>
          <w:lang w:eastAsia="en-US"/>
        </w:rPr>
        <w:tab/>
      </w:r>
      <w:r w:rsidRPr="00633D23">
        <w:rPr>
          <w:rFonts w:eastAsia="Calibri"/>
          <w:color w:val="000000"/>
          <w:szCs w:val="22"/>
          <w:lang w:eastAsia="en-US"/>
        </w:rPr>
        <w:t>от страна на съответната участваща държава членка в отговор на предизвестията, отправени съгласно член 126, параграф 9 от ДФЕС.</w:t>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2. </w:t>
      </w:r>
      <w:r>
        <w:rPr>
          <w:rFonts w:eastAsia="Calibri"/>
          <w:color w:val="000000"/>
          <w:szCs w:val="22"/>
          <w:lang w:eastAsia="en-US"/>
        </w:rPr>
        <w:tab/>
      </w:r>
      <w:r w:rsidRPr="00633D23">
        <w:rPr>
          <w:rFonts w:eastAsia="Calibri"/>
          <w:color w:val="000000"/>
          <w:szCs w:val="22"/>
          <w:lang w:eastAsia="en-US"/>
        </w:rPr>
        <w:t>Когато не е било предприето действие от страна на участваща държава членка или когато Съветът счете, че то се е оказало неадекватно, Съветът взема незабавно решение съгласно член 126, параграф 9 от ДФЕС или съответно член 126, параграф 11 от ДФЕС.</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lastRenderedPageBreak/>
        <w:t>3. </w:t>
      </w:r>
      <w:r>
        <w:rPr>
          <w:rFonts w:eastAsia="Calibri"/>
          <w:color w:val="000000"/>
          <w:szCs w:val="22"/>
          <w:lang w:eastAsia="en-US"/>
        </w:rPr>
        <w:tab/>
      </w:r>
      <w:r w:rsidRPr="00633D23">
        <w:rPr>
          <w:rFonts w:eastAsia="Calibri"/>
          <w:color w:val="000000"/>
          <w:szCs w:val="22"/>
          <w:lang w:eastAsia="en-US"/>
        </w:rPr>
        <w:t>Когато актуалните данни, събрани на основание Регламент (ЕО) № 479/2009 показват, че прекомерният дефицит не е бил коригиран от участваща държава членка в определените срокове или в съответствие с препоръките, направени съгласно член 126, параграф 7 от ДФЕС, или в съответствие с предизвестията, изпратени съгласно член 126, параграф 9 от ДФЕС, Съветът взема незабавно решение съгласно член 126, параграф 9 от ДФЕС или съответно член 126, параграф 11 от ДФЕС.“;</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9)</w:t>
      </w:r>
      <w:r w:rsidRPr="00633D23">
        <w:rPr>
          <w:rFonts w:eastAsia="Calibri"/>
          <w:color w:val="000000"/>
          <w:szCs w:val="22"/>
          <w:lang w:eastAsia="en-US"/>
        </w:rPr>
        <w:tab/>
      </w:r>
      <w:r>
        <w:rPr>
          <w:rFonts w:eastAsia="Calibri"/>
          <w:color w:val="000000"/>
          <w:szCs w:val="22"/>
          <w:lang w:eastAsia="en-US"/>
        </w:rPr>
        <w:t>Ч</w:t>
      </w:r>
      <w:r w:rsidRPr="00633D23">
        <w:rPr>
          <w:rFonts w:eastAsia="Calibri"/>
          <w:color w:val="000000"/>
          <w:szCs w:val="22"/>
          <w:lang w:eastAsia="en-US"/>
        </w:rPr>
        <w:t>лен 10а се изменя, както следва:</w:t>
      </w:r>
    </w:p>
    <w:p w:rsidR="00DD4C36" w:rsidRPr="00633D23" w:rsidRDefault="00DD4C36" w:rsidP="00DD4C36">
      <w:pPr>
        <w:widowControl/>
        <w:spacing w:before="120" w:after="120" w:line="360" w:lineRule="auto"/>
        <w:ind w:left="1417" w:hanging="567"/>
        <w:rPr>
          <w:rFonts w:eastAsia="Calibri"/>
          <w:noProof/>
          <w:color w:val="000000"/>
          <w:szCs w:val="22"/>
          <w:lang w:eastAsia="en-US"/>
        </w:rPr>
      </w:pPr>
      <w:r w:rsidRPr="00633D23">
        <w:rPr>
          <w:rFonts w:eastAsia="Calibri"/>
          <w:color w:val="000000"/>
          <w:szCs w:val="22"/>
          <w:lang w:eastAsia="en-US"/>
        </w:rPr>
        <w:t>a)</w:t>
      </w:r>
      <w:r w:rsidRPr="00633D23">
        <w:rPr>
          <w:rFonts w:eastAsia="Calibri"/>
          <w:color w:val="000000"/>
          <w:szCs w:val="22"/>
          <w:lang w:eastAsia="en-US"/>
        </w:rPr>
        <w:tab/>
        <w:t>параграф 1 се заменя със следното:</w:t>
      </w:r>
    </w:p>
    <w:p w:rsidR="00DD4C36" w:rsidRPr="00633D23" w:rsidRDefault="00DD4C36" w:rsidP="00DD4C36">
      <w:pPr>
        <w:widowControl/>
        <w:spacing w:before="120" w:after="120" w:line="360" w:lineRule="auto"/>
        <w:ind w:left="1985" w:hanging="567"/>
        <w:rPr>
          <w:rFonts w:eastAsia="Calibri"/>
          <w:noProof/>
          <w:color w:val="000000"/>
          <w:szCs w:val="22"/>
          <w:lang w:eastAsia="en-US"/>
        </w:rPr>
      </w:pPr>
      <w:r w:rsidRPr="00633D23">
        <w:rPr>
          <w:rFonts w:eastAsia="Calibri"/>
          <w:color w:val="000000"/>
          <w:szCs w:val="22"/>
          <w:lang w:eastAsia="en-US"/>
        </w:rPr>
        <w:t>„1. </w:t>
      </w:r>
      <w:r>
        <w:rPr>
          <w:rFonts w:eastAsia="Calibri"/>
          <w:color w:val="000000"/>
          <w:szCs w:val="22"/>
          <w:lang w:eastAsia="en-US"/>
        </w:rPr>
        <w:tab/>
      </w:r>
      <w:r w:rsidRPr="00633D23">
        <w:rPr>
          <w:rFonts w:eastAsia="Calibri"/>
          <w:color w:val="000000"/>
          <w:szCs w:val="22"/>
          <w:lang w:eastAsia="en-US"/>
        </w:rPr>
        <w:t>Комисията осигурява постоянен диалог с органите на държавите членки в съответствие с целите на настоящия регламент. За целта Комисията по-специално провежда мисии за оценка на актуалното икономическо положение в държавата членка и за установяване на всякакви рискове или трудности, свързани със спазването на целите на настоящия регламент, и дава възможност за обмен на мнения с други съответни заинтересовани страни, включително националните независими фискални институции.“;</w:t>
      </w:r>
    </w:p>
    <w:p w:rsidR="00DD4C36" w:rsidRPr="00633D23" w:rsidRDefault="00DD4C36" w:rsidP="00DD4C36">
      <w:pPr>
        <w:widowControl/>
        <w:spacing w:before="120" w:after="120" w:line="360" w:lineRule="auto"/>
        <w:ind w:left="108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7" w:hanging="567"/>
        <w:rPr>
          <w:rFonts w:eastAsia="Calibri"/>
          <w:noProof/>
          <w:color w:val="000000"/>
          <w:szCs w:val="22"/>
          <w:lang w:eastAsia="en-US"/>
        </w:rPr>
      </w:pPr>
      <w:r w:rsidRPr="00633D23">
        <w:rPr>
          <w:rFonts w:eastAsia="Calibri"/>
          <w:color w:val="000000"/>
          <w:szCs w:val="22"/>
          <w:lang w:eastAsia="en-US"/>
        </w:rPr>
        <w:lastRenderedPageBreak/>
        <w:t>б)</w:t>
      </w:r>
      <w:r w:rsidRPr="00633D23">
        <w:rPr>
          <w:rFonts w:eastAsia="Calibri"/>
          <w:color w:val="000000"/>
          <w:szCs w:val="22"/>
          <w:lang w:eastAsia="en-US"/>
        </w:rPr>
        <w:tab/>
        <w:t>параграф 2 се заменя със следното:</w:t>
      </w:r>
    </w:p>
    <w:p w:rsidR="00DD4C36" w:rsidRPr="00633D23" w:rsidRDefault="00DD4C36" w:rsidP="00DD4C36">
      <w:pPr>
        <w:widowControl/>
        <w:spacing w:before="120" w:after="120" w:line="360" w:lineRule="auto"/>
        <w:ind w:left="1985" w:hanging="567"/>
        <w:rPr>
          <w:rFonts w:eastAsia="Calibri"/>
          <w:b/>
          <w:noProof/>
          <w:color w:val="000000"/>
          <w:szCs w:val="24"/>
          <w:lang w:eastAsia="en-US"/>
        </w:rPr>
      </w:pPr>
      <w:r w:rsidRPr="00633D23">
        <w:rPr>
          <w:rFonts w:eastAsia="Calibri"/>
          <w:color w:val="000000"/>
          <w:szCs w:val="22"/>
          <w:lang w:eastAsia="en-US"/>
        </w:rPr>
        <w:t>„2. </w:t>
      </w:r>
      <w:r>
        <w:rPr>
          <w:rFonts w:eastAsia="Calibri"/>
          <w:color w:val="000000"/>
          <w:szCs w:val="22"/>
          <w:lang w:eastAsia="en-US"/>
        </w:rPr>
        <w:tab/>
      </w:r>
      <w:r w:rsidRPr="00633D23">
        <w:rPr>
          <w:rFonts w:eastAsia="Calibri"/>
          <w:color w:val="000000"/>
          <w:szCs w:val="22"/>
          <w:lang w:eastAsia="en-US"/>
        </w:rPr>
        <w:t>След приемането от Съвета на предизвестие съгласно член 126, параграф 9 от ДФЕС и по искане на парламента на съответната държава членка Комисията може да представи своята оценка на икономическото и фискалното положение в държавата членка. Може да се предприеме засилено наблюдение по отношение на държави членки, които са обект на препоръки и предизвестия, отправени вследствие на решение съгласно член 126, параграф 8 от ДФЕС и решения съгласно член 126, параграф 11 от ДФЕС, за целите на наблюдението на място. Заинтересованите държави членки предоставят цялата информация, необходима за подготовката и провеждането на мисията.“;</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10)</w:t>
      </w:r>
      <w:r w:rsidRPr="00633D23">
        <w:rPr>
          <w:rFonts w:eastAsia="Calibri"/>
          <w:color w:val="000000"/>
          <w:szCs w:val="22"/>
          <w:lang w:eastAsia="en-US"/>
        </w:rPr>
        <w:tab/>
        <w:t>Член 12 се заменя със следното:</w:t>
      </w:r>
    </w:p>
    <w:p w:rsidR="00DD4C36" w:rsidRPr="00633D23" w:rsidRDefault="00DD4C36" w:rsidP="00DD4C36">
      <w:pPr>
        <w:keepNext/>
        <w:widowControl/>
        <w:spacing w:before="360" w:after="120" w:line="360" w:lineRule="auto"/>
        <w:ind w:left="851"/>
        <w:rPr>
          <w:rFonts w:eastAsia="Calibri"/>
          <w:i/>
          <w:noProof/>
          <w:color w:val="000000"/>
          <w:szCs w:val="22"/>
          <w:lang w:eastAsia="en-US"/>
        </w:rPr>
      </w:pPr>
      <w:r w:rsidRPr="00633D23">
        <w:rPr>
          <w:rFonts w:eastAsia="Calibri"/>
          <w:i/>
          <w:color w:val="000000"/>
          <w:szCs w:val="22"/>
          <w:lang w:eastAsia="en-US"/>
        </w:rPr>
        <w:t>„Член 12</w:t>
      </w:r>
    </w:p>
    <w:p w:rsidR="00DD4C36" w:rsidRPr="00633D23" w:rsidRDefault="00DD4C36" w:rsidP="00DD4C36">
      <w:pPr>
        <w:widowControl/>
        <w:spacing w:before="120" w:after="120" w:line="360" w:lineRule="auto"/>
        <w:ind w:left="1210" w:hanging="360"/>
        <w:rPr>
          <w:rFonts w:eastAsia="Calibri"/>
          <w:noProof/>
          <w:color w:val="000000"/>
          <w:szCs w:val="22"/>
          <w:lang w:eastAsia="en-US"/>
        </w:rPr>
      </w:pPr>
      <w:r w:rsidRPr="00633D23">
        <w:rPr>
          <w:rFonts w:eastAsia="Calibri"/>
          <w:noProof/>
          <w:color w:val="000000"/>
          <w:szCs w:val="22"/>
          <w:lang w:eastAsia="en-US"/>
        </w:rPr>
        <w:t>1.</w:t>
      </w:r>
      <w:r w:rsidRPr="00633D23">
        <w:rPr>
          <w:rFonts w:eastAsia="Calibri"/>
          <w:noProof/>
          <w:color w:val="000000"/>
          <w:szCs w:val="22"/>
          <w:lang w:eastAsia="en-US"/>
        </w:rPr>
        <w:tab/>
      </w:r>
      <w:r w:rsidRPr="00633D23">
        <w:rPr>
          <w:rFonts w:eastAsia="Calibri"/>
          <w:color w:val="000000"/>
          <w:szCs w:val="22"/>
          <w:lang w:eastAsia="en-US"/>
        </w:rPr>
        <w:t>Размерът на глобата е до 0,05% от последната прогнозна стойност на БВП за предходната година за 6-месечен период и се плаща на всеки 6 месеца, докато Съветът прецени, че съответната държава членка е предприела ефективни действия в отговор на предизвестието, отправено съгласно член 126, параграф 9 от ДФЕС.</w:t>
      </w:r>
    </w:p>
    <w:p w:rsidR="00DD4C36" w:rsidRPr="00633D23" w:rsidRDefault="00DD4C36" w:rsidP="00DD4C36">
      <w:pPr>
        <w:widowControl/>
        <w:spacing w:before="120" w:after="120" w:line="360" w:lineRule="auto"/>
        <w:ind w:left="121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lastRenderedPageBreak/>
        <w:t>2. </w:t>
      </w:r>
      <w:r>
        <w:rPr>
          <w:rFonts w:eastAsia="Calibri"/>
          <w:color w:val="000000"/>
          <w:szCs w:val="22"/>
          <w:lang w:eastAsia="en-US"/>
        </w:rPr>
        <w:tab/>
      </w:r>
      <w:r w:rsidRPr="00633D23">
        <w:rPr>
          <w:rFonts w:eastAsia="Calibri"/>
          <w:color w:val="000000"/>
          <w:szCs w:val="22"/>
          <w:lang w:eastAsia="en-US"/>
        </w:rPr>
        <w:t>На всеки 6-месечен период след този, в който е наложена глобата, докато решението за наличието на прекомерен дефицит не бъде отменено, Съветът преценява дали съответната участваща държава членка е предприела ефективни действия в отговор на предизвестието на Съвета съгласно член 126, параграф 9 от ДФЕС. В тази шестмесечна оценка Съветът решава в съответствие с член 126, параграф 11 от ДФЕС да засили санкциите, освен ако съответната участваща държава членка се е съобразила с предизвестието на Съвета.“;</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t>11)</w:t>
      </w:r>
      <w:r w:rsidRPr="00633D23">
        <w:rPr>
          <w:rFonts w:eastAsia="Calibri"/>
          <w:color w:val="000000"/>
          <w:szCs w:val="22"/>
          <w:lang w:eastAsia="en-US"/>
        </w:rPr>
        <w:tab/>
        <w:t>Членове 14 и 15 се заменят със следното:</w:t>
      </w:r>
    </w:p>
    <w:p w:rsidR="00DD4C36" w:rsidRPr="00633D23" w:rsidRDefault="00DD4C36" w:rsidP="00DD4C36">
      <w:pPr>
        <w:keepNext/>
        <w:widowControl/>
        <w:spacing w:before="360" w:after="120" w:line="360" w:lineRule="auto"/>
        <w:ind w:left="851"/>
        <w:rPr>
          <w:rFonts w:eastAsia="Calibri"/>
          <w:i/>
          <w:noProof/>
          <w:color w:val="000000"/>
          <w:szCs w:val="22"/>
          <w:lang w:eastAsia="en-US"/>
        </w:rPr>
      </w:pPr>
      <w:r w:rsidRPr="00633D23">
        <w:rPr>
          <w:rFonts w:eastAsia="Calibri"/>
          <w:i/>
          <w:color w:val="000000"/>
          <w:szCs w:val="22"/>
          <w:lang w:eastAsia="en-US"/>
        </w:rPr>
        <w:t>„Член 14</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t>1. </w:t>
      </w:r>
      <w:r>
        <w:rPr>
          <w:rFonts w:eastAsia="Calibri"/>
          <w:color w:val="000000"/>
          <w:szCs w:val="22"/>
          <w:lang w:eastAsia="en-US"/>
        </w:rPr>
        <w:tab/>
      </w:r>
      <w:r w:rsidRPr="00633D23">
        <w:rPr>
          <w:rFonts w:eastAsia="Calibri"/>
          <w:color w:val="000000"/>
          <w:szCs w:val="22"/>
          <w:lang w:eastAsia="en-US"/>
        </w:rPr>
        <w:t>В съответствие с член 126, параграф 12 от ДФЕС Съветът отменя санкциите, посочени в член 126, параграф 11, първо и второ тире от ДФЕС, в зависимост от напредъка, постигнат от съответната участваща държава членка в коригирането на прекомерния дефицит.</w:t>
      </w:r>
    </w:p>
    <w:p w:rsidR="00DD4C36" w:rsidRPr="00633D23" w:rsidRDefault="00DD4C36" w:rsidP="00DD4C36">
      <w:pPr>
        <w:keepNext/>
        <w:widowControl/>
        <w:spacing w:before="360" w:after="120" w:line="360" w:lineRule="auto"/>
        <w:ind w:left="851"/>
        <w:rPr>
          <w:rFonts w:eastAsia="Calibri"/>
          <w:i/>
          <w:color w:val="000000"/>
          <w:szCs w:val="22"/>
          <w:lang w:eastAsia="en-US"/>
        </w:rPr>
      </w:pPr>
      <w:r w:rsidRPr="00633D23">
        <w:rPr>
          <w:rFonts w:eastAsia="Calibri"/>
          <w:i/>
          <w:color w:val="000000"/>
          <w:szCs w:val="22"/>
          <w:lang w:eastAsia="en-US"/>
        </w:rPr>
        <w:t>Член 15</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t>В съответствие с член 126, параграф 12 от ДФЕС Съветът отменя всички останали наложени санкции, ако решението за наличието на прекомерен дефицит бъде отменено. Глобите, наложени по член 12 от настоящия регламент, не се възстановяват на съответната участваща държава членка.“;</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lastRenderedPageBreak/>
        <w:t>12)</w:t>
      </w:r>
      <w:r w:rsidRPr="00633D23">
        <w:rPr>
          <w:rFonts w:eastAsia="Calibri"/>
          <w:color w:val="000000"/>
          <w:szCs w:val="22"/>
          <w:lang w:eastAsia="en-US"/>
        </w:rPr>
        <w:tab/>
        <w:t>Член 16 се заменя със следното:</w:t>
      </w:r>
    </w:p>
    <w:p w:rsidR="00DD4C36" w:rsidRPr="00633D23" w:rsidRDefault="00DD4C36" w:rsidP="00DD4C36">
      <w:pPr>
        <w:keepNext/>
        <w:widowControl/>
        <w:spacing w:before="360" w:after="120" w:line="360" w:lineRule="auto"/>
        <w:ind w:left="851"/>
        <w:rPr>
          <w:rFonts w:eastAsia="Calibri"/>
          <w:i/>
          <w:color w:val="000000"/>
          <w:szCs w:val="22"/>
          <w:lang w:eastAsia="en-US"/>
        </w:rPr>
      </w:pPr>
      <w:r w:rsidRPr="00633D23">
        <w:rPr>
          <w:rFonts w:eastAsia="Calibri"/>
          <w:i/>
          <w:color w:val="000000"/>
          <w:szCs w:val="22"/>
          <w:lang w:eastAsia="en-US"/>
        </w:rPr>
        <w:t>„Член 16</w:t>
      </w:r>
    </w:p>
    <w:p w:rsidR="00DD4C36" w:rsidRPr="00633D23" w:rsidRDefault="00DD4C36" w:rsidP="00DD4C36">
      <w:pPr>
        <w:widowControl/>
        <w:spacing w:before="120" w:after="120" w:line="360" w:lineRule="auto"/>
        <w:ind w:left="851"/>
        <w:rPr>
          <w:rFonts w:eastAsia="Calibri"/>
          <w:noProof/>
          <w:color w:val="000000"/>
          <w:szCs w:val="22"/>
          <w:lang w:eastAsia="en-US"/>
        </w:rPr>
      </w:pPr>
      <w:r w:rsidRPr="00633D23">
        <w:rPr>
          <w:rFonts w:eastAsia="Calibri"/>
          <w:color w:val="000000"/>
          <w:szCs w:val="22"/>
          <w:lang w:eastAsia="en-US"/>
        </w:rPr>
        <w:t>Глобите, посочени в член 12, представляват общи приходи за бюджета на Съюза.“;</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DA0613">
        <w:rPr>
          <w:rFonts w:eastAsia="Calibri"/>
          <w:b/>
          <w:bCs/>
          <w:i/>
          <w:iCs/>
          <w:color w:val="000000"/>
          <w:szCs w:val="22"/>
          <w:lang w:eastAsia="en-US"/>
        </w:rPr>
        <w:t>12а</w:t>
      </w:r>
      <w:r w:rsidRPr="00633D23">
        <w:rPr>
          <w:rFonts w:eastAsia="Calibri"/>
          <w:color w:val="000000"/>
          <w:szCs w:val="22"/>
          <w:lang w:eastAsia="en-US"/>
        </w:rPr>
        <w:t>)</w:t>
      </w:r>
      <w:r w:rsidRPr="00633D23">
        <w:rPr>
          <w:rFonts w:eastAsia="Calibri"/>
          <w:color w:val="000000"/>
          <w:szCs w:val="22"/>
          <w:lang w:eastAsia="en-US"/>
        </w:rPr>
        <w:tab/>
        <w:t>Член 17 се заличава.</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Pr>
          <w:rFonts w:eastAsia="Calibri"/>
          <w:color w:val="000000"/>
          <w:szCs w:val="22"/>
          <w:lang w:eastAsia="en-US"/>
        </w:rPr>
        <w:t>13</w:t>
      </w:r>
      <w:r w:rsidRPr="00633D23">
        <w:rPr>
          <w:rFonts w:eastAsia="Calibri"/>
          <w:color w:val="000000"/>
          <w:szCs w:val="22"/>
          <w:lang w:eastAsia="en-US"/>
        </w:rPr>
        <w:t>)</w:t>
      </w:r>
      <w:r w:rsidRPr="00633D23">
        <w:rPr>
          <w:rFonts w:eastAsia="Calibri"/>
          <w:color w:val="000000"/>
          <w:szCs w:val="22"/>
          <w:lang w:eastAsia="en-US"/>
        </w:rPr>
        <w:tab/>
        <w:t>Член 17a се заменя със следното:</w:t>
      </w:r>
    </w:p>
    <w:p w:rsidR="00DD4C36" w:rsidRPr="00633D23" w:rsidRDefault="00DD4C36" w:rsidP="00DD4C36">
      <w:pPr>
        <w:widowControl/>
        <w:spacing w:before="120" w:after="120" w:line="360" w:lineRule="auto"/>
        <w:ind w:left="1418" w:hanging="568"/>
        <w:rPr>
          <w:rFonts w:eastAsia="Calibri"/>
          <w:noProof/>
          <w:color w:val="000000"/>
          <w:szCs w:val="22"/>
          <w:lang w:eastAsia="en-US"/>
        </w:rPr>
      </w:pPr>
      <w:r w:rsidRPr="00633D23">
        <w:rPr>
          <w:rFonts w:eastAsia="Calibri"/>
          <w:color w:val="000000"/>
          <w:szCs w:val="22"/>
          <w:lang w:eastAsia="en-US"/>
        </w:rPr>
        <w:t>„1. </w:t>
      </w:r>
      <w:r>
        <w:rPr>
          <w:rFonts w:eastAsia="Calibri"/>
          <w:color w:val="000000"/>
          <w:szCs w:val="22"/>
          <w:lang w:eastAsia="en-US"/>
        </w:rPr>
        <w:tab/>
      </w:r>
      <w:r w:rsidRPr="00633D23">
        <w:rPr>
          <w:rFonts w:eastAsia="Calibri"/>
          <w:color w:val="000000"/>
          <w:szCs w:val="22"/>
          <w:lang w:eastAsia="en-US"/>
        </w:rPr>
        <w:t>До 31 декември 2030 г. и на всеки пет години след това Комисията изготвя доклад за прилагането на настоящия регламент, придружен, когато е подходящо, от предложение за изменение на настоящия регламент. Комисията оповестява доклада. В доклада се прави преглед на ефективността на настоящия регламент по отношение на постигането на неговите цели, посочени в член 1, и на напредъка в осигуряването на по-тясна координация на икономическите политики и устойчиво сближаване на икономическите показатели на държавите членки в съответствие с ДФЕС.</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t>3. Докладът се изпраща на Европейския парламент и на Съвета.“;</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Pr>
          <w:rFonts w:eastAsia="Calibri"/>
          <w:color w:val="000000"/>
          <w:szCs w:val="22"/>
          <w:lang w:eastAsia="en-US"/>
        </w:rPr>
        <w:lastRenderedPageBreak/>
        <w:t>14</w:t>
      </w:r>
      <w:r w:rsidRPr="00633D23">
        <w:rPr>
          <w:rFonts w:eastAsia="Calibri"/>
          <w:color w:val="000000"/>
          <w:szCs w:val="22"/>
          <w:lang w:eastAsia="en-US"/>
        </w:rPr>
        <w:t>)</w:t>
      </w:r>
      <w:r w:rsidRPr="00633D23">
        <w:rPr>
          <w:rFonts w:eastAsia="Calibri"/>
          <w:color w:val="000000"/>
          <w:szCs w:val="22"/>
          <w:lang w:eastAsia="en-US"/>
        </w:rPr>
        <w:tab/>
        <w:t>Вмъква се следният член 17б:</w:t>
      </w:r>
    </w:p>
    <w:p w:rsidR="00DD4C36" w:rsidRPr="00633D23" w:rsidRDefault="00DD4C36" w:rsidP="00DD4C36">
      <w:pPr>
        <w:keepNext/>
        <w:widowControl/>
        <w:spacing w:before="360" w:after="120" w:line="360" w:lineRule="auto"/>
        <w:ind w:left="851"/>
        <w:rPr>
          <w:rFonts w:eastAsia="Calibri"/>
          <w:i/>
          <w:noProof/>
          <w:color w:val="000000"/>
          <w:szCs w:val="22"/>
          <w:lang w:eastAsia="en-US"/>
        </w:rPr>
      </w:pPr>
      <w:r w:rsidRPr="00633D23">
        <w:rPr>
          <w:rFonts w:eastAsia="Calibri"/>
          <w:i/>
          <w:color w:val="000000"/>
          <w:szCs w:val="22"/>
          <w:lang w:eastAsia="en-US"/>
        </w:rPr>
        <w:t>„Член 17б</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t>По препоръка на Комисията Съветът приема преразгледана препоръка съгласно член 126, параграф 7 от ДФЕС или преразгледано предизвестие съгласно член 126, параграф 9 от ДФЕС до държавите членки, които са обект на препоръка съгласно член 126, параграф 7 от ДФЕС или на предизвестие съгласно член 126, параграф 9 от ДФЕС на [датата на влизане в сила на регламента за изменение] и които са предприели ефективни действия.</w:t>
      </w:r>
    </w:p>
    <w:p w:rsidR="00DD4C36" w:rsidRPr="00633D23" w:rsidRDefault="00DD4C36" w:rsidP="00DD4C36">
      <w:pPr>
        <w:widowControl/>
        <w:spacing w:before="120" w:after="120" w:line="360" w:lineRule="auto"/>
        <w:ind w:left="850"/>
        <w:rPr>
          <w:rFonts w:eastAsia="Calibri"/>
          <w:noProof/>
          <w:color w:val="000000"/>
          <w:szCs w:val="22"/>
          <w:lang w:eastAsia="en-US"/>
        </w:rPr>
      </w:pPr>
      <w:r w:rsidRPr="00633D23">
        <w:rPr>
          <w:rFonts w:eastAsia="Calibri"/>
          <w:color w:val="000000"/>
          <w:szCs w:val="22"/>
          <w:lang w:eastAsia="en-US"/>
        </w:rPr>
        <w:t>Той приема преразгледаната препоръка или преразгледаното предизвестие заедно с приемането на препоръката в съответствие с член 16 от Регламент (ЕС) [относно предпазните мерки], в която се определя планът за нетните разходи.“;</w:t>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sidRPr="00633D23">
        <w:rPr>
          <w:rFonts w:eastAsia="Calibri"/>
          <w:color w:val="000000"/>
          <w:szCs w:val="22"/>
          <w:lang w:eastAsia="en-US"/>
        </w:rPr>
        <w:br w:type="page"/>
      </w:r>
    </w:p>
    <w:p w:rsidR="00DD4C36" w:rsidRPr="00633D23" w:rsidRDefault="00DD4C36" w:rsidP="00DD4C36">
      <w:pPr>
        <w:widowControl/>
        <w:spacing w:before="120" w:after="120" w:line="360" w:lineRule="auto"/>
        <w:ind w:left="850" w:hanging="850"/>
        <w:rPr>
          <w:rFonts w:eastAsia="Calibri"/>
          <w:noProof/>
          <w:color w:val="000000"/>
          <w:szCs w:val="22"/>
          <w:lang w:eastAsia="en-US"/>
        </w:rPr>
      </w:pPr>
      <w:r>
        <w:rPr>
          <w:rFonts w:eastAsia="Calibri"/>
          <w:color w:val="000000"/>
          <w:szCs w:val="22"/>
          <w:lang w:eastAsia="en-US"/>
        </w:rPr>
        <w:lastRenderedPageBreak/>
        <w:t>15</w:t>
      </w:r>
      <w:r w:rsidRPr="00633D23">
        <w:rPr>
          <w:rFonts w:eastAsia="Calibri"/>
          <w:color w:val="000000"/>
          <w:szCs w:val="22"/>
          <w:lang w:eastAsia="en-US"/>
        </w:rPr>
        <w:t>)</w:t>
      </w:r>
      <w:r w:rsidRPr="00633D23">
        <w:rPr>
          <w:rFonts w:eastAsia="Calibri"/>
          <w:color w:val="000000"/>
          <w:szCs w:val="22"/>
          <w:lang w:eastAsia="en-US"/>
        </w:rPr>
        <w:tab/>
        <w:t>Приложението се заличава.</w:t>
      </w:r>
    </w:p>
    <w:p w:rsidR="00DD4C36" w:rsidRPr="00633D23" w:rsidRDefault="00DD4C36" w:rsidP="00DD4C36">
      <w:pPr>
        <w:keepNext/>
        <w:widowControl/>
        <w:spacing w:before="360" w:after="120" w:line="360" w:lineRule="auto"/>
        <w:jc w:val="center"/>
        <w:rPr>
          <w:rFonts w:eastAsia="Calibri"/>
          <w:i/>
          <w:noProof/>
          <w:color w:val="000000"/>
          <w:szCs w:val="22"/>
          <w:lang w:eastAsia="en-US"/>
        </w:rPr>
      </w:pPr>
      <w:r w:rsidRPr="00633D23">
        <w:rPr>
          <w:rFonts w:eastAsia="Calibri"/>
          <w:i/>
          <w:color w:val="000000"/>
          <w:szCs w:val="22"/>
          <w:lang w:eastAsia="en-US"/>
        </w:rPr>
        <w:t>Член 2</w:t>
      </w:r>
    </w:p>
    <w:p w:rsidR="00DD4C36" w:rsidRPr="00DA0613" w:rsidRDefault="00DD4C36" w:rsidP="00DD4C36">
      <w:pPr>
        <w:widowControl/>
        <w:spacing w:before="120" w:after="120" w:line="360" w:lineRule="auto"/>
        <w:jc w:val="center"/>
        <w:rPr>
          <w:rFonts w:eastAsia="Calibri"/>
          <w:bCs/>
          <w:noProof/>
          <w:color w:val="000000"/>
          <w:szCs w:val="22"/>
          <w:lang w:eastAsia="en-US"/>
        </w:rPr>
      </w:pPr>
      <w:r w:rsidRPr="00DA0613">
        <w:rPr>
          <w:rFonts w:eastAsia="Calibri"/>
          <w:bCs/>
          <w:color w:val="000000"/>
          <w:szCs w:val="22"/>
          <w:lang w:eastAsia="en-US"/>
        </w:rPr>
        <w:t>Влизане в сила</w:t>
      </w:r>
    </w:p>
    <w:p w:rsidR="00DD4C36" w:rsidRPr="00633D23" w:rsidRDefault="00DD4C36" w:rsidP="00DD4C36">
      <w:pPr>
        <w:widowControl/>
        <w:spacing w:before="120" w:after="120" w:line="360" w:lineRule="auto"/>
        <w:rPr>
          <w:rFonts w:eastAsia="Calibri"/>
          <w:noProof/>
          <w:color w:val="000000"/>
          <w:szCs w:val="22"/>
          <w:lang w:eastAsia="en-US"/>
        </w:rPr>
      </w:pPr>
      <w:r w:rsidRPr="00633D23">
        <w:rPr>
          <w:rFonts w:eastAsia="Calibri"/>
          <w:color w:val="000000"/>
          <w:szCs w:val="22"/>
          <w:lang w:eastAsia="en-US"/>
        </w:rPr>
        <w:t xml:space="preserve">Настоящият регламент влиза в сила в деня на публикуването му в </w:t>
      </w:r>
      <w:r w:rsidRPr="00633D23">
        <w:rPr>
          <w:rFonts w:eastAsia="Calibri"/>
          <w:i/>
          <w:color w:val="000000"/>
          <w:szCs w:val="22"/>
          <w:lang w:eastAsia="en-US"/>
        </w:rPr>
        <w:t>Официален вестник на Европейския съюз</w:t>
      </w:r>
      <w:r w:rsidRPr="00633D23">
        <w:rPr>
          <w:rFonts w:eastAsia="Calibri"/>
          <w:color w:val="000000"/>
          <w:szCs w:val="22"/>
          <w:lang w:eastAsia="en-US"/>
        </w:rPr>
        <w:t>.</w:t>
      </w:r>
    </w:p>
    <w:p w:rsidR="00DD4C36" w:rsidRPr="00633D23" w:rsidRDefault="00DD4C36" w:rsidP="00DD4C36">
      <w:pPr>
        <w:widowControl/>
        <w:spacing w:before="480" w:after="120" w:line="360" w:lineRule="auto"/>
        <w:rPr>
          <w:rFonts w:eastAsia="Calibri"/>
          <w:noProof/>
          <w:color w:val="000000"/>
          <w:szCs w:val="22"/>
          <w:lang w:eastAsia="en-US"/>
        </w:rPr>
      </w:pPr>
      <w:r w:rsidRPr="00633D23">
        <w:rPr>
          <w:rFonts w:eastAsia="Calibri"/>
          <w:color w:val="000000"/>
          <w:szCs w:val="22"/>
          <w:lang w:eastAsia="en-US"/>
        </w:rPr>
        <w:t>Настоящият регламент е задължителен в своята цялост и се прилага пряко във всички държави членки.</w:t>
      </w:r>
    </w:p>
    <w:p w:rsidR="00DD4C36" w:rsidRPr="00633D23" w:rsidRDefault="00DD4C36" w:rsidP="00DD4C36">
      <w:pPr>
        <w:keepNext/>
        <w:widowControl/>
        <w:spacing w:before="120" w:line="360" w:lineRule="auto"/>
        <w:rPr>
          <w:rFonts w:eastAsia="Calibri"/>
          <w:noProof/>
          <w:color w:val="000000"/>
          <w:szCs w:val="22"/>
          <w:lang w:eastAsia="en-US"/>
        </w:rPr>
      </w:pPr>
      <w:r w:rsidRPr="00633D23">
        <w:rPr>
          <w:rFonts w:eastAsia="Calibri"/>
          <w:color w:val="000000"/>
          <w:szCs w:val="22"/>
          <w:lang w:eastAsia="en-US"/>
        </w:rPr>
        <w:t>Съставено в Брюксел на […] година.</w:t>
      </w:r>
    </w:p>
    <w:p w:rsidR="00DD4C36" w:rsidRPr="00633D23" w:rsidRDefault="00DD4C36" w:rsidP="00DD4C36">
      <w:pPr>
        <w:keepNext/>
        <w:widowControl/>
        <w:tabs>
          <w:tab w:val="left" w:pos="4252"/>
        </w:tabs>
        <w:spacing w:before="720" w:line="360" w:lineRule="auto"/>
        <w:rPr>
          <w:rFonts w:eastAsia="Calibri"/>
          <w:i/>
          <w:noProof/>
          <w:color w:val="000000"/>
          <w:szCs w:val="22"/>
          <w:lang w:eastAsia="en-US"/>
        </w:rPr>
      </w:pPr>
      <w:r w:rsidRPr="00633D23">
        <w:rPr>
          <w:rFonts w:eastAsia="Calibri"/>
          <w:i/>
          <w:color w:val="000000"/>
          <w:szCs w:val="22"/>
          <w:lang w:eastAsia="en-US"/>
        </w:rPr>
        <w:tab/>
        <w:t>За Съвета</w:t>
      </w:r>
    </w:p>
    <w:p w:rsidR="00DD4C36" w:rsidRPr="00633D23" w:rsidRDefault="00DD4C36" w:rsidP="00DD4C36">
      <w:pPr>
        <w:widowControl/>
        <w:tabs>
          <w:tab w:val="left" w:pos="4252"/>
        </w:tabs>
        <w:spacing w:line="360" w:lineRule="auto"/>
        <w:rPr>
          <w:rFonts w:eastAsia="Calibri"/>
          <w:i/>
          <w:noProof/>
          <w:color w:val="000000"/>
          <w:szCs w:val="22"/>
          <w:lang w:eastAsia="en-US"/>
        </w:rPr>
      </w:pPr>
      <w:r w:rsidRPr="00633D23">
        <w:rPr>
          <w:rFonts w:eastAsia="Calibri"/>
          <w:i/>
          <w:color w:val="000000"/>
          <w:szCs w:val="22"/>
          <w:lang w:eastAsia="en-US"/>
        </w:rPr>
        <w:tab/>
        <w:t>Председател</w:t>
      </w:r>
    </w:p>
    <w:p w:rsidR="00DD4C36" w:rsidRPr="00D142AA" w:rsidRDefault="00DD4C36" w:rsidP="00DD4C36">
      <w:pPr>
        <w:pStyle w:val="NormalCenter12a"/>
        <w:spacing w:line="360" w:lineRule="auto"/>
      </w:pPr>
    </w:p>
    <w:p w:rsidR="00DD4C36" w:rsidRPr="00524755" w:rsidRDefault="00DD4C36" w:rsidP="00D14020"/>
    <w:sectPr w:rsidR="00DD4C36" w:rsidRPr="00524755" w:rsidSect="005247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D33" w:rsidRPr="00524755" w:rsidRDefault="005B3D33">
      <w:r w:rsidRPr="00524755">
        <w:separator/>
      </w:r>
    </w:p>
  </w:endnote>
  <w:endnote w:type="continuationSeparator" w:id="0">
    <w:p w:rsidR="005B3D33" w:rsidRPr="00524755" w:rsidRDefault="005B3D33">
      <w:r w:rsidRPr="005247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7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7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7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D33" w:rsidRPr="00524755" w:rsidRDefault="005B3D33">
      <w:r w:rsidRPr="00524755">
        <w:separator/>
      </w:r>
    </w:p>
  </w:footnote>
  <w:footnote w:type="continuationSeparator" w:id="0">
    <w:p w:rsidR="005B3D33" w:rsidRPr="00524755" w:rsidRDefault="005B3D33">
      <w:r w:rsidRPr="00524755">
        <w:continuationSeparator/>
      </w:r>
    </w:p>
  </w:footnote>
  <w:footnote w:id="1">
    <w:p w:rsidR="00D14020" w:rsidRPr="00DD4C36" w:rsidRDefault="00D14020" w:rsidP="00DD4C36">
      <w:pPr>
        <w:pStyle w:val="FootnoteText"/>
        <w:ind w:left="851" w:hanging="851"/>
        <w:rPr>
          <w:sz w:val="24"/>
          <w:lang w:val="bg-BG"/>
        </w:rPr>
      </w:pPr>
      <w:r w:rsidRPr="00DD4C36">
        <w:rPr>
          <w:rStyle w:val="FootnoteReference"/>
          <w:sz w:val="24"/>
          <w:lang w:val="bg-BG"/>
        </w:rPr>
        <w:t>*</w:t>
      </w:r>
      <w:r w:rsidR="00524755" w:rsidRPr="00DD4C36">
        <w:rPr>
          <w:sz w:val="24"/>
          <w:lang w:val="bg-BG"/>
        </w:rPr>
        <w:t xml:space="preserve"> </w:t>
      </w:r>
      <w:r w:rsidR="00524755" w:rsidRPr="00DD4C36">
        <w:rPr>
          <w:sz w:val="24"/>
          <w:lang w:val="bg-BG"/>
        </w:rPr>
        <w:tab/>
      </w:r>
      <w:r w:rsidRPr="00DD4C36">
        <w:rPr>
          <w:sz w:val="24"/>
          <w:lang w:val="bg-BG"/>
        </w:rPr>
        <w:t>Изменения: нов или изменен текст се обозначава с получер курсив; заличаванията се посочват със символа ▌.</w:t>
      </w:r>
    </w:p>
  </w:footnote>
  <w:footnote w:id="2">
    <w:p w:rsidR="00DD4C36" w:rsidRPr="00DD4C36" w:rsidRDefault="00DD4C36" w:rsidP="00DD4C36">
      <w:pPr>
        <w:pStyle w:val="FootnoteText"/>
        <w:ind w:left="850" w:hanging="850"/>
        <w:rPr>
          <w:color w:val="000000"/>
          <w:sz w:val="24"/>
          <w:lang w:val="bg-BG"/>
        </w:rPr>
      </w:pPr>
      <w:r w:rsidRPr="00DD4C36">
        <w:rPr>
          <w:rStyle w:val="FootnoteReference"/>
          <w:color w:val="000000"/>
          <w:sz w:val="24"/>
          <w:lang w:val="bg-BG"/>
        </w:rPr>
        <w:footnoteRef/>
      </w:r>
      <w:r w:rsidRPr="00DD4C36">
        <w:rPr>
          <w:color w:val="000000"/>
          <w:sz w:val="24"/>
          <w:lang w:val="bg-BG"/>
        </w:rPr>
        <w:tab/>
        <w:t>ОВ C ..., стр...</w:t>
      </w:r>
    </w:p>
  </w:footnote>
  <w:footnote w:id="3">
    <w:p w:rsidR="00DD4C36" w:rsidRPr="00DD4C36" w:rsidRDefault="00DD4C36" w:rsidP="00DD4C36">
      <w:pPr>
        <w:pStyle w:val="FootnoteText"/>
        <w:ind w:left="850" w:hanging="850"/>
        <w:rPr>
          <w:color w:val="000000"/>
          <w:sz w:val="24"/>
          <w:lang w:val="bg-BG"/>
        </w:rPr>
      </w:pPr>
      <w:r w:rsidRPr="00DD4C36">
        <w:rPr>
          <w:rStyle w:val="FootnoteReference"/>
          <w:color w:val="000000"/>
          <w:sz w:val="24"/>
          <w:lang w:val="bg-BG"/>
        </w:rPr>
        <w:footnoteRef/>
      </w:r>
      <w:r w:rsidRPr="00DD4C36">
        <w:rPr>
          <w:color w:val="000000"/>
          <w:sz w:val="24"/>
          <w:lang w:val="bg-BG"/>
        </w:rPr>
        <w:tab/>
        <w:t>ОВ</w:t>
      </w:r>
      <w:r w:rsidR="00E20E38">
        <w:rPr>
          <w:color w:val="000000"/>
          <w:sz w:val="24"/>
          <w:lang w:val="bg-BG"/>
        </w:rPr>
        <w:t xml:space="preserve"> C 290, 18.8.2023 г., стр. </w:t>
      </w:r>
      <w:r w:rsidR="00E20E38">
        <w:rPr>
          <w:color w:val="000000"/>
          <w:sz w:val="24"/>
          <w:lang w:val="bg-BG"/>
        </w:rPr>
        <w:t>17</w:t>
      </w:r>
      <w:r w:rsidRPr="00DD4C36">
        <w:rPr>
          <w:color w:val="000000"/>
          <w:sz w:val="24"/>
          <w:lang w:val="bg-BG"/>
        </w:rPr>
        <w:t>.</w:t>
      </w:r>
    </w:p>
  </w:footnote>
  <w:footnote w:id="4">
    <w:p w:rsidR="00DD4C36" w:rsidRPr="00DD4C36" w:rsidRDefault="00DD4C36" w:rsidP="00DD4C36">
      <w:pPr>
        <w:pStyle w:val="FootnoteText"/>
        <w:ind w:left="850" w:hanging="850"/>
        <w:rPr>
          <w:color w:val="000000"/>
          <w:sz w:val="24"/>
          <w:lang w:val="bg-BG"/>
        </w:rPr>
      </w:pPr>
      <w:r w:rsidRPr="00DD4C36">
        <w:rPr>
          <w:rStyle w:val="FootnoteReference"/>
          <w:color w:val="000000"/>
          <w:sz w:val="24"/>
          <w:lang w:val="bg-BG"/>
        </w:rPr>
        <w:footnoteRef/>
      </w:r>
      <w:r w:rsidRPr="00DD4C36">
        <w:rPr>
          <w:color w:val="000000"/>
          <w:sz w:val="24"/>
          <w:lang w:val="bg-BG"/>
        </w:rPr>
        <w:tab/>
        <w:t>Регламент (ЕО) № 1466/97 на Съвета от 7 юли 1997 г. за засилване на надзора върху състоянието на бюджета и на надзора и координацията на икономическите политики (ОВ L 209, 2.8.1997 г., стр. 1).</w:t>
      </w:r>
    </w:p>
  </w:footnote>
  <w:footnote w:id="5">
    <w:p w:rsidR="00DD4C36" w:rsidRPr="00DD4C36" w:rsidRDefault="00DD4C36" w:rsidP="00DD4C36">
      <w:pPr>
        <w:pStyle w:val="FootnoteText"/>
        <w:ind w:left="850" w:hanging="850"/>
        <w:rPr>
          <w:color w:val="000000"/>
          <w:sz w:val="24"/>
          <w:lang w:val="bg-BG"/>
        </w:rPr>
      </w:pPr>
      <w:r w:rsidRPr="00DD4C36">
        <w:rPr>
          <w:rStyle w:val="FootnoteReference"/>
          <w:color w:val="000000"/>
          <w:sz w:val="24"/>
          <w:lang w:val="bg-BG"/>
        </w:rPr>
        <w:footnoteRef/>
      </w:r>
      <w:r w:rsidRPr="00DD4C36">
        <w:rPr>
          <w:color w:val="000000"/>
          <w:sz w:val="24"/>
          <w:lang w:val="bg-BG"/>
        </w:rPr>
        <w:tab/>
        <w:t xml:space="preserve">Регламент (ЕО) № 1467/97 на Съвета от 7 юли 1997 г. за определяне и изясняване на прилагането на процедурата при прекомерен дефицит (ОВ L 209, 2.8.1997 г., </w:t>
      </w:r>
      <w:proofErr w:type="spellStart"/>
      <w:r w:rsidRPr="00DD4C36">
        <w:rPr>
          <w:color w:val="000000"/>
          <w:sz w:val="24"/>
          <w:lang w:val="bg-BG"/>
        </w:rPr>
        <w:t>стp</w:t>
      </w:r>
      <w:proofErr w:type="spellEnd"/>
      <w:r w:rsidRPr="00DD4C36">
        <w:rPr>
          <w:color w:val="000000"/>
          <w:sz w:val="24"/>
          <w:lang w:val="bg-BG"/>
        </w:rPr>
        <w:t>. 6).</w:t>
      </w:r>
    </w:p>
  </w:footnote>
  <w:footnote w:id="6">
    <w:p w:rsidR="00DD4C36" w:rsidRPr="00DD4C36" w:rsidRDefault="00DD4C36" w:rsidP="00DD4C36">
      <w:pPr>
        <w:pStyle w:val="FootnoteText"/>
        <w:ind w:left="850" w:hanging="850"/>
        <w:rPr>
          <w:color w:val="000000"/>
          <w:sz w:val="24"/>
          <w:lang w:val="bg-BG"/>
        </w:rPr>
      </w:pPr>
      <w:r w:rsidRPr="00DD4C36">
        <w:rPr>
          <w:rStyle w:val="FootnoteReference"/>
          <w:color w:val="000000"/>
          <w:sz w:val="24"/>
          <w:lang w:val="bg-BG"/>
        </w:rPr>
        <w:footnoteRef/>
      </w:r>
      <w:r w:rsidRPr="00DD4C36">
        <w:rPr>
          <w:color w:val="000000"/>
          <w:sz w:val="24"/>
          <w:lang w:val="bg-BG"/>
        </w:rPr>
        <w:tab/>
        <w:t>Резолюция на Европейския съвет относно Пакта за стабилност и растеж, Амстердам, 17 юни 1997 г. (ОВ C 236, 2.8.1997 г., стр. 1).</w:t>
      </w:r>
    </w:p>
  </w:footnote>
  <w:footnote w:id="7">
    <w:p w:rsidR="00DD4C36" w:rsidRPr="00DD4C36" w:rsidRDefault="00DD4C36" w:rsidP="00DD4C36">
      <w:pPr>
        <w:pStyle w:val="FootnoteText"/>
        <w:ind w:left="850" w:hanging="850"/>
        <w:rPr>
          <w:color w:val="000000"/>
          <w:sz w:val="24"/>
          <w:lang w:val="bg-BG"/>
        </w:rPr>
      </w:pPr>
      <w:r w:rsidRPr="00DD4C36">
        <w:rPr>
          <w:rStyle w:val="FootnoteReference"/>
          <w:color w:val="000000"/>
          <w:sz w:val="24"/>
          <w:lang w:val="bg-BG"/>
        </w:rPr>
        <w:footnoteRef/>
      </w:r>
      <w:r w:rsidRPr="00DD4C36">
        <w:rPr>
          <w:color w:val="000000"/>
          <w:sz w:val="24"/>
          <w:lang w:val="bg-BG"/>
        </w:rPr>
        <w:tab/>
        <w:t>Европейският закон за климата определя цел за неутралност по отношение на климата в целия Съюз до 2050 г. и налага на институциите на Съюза и на държавите членки да постигнат напредък в повишаването на капацитета за адаптиране, което изисква значителни публични инвестиции за намаляване на отрицателните социално-икономически последици от изменението на климата за ЕС и неговите държави членки, включително отрицателните въздействия върху растежа и фискалната устойчивост.</w:t>
      </w:r>
    </w:p>
  </w:footnote>
  <w:footnote w:id="8">
    <w:p w:rsidR="00DD4C36" w:rsidRPr="00DD4C36" w:rsidRDefault="00DD4C36" w:rsidP="00DD4C36">
      <w:pPr>
        <w:pStyle w:val="FootnoteText"/>
        <w:ind w:left="850" w:hanging="850"/>
        <w:rPr>
          <w:color w:val="000000"/>
          <w:sz w:val="24"/>
          <w:lang w:val="bg-BG"/>
        </w:rPr>
      </w:pPr>
      <w:r w:rsidRPr="00DD4C36">
        <w:rPr>
          <w:rStyle w:val="FootnoteReference"/>
          <w:color w:val="000000"/>
          <w:sz w:val="24"/>
          <w:lang w:val="bg-BG"/>
        </w:rPr>
        <w:footnoteRef/>
      </w:r>
      <w:r w:rsidRPr="00DD4C36">
        <w:rPr>
          <w:color w:val="000000"/>
          <w:sz w:val="24"/>
          <w:lang w:val="bg-BG"/>
        </w:rPr>
        <w:tab/>
        <w:t>Регламент (ЕС) [ ...] на Европейския парламент и на Съвета от [ ...] г. [относно ефективната координация на икономическите политики и многостранния бюджетен надзор] (ОВ L ..., ... г., стр. …).</w:t>
      </w:r>
    </w:p>
  </w:footnote>
  <w:footnote w:id="9">
    <w:p w:rsidR="00DD4C36" w:rsidRPr="00DD4C36" w:rsidRDefault="00DD4C36" w:rsidP="00DD4C36">
      <w:pPr>
        <w:pStyle w:val="FootnoteText"/>
        <w:ind w:left="850" w:hanging="850"/>
        <w:contextualSpacing/>
        <w:rPr>
          <w:color w:val="000000"/>
          <w:sz w:val="24"/>
          <w:lang w:val="bg-BG"/>
        </w:rPr>
      </w:pPr>
      <w:r w:rsidRPr="00DD4C36">
        <w:rPr>
          <w:rStyle w:val="FootnoteReference"/>
          <w:color w:val="000000"/>
          <w:sz w:val="24"/>
          <w:lang w:val="bg-BG"/>
        </w:rPr>
        <w:footnoteRef/>
      </w:r>
      <w:r w:rsidRPr="00DD4C36">
        <w:rPr>
          <w:color w:val="000000"/>
          <w:sz w:val="24"/>
          <w:lang w:val="bg-BG"/>
        </w:rPr>
        <w:tab/>
        <w:t>Договор за стабилност, координация и управление в икономическия и паричен съюз от 2 март 2012 г.</w:t>
      </w:r>
    </w:p>
  </w:footnote>
  <w:footnote w:id="10">
    <w:p w:rsidR="00DD4C36" w:rsidRPr="00DD4C36" w:rsidRDefault="00DD4C36" w:rsidP="00DD4C36">
      <w:pPr>
        <w:pStyle w:val="FootnoteText"/>
        <w:ind w:left="850" w:hanging="850"/>
        <w:rPr>
          <w:color w:val="000000"/>
          <w:sz w:val="24"/>
          <w:lang w:val="bg-BG"/>
        </w:rPr>
      </w:pPr>
      <w:r w:rsidRPr="00DD4C36">
        <w:rPr>
          <w:rStyle w:val="FootnoteReference"/>
          <w:color w:val="000000"/>
          <w:sz w:val="24"/>
          <w:lang w:val="bg-BG"/>
        </w:rPr>
        <w:footnoteRef/>
      </w:r>
      <w:r w:rsidRPr="00DD4C36">
        <w:rPr>
          <w:color w:val="000000"/>
          <w:sz w:val="24"/>
          <w:lang w:val="bg-BG"/>
        </w:rPr>
        <w:tab/>
      </w:r>
      <w:r w:rsidRPr="00DD4C36">
        <w:rPr>
          <w:color w:val="000000"/>
          <w:sz w:val="24"/>
          <w:lang w:val="bg-BG"/>
        </w:rPr>
        <w:t>С</w:t>
      </w:r>
      <w:r w:rsidR="00E20E38">
        <w:rPr>
          <w:color w:val="000000"/>
          <w:sz w:val="24"/>
          <w:lang w:val="bg-BG"/>
        </w:rPr>
        <w:t>ъобщение на Комисията COM(2012)</w:t>
      </w:r>
      <w:r w:rsidR="00E20E38">
        <w:rPr>
          <w:color w:val="000000"/>
          <w:sz w:val="24"/>
          <w:lang w:val="en-GB"/>
        </w:rPr>
        <w:t>0</w:t>
      </w:r>
      <w:r w:rsidR="00E20E38">
        <w:rPr>
          <w:color w:val="000000"/>
          <w:sz w:val="24"/>
          <w:lang w:val="bg-BG"/>
        </w:rPr>
        <w:t>342</w:t>
      </w:r>
      <w:r w:rsidRPr="00DD4C36">
        <w:rPr>
          <w:color w:val="000000"/>
          <w:sz w:val="24"/>
          <w:lang w:val="bg-BG"/>
        </w:rPr>
        <w:t xml:space="preserve"> от 20 юни 2012 г. „Общи принципи относно националните механизми за фискална корекция“.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7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7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47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BG"/>
    <w:docVar w:name="dvnumam" w:val="0"/>
    <w:docVar w:name="dvpe" w:val="757.279"/>
    <w:docVar w:name="dvrapporteur" w:val="Докладчик: "/>
    <w:docVar w:name="dvstar" w:val="*"/>
    <w:docVar w:name="dvtitre" w:val="Законодателна резолюция на Европейския парламент от ... 2024 г. относно предложението за регламент на Съвета за изменение на Регламент (EО) № 1467/97 за определяне и изясняване на прилагането на процедурата при прекомерен дефицит(COM(2023)0241 – C9-0172/2023 – 2023/0137(CNS))"/>
  </w:docVars>
  <w:rsids>
    <w:rsidRoot w:val="005B3D33"/>
    <w:rsid w:val="00002272"/>
    <w:rsid w:val="00064002"/>
    <w:rsid w:val="000677B9"/>
    <w:rsid w:val="00070395"/>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755"/>
    <w:rsid w:val="00545827"/>
    <w:rsid w:val="00560270"/>
    <w:rsid w:val="005B3D33"/>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67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F6F"/>
    <w:rsid w:val="00CC2357"/>
    <w:rsid w:val="00CF071A"/>
    <w:rsid w:val="00D058B8"/>
    <w:rsid w:val="00D14020"/>
    <w:rsid w:val="00D56C11"/>
    <w:rsid w:val="00D834A0"/>
    <w:rsid w:val="00D872DF"/>
    <w:rsid w:val="00D91E21"/>
    <w:rsid w:val="00DA7FCD"/>
    <w:rsid w:val="00DD4C36"/>
    <w:rsid w:val="00E20E38"/>
    <w:rsid w:val="00E365E1"/>
    <w:rsid w:val="00E820A4"/>
    <w:rsid w:val="00EB006A"/>
    <w:rsid w:val="00EB4772"/>
    <w:rsid w:val="00ED169E"/>
    <w:rsid w:val="00ED4235"/>
    <w:rsid w:val="00EF2B1F"/>
    <w:rsid w:val="00F04346"/>
    <w:rsid w:val="00F06030"/>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91C98"/>
  <w15:chartTrackingRefBased/>
  <w15:docId w15:val="{8933512D-125D-462E-9C55-C97BB3CCB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402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14020"/>
    <w:pPr>
      <w:spacing w:before="480" w:after="240"/>
    </w:pPr>
  </w:style>
  <w:style w:type="paragraph" w:customStyle="1" w:styleId="PageHeading">
    <w:name w:val="PageHeading"/>
    <w:basedOn w:val="Normal"/>
    <w:link w:val="PageHeadingChar"/>
    <w:rsid w:val="00D14020"/>
    <w:pPr>
      <w:keepNext/>
      <w:spacing w:after="480"/>
      <w:jc w:val="center"/>
    </w:pPr>
    <w:rPr>
      <w:rFonts w:ascii="Arial" w:hAnsi="Arial" w:cs="Arial"/>
      <w:b/>
    </w:rPr>
  </w:style>
  <w:style w:type="paragraph" w:customStyle="1" w:styleId="NormalBold">
    <w:name w:val="NormalBold"/>
    <w:basedOn w:val="Normal"/>
    <w:rsid w:val="00D14020"/>
    <w:rPr>
      <w:b/>
    </w:rPr>
  </w:style>
  <w:style w:type="paragraph" w:customStyle="1" w:styleId="NormalHanging12a">
    <w:name w:val="NormalHanging12a"/>
    <w:basedOn w:val="Normal"/>
    <w:rsid w:val="00D14020"/>
    <w:pPr>
      <w:spacing w:after="240"/>
      <w:ind w:left="567" w:hanging="567"/>
    </w:pPr>
  </w:style>
  <w:style w:type="paragraph" w:styleId="Header">
    <w:name w:val="header"/>
    <w:basedOn w:val="Normal"/>
    <w:link w:val="HeaderChar"/>
    <w:rsid w:val="00D14020"/>
    <w:pPr>
      <w:tabs>
        <w:tab w:val="center" w:pos="4513"/>
        <w:tab w:val="right" w:pos="9026"/>
      </w:tabs>
    </w:pPr>
  </w:style>
  <w:style w:type="character" w:customStyle="1" w:styleId="HeaderChar">
    <w:name w:val="Header Char"/>
    <w:basedOn w:val="DefaultParagraphFont"/>
    <w:link w:val="Header"/>
    <w:rsid w:val="00D14020"/>
    <w:rPr>
      <w:sz w:val="24"/>
      <w:lang w:val="bg-BG"/>
    </w:rPr>
  </w:style>
  <w:style w:type="paragraph" w:customStyle="1" w:styleId="AmNumberTabs">
    <w:name w:val="AmNumberTabs"/>
    <w:basedOn w:val="Normal"/>
    <w:rsid w:val="00D140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D14020"/>
    <w:pPr>
      <w:tabs>
        <w:tab w:val="center" w:pos="4535"/>
        <w:tab w:val="right" w:pos="9071"/>
      </w:tabs>
      <w:spacing w:before="240" w:after="240"/>
    </w:pPr>
    <w:rPr>
      <w:color w:val="010000"/>
      <w:sz w:val="22"/>
    </w:rPr>
  </w:style>
  <w:style w:type="paragraph" w:customStyle="1" w:styleId="NormalCenter12a">
    <w:name w:val="NormalCenter12a"/>
    <w:basedOn w:val="Normal"/>
    <w:rsid w:val="00D14020"/>
    <w:pPr>
      <w:spacing w:after="240"/>
      <w:jc w:val="center"/>
    </w:pPr>
  </w:style>
  <w:style w:type="paragraph" w:customStyle="1" w:styleId="AmHeadingConsam">
    <w:name w:val="AmHeadingConsam"/>
    <w:basedOn w:val="Normal"/>
    <w:next w:val="NormalCenter12a"/>
    <w:rsid w:val="00D14020"/>
    <w:pPr>
      <w:spacing w:before="720" w:after="240"/>
      <w:jc w:val="center"/>
    </w:pPr>
  </w:style>
  <w:style w:type="paragraph" w:customStyle="1" w:styleId="Statut">
    <w:name w:val="Statut"/>
    <w:basedOn w:val="Normal"/>
    <w:next w:val="Normal"/>
    <w:rsid w:val="00D14020"/>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14020"/>
    <w:pPr>
      <w:widowControl/>
      <w:ind w:left="5103"/>
    </w:pPr>
    <w:rPr>
      <w:rFonts w:eastAsiaTheme="minorHAnsi"/>
      <w:szCs w:val="22"/>
      <w:lang w:eastAsia="en-US"/>
    </w:rPr>
  </w:style>
  <w:style w:type="paragraph" w:customStyle="1" w:styleId="Typedudocument">
    <w:name w:val="Type du document"/>
    <w:basedOn w:val="Normal"/>
    <w:next w:val="Normal"/>
    <w:rsid w:val="00D14020"/>
    <w:pPr>
      <w:widowControl/>
      <w:spacing w:before="360"/>
      <w:jc w:val="center"/>
    </w:pPr>
    <w:rPr>
      <w:rFonts w:eastAsiaTheme="minorHAnsi"/>
      <w:b/>
      <w:szCs w:val="22"/>
      <w:lang w:eastAsia="en-US"/>
    </w:rPr>
  </w:style>
  <w:style w:type="paragraph" w:customStyle="1" w:styleId="Text1">
    <w:name w:val="Text 1"/>
    <w:basedOn w:val="Normal"/>
    <w:rsid w:val="00D14020"/>
    <w:pPr>
      <w:widowControl/>
      <w:spacing w:before="120" w:after="120"/>
      <w:ind w:left="850"/>
      <w:jc w:val="both"/>
    </w:pPr>
    <w:rPr>
      <w:rFonts w:eastAsiaTheme="minorHAnsi"/>
      <w:szCs w:val="22"/>
      <w:lang w:eastAsia="en-US"/>
    </w:rPr>
  </w:style>
  <w:style w:type="paragraph" w:customStyle="1" w:styleId="Text2">
    <w:name w:val="Text 2"/>
    <w:basedOn w:val="Normal"/>
    <w:rsid w:val="00D14020"/>
    <w:pPr>
      <w:widowControl/>
      <w:spacing w:before="120" w:after="120"/>
      <w:ind w:left="1417"/>
      <w:jc w:val="both"/>
    </w:pPr>
    <w:rPr>
      <w:rFonts w:eastAsiaTheme="minorHAnsi"/>
      <w:szCs w:val="22"/>
      <w:lang w:eastAsia="en-US"/>
    </w:rPr>
  </w:style>
  <w:style w:type="paragraph" w:customStyle="1" w:styleId="Point0">
    <w:name w:val="Point 0"/>
    <w:basedOn w:val="Normal"/>
    <w:rsid w:val="00D14020"/>
    <w:pPr>
      <w:widowControl/>
      <w:spacing w:before="120" w:after="120"/>
      <w:ind w:left="850" w:hanging="850"/>
      <w:jc w:val="both"/>
    </w:pPr>
    <w:rPr>
      <w:rFonts w:eastAsiaTheme="minorHAnsi"/>
      <w:szCs w:val="22"/>
      <w:lang w:eastAsia="en-US"/>
    </w:rPr>
  </w:style>
  <w:style w:type="paragraph" w:customStyle="1" w:styleId="Point1">
    <w:name w:val="Point 1"/>
    <w:basedOn w:val="Normal"/>
    <w:rsid w:val="00D1402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14020"/>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D14020"/>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D1402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1402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1402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1402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1402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14020"/>
    <w:pPr>
      <w:widowControl/>
      <w:tabs>
        <w:tab w:val="left" w:pos="4252"/>
      </w:tabs>
    </w:pPr>
    <w:rPr>
      <w:rFonts w:eastAsiaTheme="minorHAnsi"/>
      <w:i/>
      <w:szCs w:val="22"/>
      <w:lang w:eastAsia="en-US"/>
    </w:rPr>
  </w:style>
  <w:style w:type="paragraph" w:customStyle="1" w:styleId="Titrearticle">
    <w:name w:val="Titre article"/>
    <w:basedOn w:val="Normal"/>
    <w:next w:val="Normal"/>
    <w:rsid w:val="00D14020"/>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D14020"/>
    <w:pPr>
      <w:widowControl/>
      <w:spacing w:before="360" w:after="360"/>
      <w:jc w:val="center"/>
    </w:pPr>
    <w:rPr>
      <w:rFonts w:eastAsiaTheme="minorHAnsi"/>
      <w:b/>
      <w:szCs w:val="22"/>
      <w:lang w:eastAsia="en-US"/>
    </w:rPr>
  </w:style>
  <w:style w:type="paragraph" w:customStyle="1" w:styleId="Normal12a">
    <w:name w:val="Normal12a"/>
    <w:basedOn w:val="Normal"/>
    <w:rsid w:val="00D14020"/>
    <w:pPr>
      <w:spacing w:after="240"/>
    </w:pPr>
  </w:style>
  <w:style w:type="paragraph" w:customStyle="1" w:styleId="LetterSubject">
    <w:name w:val="LetterSubject"/>
    <w:basedOn w:val="Normal"/>
    <w:rsid w:val="00D14020"/>
    <w:pPr>
      <w:spacing w:before="480"/>
      <w:ind w:left="1134" w:hanging="1134"/>
    </w:pPr>
  </w:style>
  <w:style w:type="paragraph" w:customStyle="1" w:styleId="LetterSignature66b">
    <w:name w:val="LetterSignature66b"/>
    <w:basedOn w:val="Normal"/>
    <w:next w:val="Normal"/>
    <w:rsid w:val="00D14020"/>
    <w:pPr>
      <w:spacing w:before="1320"/>
    </w:pPr>
  </w:style>
  <w:style w:type="character" w:customStyle="1" w:styleId="tab">
    <w:name w:val="tab"/>
    <w:basedOn w:val="DefaultParagraphFont"/>
    <w:rsid w:val="00D14020"/>
  </w:style>
  <w:style w:type="character" w:customStyle="1" w:styleId="Emphasis1">
    <w:name w:val="Emphasis1"/>
    <w:basedOn w:val="DefaultParagraphFont"/>
    <w:rsid w:val="00D14020"/>
  </w:style>
  <w:style w:type="paragraph" w:customStyle="1" w:styleId="Normal24a">
    <w:name w:val="Normal24a"/>
    <w:basedOn w:val="Normal"/>
    <w:link w:val="Normal24aChar"/>
    <w:rsid w:val="00D14020"/>
    <w:pPr>
      <w:spacing w:after="480"/>
    </w:pPr>
  </w:style>
  <w:style w:type="character" w:customStyle="1" w:styleId="Normal24aChar">
    <w:name w:val="Normal24a Char"/>
    <w:basedOn w:val="DefaultParagraphFont"/>
    <w:link w:val="Normal24a"/>
    <w:rsid w:val="00D14020"/>
    <w:rPr>
      <w:sz w:val="24"/>
      <w:lang w:val="bg-BG"/>
    </w:rPr>
  </w:style>
  <w:style w:type="character" w:customStyle="1" w:styleId="PageHeadingChar">
    <w:name w:val="PageHeading Char"/>
    <w:basedOn w:val="DefaultParagraphFont"/>
    <w:link w:val="PageHeading"/>
    <w:rsid w:val="00D14020"/>
    <w:rPr>
      <w:rFonts w:ascii="Arial" w:hAnsi="Arial" w:cs="Arial"/>
      <w:b/>
      <w:sz w:val="24"/>
      <w:lang w:val="bg-BG"/>
    </w:rPr>
  </w:style>
  <w:style w:type="paragraph" w:customStyle="1" w:styleId="LetterSalutation">
    <w:name w:val="LetterSalutation"/>
    <w:basedOn w:val="Normal"/>
    <w:rsid w:val="00D14020"/>
    <w:pPr>
      <w:spacing w:before="600" w:after="360"/>
    </w:pPr>
  </w:style>
  <w:style w:type="paragraph" w:styleId="BalloonText">
    <w:name w:val="Balloon Text"/>
    <w:basedOn w:val="Normal"/>
    <w:link w:val="BalloonTextChar"/>
    <w:rsid w:val="00070395"/>
    <w:rPr>
      <w:rFonts w:ascii="Segoe UI" w:hAnsi="Segoe UI" w:cs="Segoe UI"/>
      <w:sz w:val="18"/>
      <w:szCs w:val="18"/>
    </w:rPr>
  </w:style>
  <w:style w:type="character" w:customStyle="1" w:styleId="BalloonTextChar">
    <w:name w:val="Balloon Text Char"/>
    <w:basedOn w:val="DefaultParagraphFont"/>
    <w:link w:val="BalloonText"/>
    <w:rsid w:val="0007039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155B3-93CD-4DDD-BC7E-9E7EDAE35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5643</Words>
  <Characters>32314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2024-09-13T08:15:00Z</dcterms:created>
  <dcterms:modified xsi:type="dcterms:W3CDTF">2024-09-13T08:15:00Z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P9_TA(2024)0312_</vt:lpwstr>
  </property>
  <property fmtid="{D5CDD505-2E9C-101B-9397-08002B2CF9AE}" pid="4" name="&lt;Type&gt;">
    <vt:lpwstr>RR</vt:lpwstr>
  </property>
</Properties>
</file>