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03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03A8" w:rsidRDefault="006B5AC7" w:rsidP="0010095E">
            <w:pPr>
              <w:pStyle w:val="EPName"/>
            </w:pPr>
            <w:r w:rsidRPr="00B803A8">
              <w:t>Evropský parlament</w:t>
            </w:r>
          </w:p>
          <w:p w:rsidR="00751A4A" w:rsidRPr="00B803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03A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803A8" w:rsidRDefault="00187494" w:rsidP="0010095E">
            <w:pPr>
              <w:pStyle w:val="EPLogo"/>
            </w:pPr>
            <w:r w:rsidRPr="00B803A8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03A8" w:rsidRDefault="00D058B8" w:rsidP="004C5D52">
      <w:pPr>
        <w:pStyle w:val="LineTop"/>
      </w:pPr>
    </w:p>
    <w:p w:rsidR="00680577" w:rsidRPr="00B803A8" w:rsidRDefault="006B5AC7" w:rsidP="00680577">
      <w:pPr>
        <w:pStyle w:val="EPBodyTA1"/>
      </w:pPr>
      <w:r w:rsidRPr="00B803A8">
        <w:t>PŘIJATÉ TEXTY</w:t>
      </w:r>
    </w:p>
    <w:p w:rsidR="00D058B8" w:rsidRPr="00B803A8" w:rsidRDefault="00D058B8" w:rsidP="00D058B8">
      <w:pPr>
        <w:pStyle w:val="LineBottom"/>
      </w:pPr>
    </w:p>
    <w:p w:rsidR="006B5AC7" w:rsidRPr="00B803A8" w:rsidRDefault="006B5AC7" w:rsidP="006B5AC7">
      <w:pPr>
        <w:pStyle w:val="ATHeading1"/>
      </w:pPr>
      <w:bookmarkStart w:id="0" w:name="TANumber"/>
      <w:r w:rsidRPr="00B803A8">
        <w:t>P9_TA(2024)0</w:t>
      </w:r>
      <w:r w:rsidR="00051866">
        <w:t>312</w:t>
      </w:r>
      <w:bookmarkEnd w:id="0"/>
    </w:p>
    <w:p w:rsidR="006B5AC7" w:rsidRPr="00B803A8" w:rsidRDefault="0044373B" w:rsidP="006B5AC7">
      <w:pPr>
        <w:pStyle w:val="ATHeading2"/>
      </w:pPr>
      <w:bookmarkStart w:id="1" w:name="title"/>
      <w:r w:rsidRPr="0044373B">
        <w:t>Urychlení a vyjasnění postupu při nadměrném schodku – pozměňující nařízení</w:t>
      </w:r>
      <w:bookmarkEnd w:id="1"/>
    </w:p>
    <w:p w:rsidR="006B5AC7" w:rsidRPr="00B803A8" w:rsidRDefault="006B5AC7" w:rsidP="006B5AC7">
      <w:pPr>
        <w:rPr>
          <w:i/>
          <w:vanish/>
        </w:rPr>
      </w:pPr>
      <w:r w:rsidRPr="00B803A8">
        <w:rPr>
          <w:i/>
        </w:rPr>
        <w:fldChar w:fldCharType="begin"/>
      </w:r>
      <w:r w:rsidRPr="00B803A8">
        <w:rPr>
          <w:i/>
        </w:rPr>
        <w:instrText xml:space="preserve"> TC"(</w:instrText>
      </w:r>
      <w:bookmarkStart w:id="2" w:name="DocNumber"/>
      <w:r w:rsidRPr="00B803A8">
        <w:rPr>
          <w:i/>
        </w:rPr>
        <w:instrText>A9-0444/2023</w:instrText>
      </w:r>
      <w:bookmarkEnd w:id="2"/>
      <w:r w:rsidRPr="00B803A8">
        <w:rPr>
          <w:i/>
        </w:rPr>
        <w:instrText xml:space="preserve"> - Zpravodaj</w:instrText>
      </w:r>
      <w:r w:rsidR="008740FE">
        <w:rPr>
          <w:i/>
        </w:rPr>
        <w:instrText>ové</w:instrText>
      </w:r>
      <w:r w:rsidRPr="00B803A8">
        <w:rPr>
          <w:i/>
        </w:rPr>
        <w:instrText xml:space="preserve">: </w:instrText>
      </w:r>
      <w:r w:rsidR="008740FE" w:rsidRPr="004A5F70">
        <w:rPr>
          <w:i/>
        </w:rPr>
        <w:instrText xml:space="preserve">Markus </w:instrText>
      </w:r>
      <w:proofErr w:type="spellStart"/>
      <w:r w:rsidR="008740FE" w:rsidRPr="004A5F70">
        <w:rPr>
          <w:i/>
        </w:rPr>
        <w:instrText>Ferber</w:instrText>
      </w:r>
      <w:proofErr w:type="spellEnd"/>
      <w:r w:rsidRPr="00B803A8">
        <w:rPr>
          <w:i/>
        </w:rPr>
        <w:instrText xml:space="preserve">, </w:instrText>
      </w:r>
      <w:proofErr w:type="spellStart"/>
      <w:r w:rsidRPr="00B803A8">
        <w:rPr>
          <w:i/>
        </w:rPr>
        <w:instrText>Margarida</w:instrText>
      </w:r>
      <w:proofErr w:type="spellEnd"/>
      <w:r w:rsidRPr="00B803A8">
        <w:rPr>
          <w:i/>
        </w:rPr>
        <w:instrText xml:space="preserve"> </w:instrText>
      </w:r>
      <w:proofErr w:type="spellStart"/>
      <w:r w:rsidRPr="00B803A8">
        <w:rPr>
          <w:i/>
        </w:rPr>
        <w:instrText>Marques</w:instrText>
      </w:r>
      <w:proofErr w:type="spellEnd"/>
      <w:r w:rsidRPr="00B803A8">
        <w:rPr>
          <w:i/>
        </w:rPr>
        <w:instrText xml:space="preserve">)"\l3 \n&gt; \* MERGEFORMAT </w:instrText>
      </w:r>
      <w:r w:rsidRPr="00B803A8">
        <w:rPr>
          <w:i/>
        </w:rPr>
        <w:fldChar w:fldCharType="end"/>
      </w:r>
    </w:p>
    <w:p w:rsidR="006B5AC7" w:rsidRPr="00B803A8" w:rsidRDefault="00821B63" w:rsidP="006B5AC7">
      <w:pPr>
        <w:rPr>
          <w:vanish/>
        </w:rPr>
      </w:pPr>
      <w:bookmarkStart w:id="3" w:name="Commission"/>
      <w:r w:rsidRPr="00686CA9">
        <w:rPr>
          <w:vanish/>
        </w:rPr>
        <w:t>Hospodářský a měnový výbor</w:t>
      </w:r>
      <w:bookmarkEnd w:id="3"/>
    </w:p>
    <w:p w:rsidR="006B5AC7" w:rsidRPr="00B803A8" w:rsidRDefault="006B5AC7" w:rsidP="006B5AC7">
      <w:pPr>
        <w:rPr>
          <w:vanish/>
        </w:rPr>
      </w:pPr>
      <w:bookmarkStart w:id="4" w:name="PE"/>
      <w:r w:rsidRPr="00B803A8">
        <w:rPr>
          <w:vanish/>
        </w:rPr>
        <w:t>PE757.279</w:t>
      </w:r>
      <w:bookmarkEnd w:id="4"/>
    </w:p>
    <w:p w:rsidR="006B5AC7" w:rsidRPr="00B803A8" w:rsidRDefault="006B5AC7" w:rsidP="006B5AC7">
      <w:pPr>
        <w:pStyle w:val="ATHeading3"/>
      </w:pPr>
      <w:bookmarkStart w:id="5" w:name="Sujet"/>
      <w:r w:rsidRPr="00B803A8">
        <w:t xml:space="preserve">Legislativní usnesení </w:t>
      </w:r>
      <w:r w:rsidR="00437D25">
        <w:t>Evropského parlamentu ze dne 23. dubna</w:t>
      </w:r>
      <w:r w:rsidRPr="00B803A8">
        <w:t xml:space="preserve"> 2024 o návrhu nařízení Rady, kterým se mění nařízení (ES) č. 1467/97 o urychlení a vyjasnění postupu při nadměrném schodku</w:t>
      </w:r>
      <w:bookmarkEnd w:id="5"/>
      <w:r w:rsidRPr="00B803A8">
        <w:t xml:space="preserve"> </w:t>
      </w:r>
      <w:bookmarkStart w:id="6" w:name="References"/>
      <w:r w:rsidRPr="00B803A8">
        <w:t>(</w:t>
      </w:r>
      <w:r w:rsidR="007D23C1">
        <w:t>15876/2023</w:t>
      </w:r>
      <w:r w:rsidRPr="00B803A8">
        <w:t xml:space="preserve"> – C9-0</w:t>
      </w:r>
      <w:r w:rsidR="007D23C1">
        <w:t>005</w:t>
      </w:r>
      <w:r w:rsidRPr="00B803A8">
        <w:t>/202</w:t>
      </w:r>
      <w:r w:rsidR="007D23C1">
        <w:t>4</w:t>
      </w:r>
      <w:r w:rsidRPr="00B803A8">
        <w:t xml:space="preserve"> – 2023/0137(CNS))</w:t>
      </w:r>
      <w:bookmarkEnd w:id="6"/>
    </w:p>
    <w:p w:rsidR="006B5AC7" w:rsidRPr="00B803A8" w:rsidRDefault="006B5AC7" w:rsidP="006B5AC7"/>
    <w:p w:rsidR="007738CA" w:rsidRPr="00B803A8" w:rsidRDefault="007738CA" w:rsidP="007738CA">
      <w:pPr>
        <w:pStyle w:val="NormalBold"/>
      </w:pPr>
      <w:bookmarkStart w:id="7" w:name="TextBodyBegin"/>
      <w:bookmarkEnd w:id="7"/>
      <w:r w:rsidRPr="00B803A8">
        <w:t>(Zvláštní legislativní postup – konzultace)</w:t>
      </w:r>
    </w:p>
    <w:p w:rsidR="007738CA" w:rsidRPr="00B803A8" w:rsidRDefault="007738CA" w:rsidP="007738CA">
      <w:pPr>
        <w:pStyle w:val="EPComma"/>
      </w:pPr>
      <w:r w:rsidRPr="00B803A8">
        <w:rPr>
          <w:i/>
        </w:rPr>
        <w:t>Evropský parlament</w:t>
      </w:r>
      <w:r w:rsidRPr="00B803A8">
        <w:t>,</w:t>
      </w:r>
    </w:p>
    <w:p w:rsidR="007738CA" w:rsidRPr="00B803A8" w:rsidRDefault="007738CA" w:rsidP="007738CA">
      <w:pPr>
        <w:pStyle w:val="NormalHanging12a"/>
      </w:pPr>
      <w:r w:rsidRPr="00B803A8">
        <w:t>–</w:t>
      </w:r>
      <w:r w:rsidRPr="00B803A8">
        <w:tab/>
        <w:t xml:space="preserve">s ohledem na návrh </w:t>
      </w:r>
      <w:r w:rsidR="007D23C1">
        <w:t>Rady</w:t>
      </w:r>
      <w:r w:rsidRPr="00B803A8">
        <w:t xml:space="preserve"> (</w:t>
      </w:r>
      <w:r w:rsidR="007D23C1" w:rsidRPr="007D23C1">
        <w:t>15876/2023)</w:t>
      </w:r>
      <w:r w:rsidRPr="00B803A8">
        <w:t>,</w:t>
      </w:r>
    </w:p>
    <w:p w:rsidR="007738CA" w:rsidRPr="00B803A8" w:rsidRDefault="007738CA" w:rsidP="007738CA">
      <w:pPr>
        <w:pStyle w:val="NormalHanging12a"/>
      </w:pPr>
      <w:r w:rsidRPr="00B803A8">
        <w:t>–</w:t>
      </w:r>
      <w:r w:rsidRPr="00B803A8">
        <w:tab/>
        <w:t>s ohledem na článek 126 odst. 17 druhý pododstavec Smlouvy o fungování Evropské unie, podle kterého Rada konzultovala s Parlamentem (C9</w:t>
      </w:r>
      <w:r w:rsidRPr="00B803A8">
        <w:noBreakHyphen/>
        <w:t>0</w:t>
      </w:r>
      <w:r w:rsidR="007D23C1">
        <w:t>005</w:t>
      </w:r>
      <w:r w:rsidRPr="00B803A8">
        <w:t>/202</w:t>
      </w:r>
      <w:r w:rsidR="007D23C1">
        <w:t>4</w:t>
      </w:r>
      <w:r w:rsidRPr="00B803A8">
        <w:t>),</w:t>
      </w:r>
    </w:p>
    <w:p w:rsidR="007738CA" w:rsidRPr="00B803A8" w:rsidRDefault="007738CA" w:rsidP="007738CA">
      <w:pPr>
        <w:pStyle w:val="NormalHanging12a"/>
      </w:pPr>
      <w:r w:rsidRPr="00B803A8">
        <w:t>–</w:t>
      </w:r>
      <w:r w:rsidRPr="00B803A8">
        <w:tab/>
        <w:t>s ohledem na článek 82 jednacího řádu,</w:t>
      </w:r>
    </w:p>
    <w:p w:rsidR="007738CA" w:rsidRPr="00B803A8" w:rsidRDefault="007738CA" w:rsidP="007738CA">
      <w:pPr>
        <w:pStyle w:val="NormalHanging12a"/>
      </w:pPr>
      <w:r w:rsidRPr="00B803A8">
        <w:t>–</w:t>
      </w:r>
      <w:r w:rsidRPr="00B803A8">
        <w:tab/>
        <w:t>s ohledem na dopis Rozpočtového výboru,</w:t>
      </w:r>
    </w:p>
    <w:p w:rsidR="007738CA" w:rsidRPr="00B803A8" w:rsidRDefault="007738CA" w:rsidP="007738CA">
      <w:pPr>
        <w:pStyle w:val="NormalHanging12a"/>
      </w:pPr>
      <w:r w:rsidRPr="00B803A8">
        <w:t>–</w:t>
      </w:r>
      <w:r w:rsidRPr="00B803A8">
        <w:tab/>
        <w:t>s ohledem na zprávu Hospodářského a měnového výboru (A9</w:t>
      </w:r>
      <w:r w:rsidRPr="00B803A8">
        <w:noBreakHyphen/>
        <w:t>0444/2023),</w:t>
      </w:r>
    </w:p>
    <w:p w:rsidR="007738CA" w:rsidRPr="00B803A8" w:rsidRDefault="007738CA" w:rsidP="007738CA">
      <w:pPr>
        <w:pStyle w:val="NormalHanging12a"/>
      </w:pPr>
      <w:r w:rsidRPr="00B803A8">
        <w:t>1.</w:t>
      </w:r>
      <w:r w:rsidRPr="00B803A8">
        <w:tab/>
        <w:t xml:space="preserve">schvaluje pozměněný návrh </w:t>
      </w:r>
      <w:r w:rsidR="007D23C1">
        <w:t>Rady</w:t>
      </w:r>
      <w:r w:rsidRPr="00B803A8">
        <w:t>;</w:t>
      </w:r>
    </w:p>
    <w:p w:rsidR="007738CA" w:rsidRPr="00B803A8" w:rsidRDefault="007D23C1" w:rsidP="007738CA">
      <w:pPr>
        <w:pStyle w:val="NormalHanging12a"/>
      </w:pPr>
      <w:r>
        <w:t>2</w:t>
      </w:r>
      <w:r w:rsidR="007738CA" w:rsidRPr="00B803A8">
        <w:t>.</w:t>
      </w:r>
      <w:r w:rsidR="007738CA" w:rsidRPr="00B803A8">
        <w:tab/>
        <w:t>vyzývá Radu, aby informovala Parlament, bude-li mít v úmyslu odchýlit se od znění schváleného Parlamentem;</w:t>
      </w:r>
    </w:p>
    <w:p w:rsidR="007738CA" w:rsidRPr="00B803A8" w:rsidRDefault="007D23C1" w:rsidP="007738CA">
      <w:pPr>
        <w:pStyle w:val="NormalHanging12a"/>
      </w:pPr>
      <w:r>
        <w:t>3</w:t>
      </w:r>
      <w:r w:rsidR="007738CA" w:rsidRPr="00B803A8">
        <w:t>.</w:t>
      </w:r>
      <w:r w:rsidR="007738CA" w:rsidRPr="00B803A8">
        <w:tab/>
        <w:t xml:space="preserve">vyzývá Radu, aby znovu konzultovala s Parlamentem, bude-li mít v úmyslu podstatně změnit </w:t>
      </w:r>
      <w:r>
        <w:t xml:space="preserve">svůj </w:t>
      </w:r>
      <w:r w:rsidR="007738CA" w:rsidRPr="00B803A8">
        <w:t>návrh;</w:t>
      </w:r>
    </w:p>
    <w:p w:rsidR="0076342D" w:rsidRDefault="007D23C1" w:rsidP="00437D25">
      <w:pPr>
        <w:pStyle w:val="NormalHanging12a"/>
        <w:sectPr w:rsidR="0076342D" w:rsidSect="00B803A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4</w:t>
      </w:r>
      <w:r w:rsidR="007738CA" w:rsidRPr="00B803A8">
        <w:t>.</w:t>
      </w:r>
      <w:r w:rsidR="007738CA" w:rsidRPr="00B803A8">
        <w:tab/>
        <w:t>pověřuje svou předsedkyni, aby</w:t>
      </w:r>
      <w:r w:rsidR="00437D25">
        <w:t xml:space="preserve"> předala postoj Parlamentu Radě a</w:t>
      </w:r>
      <w:r w:rsidR="007738CA" w:rsidRPr="00B803A8">
        <w:t xml:space="preserve"> Komisi, jakož i vnitrostátním parlamentům.</w:t>
      </w:r>
    </w:p>
    <w:p w:rsidR="007738CA" w:rsidRPr="00B803A8" w:rsidRDefault="007738CA" w:rsidP="007738CA">
      <w:pPr>
        <w:pStyle w:val="AmNumberTabs"/>
        <w:keepNext/>
      </w:pPr>
      <w:r w:rsidRPr="00B803A8">
        <w:lastRenderedPageBreak/>
        <w:t xml:space="preserve">Pozměňovací návrh </w:t>
      </w:r>
      <w:r w:rsidRPr="00B803A8">
        <w:tab/>
      </w:r>
      <w:r w:rsidR="00F248A8">
        <w:t>2</w:t>
      </w:r>
    </w:p>
    <w:p w:rsidR="007738CA" w:rsidRPr="00B803A8" w:rsidRDefault="007738CA" w:rsidP="007738CA"/>
    <w:p w:rsidR="007738CA" w:rsidRPr="00B803A8" w:rsidRDefault="007738CA" w:rsidP="007738CA">
      <w:pPr>
        <w:pStyle w:val="AmHeadingConsam"/>
      </w:pPr>
      <w:r w:rsidRPr="00B803A8">
        <w:t>POZMĚŇOVACÍ NÁVRHY EVROPSKÉHO PARLAMENTU</w:t>
      </w:r>
      <w:r w:rsidRPr="00B803A8">
        <w:rPr>
          <w:rStyle w:val="FootnoteReference"/>
        </w:rPr>
        <w:footnoteReference w:customMarkFollows="1" w:id="1"/>
        <w:t>*</w:t>
      </w:r>
    </w:p>
    <w:p w:rsidR="007738CA" w:rsidRPr="00B803A8" w:rsidRDefault="007738CA" w:rsidP="007738CA">
      <w:pPr>
        <w:pStyle w:val="NormalCenter12a"/>
      </w:pPr>
      <w:r w:rsidRPr="00B803A8">
        <w:t xml:space="preserve">k návrhu </w:t>
      </w:r>
      <w:r w:rsidR="00F248A8">
        <w:t>Rady</w:t>
      </w:r>
    </w:p>
    <w:p w:rsidR="007738CA" w:rsidRPr="00B803A8" w:rsidRDefault="007738CA" w:rsidP="007738CA">
      <w:pPr>
        <w:pStyle w:val="NormalCenter12a"/>
      </w:pPr>
      <w:r w:rsidRPr="00B803A8">
        <w:t>---------------------------------------------------------</w:t>
      </w:r>
    </w:p>
    <w:p w:rsidR="0076342D" w:rsidRPr="0076342D" w:rsidRDefault="0076342D" w:rsidP="00AF7D44">
      <w:pPr>
        <w:pStyle w:val="Typedudocument"/>
        <w:spacing w:line="360" w:lineRule="auto"/>
        <w:rPr>
          <w:b w:val="0"/>
          <w:noProof/>
        </w:rPr>
      </w:pPr>
      <w:r w:rsidRPr="0076342D">
        <w:rPr>
          <w:b w:val="0"/>
        </w:rPr>
        <w:t>NAŘÍZENÍ RADY,</w:t>
      </w:r>
    </w:p>
    <w:p w:rsidR="0076342D" w:rsidRPr="0076342D" w:rsidRDefault="0076342D" w:rsidP="00AF7D44">
      <w:pPr>
        <w:pStyle w:val="Titreobjet"/>
        <w:spacing w:line="360" w:lineRule="auto"/>
        <w:rPr>
          <w:b w:val="0"/>
          <w:noProof/>
        </w:rPr>
      </w:pPr>
      <w:r w:rsidRPr="0076342D">
        <w:rPr>
          <w:b w:val="0"/>
        </w:rPr>
        <w:t>kterým se mění nařízení (ES) č. 1467/97 o urychlení a vyjasnění postupu při nadměrném schodku</w:t>
      </w:r>
    </w:p>
    <w:p w:rsidR="0076342D" w:rsidRPr="000C7F13" w:rsidRDefault="0076342D" w:rsidP="00AF7D44">
      <w:pPr>
        <w:pStyle w:val="Institutionquiagit"/>
        <w:spacing w:line="360" w:lineRule="auto"/>
        <w:rPr>
          <w:noProof/>
        </w:rPr>
      </w:pPr>
      <w:r w:rsidRPr="000C7F13">
        <w:t>RADA EVROPSKÉ UNIE,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s ohledem</w:t>
      </w:r>
      <w:r>
        <w:t xml:space="preserve"> na </w:t>
      </w:r>
      <w:r w:rsidRPr="000C7F13">
        <w:t>Smlouvu</w:t>
      </w:r>
      <w:r>
        <w:t xml:space="preserve"> o </w:t>
      </w:r>
      <w:r w:rsidRPr="000C7F13">
        <w:t>fungování Evropské unie,</w:t>
      </w:r>
      <w:r>
        <w:t xml:space="preserve"> a </w:t>
      </w:r>
      <w:r w:rsidRPr="000C7F13">
        <w:t>zejména</w:t>
      </w:r>
      <w:r>
        <w:t xml:space="preserve"> na </w:t>
      </w:r>
      <w:r w:rsidRPr="000C7F13">
        <w:t>čl. 126 odst. 14 druhý pododstavec této smlouvy,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s ohledem</w:t>
      </w:r>
      <w:r>
        <w:t xml:space="preserve"> na </w:t>
      </w:r>
      <w:r w:rsidRPr="000C7F13">
        <w:t>návrh Evropské komise,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po předložení návrhu legislativního aktu vnitrostátním parlamentům,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s ohledem</w:t>
      </w:r>
      <w:r>
        <w:t xml:space="preserve"> na </w:t>
      </w:r>
      <w:r w:rsidRPr="000C7F13">
        <w:t>stanovisko Evropského parlamentu</w:t>
      </w:r>
      <w:r w:rsidRPr="000C7F13">
        <w:rPr>
          <w:rStyle w:val="FootnoteReference"/>
          <w:noProof/>
        </w:rPr>
        <w:footnoteReference w:id="2"/>
      </w:r>
      <w:r w:rsidRPr="000C7F13">
        <w:t>,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s ohledem</w:t>
      </w:r>
      <w:r>
        <w:t xml:space="preserve"> na </w:t>
      </w:r>
      <w:r w:rsidRPr="000C7F13">
        <w:t>stanovisko Evropské centrální banky</w:t>
      </w:r>
      <w:r w:rsidRPr="000C7F13">
        <w:rPr>
          <w:rStyle w:val="FootnoteReference"/>
          <w:noProof/>
        </w:rPr>
        <w:footnoteReference w:id="3"/>
      </w:r>
      <w:r w:rsidRPr="000C7F13">
        <w:t>,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v souladu se zvláštním legislativním postupem,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vzhledem</w:t>
      </w:r>
      <w:r>
        <w:t xml:space="preserve"> k </w:t>
      </w:r>
      <w:r w:rsidRPr="000C7F13">
        <w:t>těmto důvodům:</w:t>
      </w:r>
    </w:p>
    <w:p w:rsidR="0076342D" w:rsidRPr="000C7F13" w:rsidRDefault="0076342D" w:rsidP="0076342D">
      <w:pPr>
        <w:spacing w:before="120" w:after="120" w:line="360" w:lineRule="auto"/>
        <w:ind w:left="851" w:hanging="851"/>
        <w:rPr>
          <w:noProof/>
        </w:rPr>
      </w:pPr>
      <w:r w:rsidRPr="000C7F13">
        <w:t>(1)</w:t>
      </w:r>
      <w:r w:rsidRPr="000C7F13">
        <w:tab/>
        <w:t>Koordinace hospodářských politik členských států</w:t>
      </w:r>
      <w:r>
        <w:t xml:space="preserve"> v </w:t>
      </w:r>
      <w:r w:rsidRPr="000C7F13">
        <w:t>rámci Unie, jak stanoví Smlouva</w:t>
      </w:r>
      <w:r>
        <w:t xml:space="preserve"> o </w:t>
      </w:r>
      <w:r w:rsidRPr="000C7F13">
        <w:t>fungování Evropské unie (dále jen „Smlouva</w:t>
      </w:r>
      <w:r>
        <w:t xml:space="preserve"> o </w:t>
      </w:r>
      <w:r w:rsidRPr="000C7F13">
        <w:t>fungování EU“), zahrnuje dodržování hlavních zásad, jimiž jsou stabilní ceny, zdravé veřejné finance</w:t>
      </w:r>
      <w:r>
        <w:t xml:space="preserve"> a </w:t>
      </w:r>
      <w:r w:rsidRPr="000C7F13">
        <w:t>měnové podmínky</w:t>
      </w:r>
      <w:r>
        <w:t xml:space="preserve"> a </w:t>
      </w:r>
      <w:r w:rsidRPr="000C7F13">
        <w:t>udržitelná platební bilance.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(2)</w:t>
      </w:r>
      <w:r w:rsidRPr="000C7F13">
        <w:tab/>
        <w:t>Rámec správy ekonomických záležitostí Unie, který je tvořen propracovaným systémem koordinace politik</w:t>
      </w:r>
      <w:r>
        <w:t xml:space="preserve"> a </w:t>
      </w:r>
      <w:r w:rsidRPr="000C7F13">
        <w:t xml:space="preserve">dohledu nad hospodářskými politikami členských států, </w:t>
      </w:r>
      <w:r w:rsidRPr="000C7F13">
        <w:lastRenderedPageBreak/>
        <w:t>poskytuje členským státům vodítko při dosahování jejich cílů hospodářské</w:t>
      </w:r>
      <w:r>
        <w:t xml:space="preserve"> a </w:t>
      </w:r>
      <w:r w:rsidRPr="000C7F13">
        <w:t>fiskální politiky.</w:t>
      </w:r>
      <w:r>
        <w:t xml:space="preserve"> Od </w:t>
      </w:r>
      <w:r w:rsidRPr="000C7F13">
        <w:t>Maastrichtské smlouvy</w:t>
      </w:r>
      <w:r>
        <w:t xml:space="preserve"> z </w:t>
      </w:r>
      <w:r w:rsidRPr="000C7F13">
        <w:t>roku 1992 pomáhá tento rámec dosahovat makroekonomické konvergence, zajišťovat zdravé veřejné finance</w:t>
      </w:r>
      <w:r>
        <w:t xml:space="preserve"> a </w:t>
      </w:r>
      <w:r w:rsidRPr="000C7F13">
        <w:t>řešit makroekonomické nerovnováhy. Spolu se společnou měnovou politikou</w:t>
      </w:r>
      <w:r>
        <w:t xml:space="preserve"> a </w:t>
      </w:r>
      <w:r w:rsidRPr="000C7F13">
        <w:t>společnou měnou</w:t>
      </w:r>
      <w:r>
        <w:t xml:space="preserve"> v </w:t>
      </w:r>
      <w:r w:rsidRPr="000C7F13">
        <w:t>eurozóně vytvořil tento rámec podmínky pro hospodářskou stabilitu, udržitelný</w:t>
      </w:r>
      <w:r>
        <w:t xml:space="preserve"> a </w:t>
      </w:r>
      <w:r w:rsidRPr="000C7F13">
        <w:t>inkluzivní hospodářský růst</w:t>
      </w:r>
      <w:r>
        <w:t xml:space="preserve"> a </w:t>
      </w:r>
      <w:r w:rsidRPr="000C7F13">
        <w:t>vyšší zaměstnanost pro občany Unie.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(3)</w:t>
      </w:r>
      <w:r w:rsidRPr="000C7F13">
        <w:tab/>
        <w:t>Pakt</w:t>
      </w:r>
      <w:r>
        <w:t xml:space="preserve"> o </w:t>
      </w:r>
      <w:r w:rsidRPr="000C7F13">
        <w:t>stabilitě</w:t>
      </w:r>
      <w:r>
        <w:t xml:space="preserve"> a </w:t>
      </w:r>
      <w:r w:rsidRPr="000C7F13">
        <w:t>růstu, který se původně skládal</w:t>
      </w:r>
      <w:r>
        <w:t xml:space="preserve"> z </w:t>
      </w:r>
      <w:r w:rsidRPr="000C7F13">
        <w:t>nařízení Rady (ES)</w:t>
      </w:r>
      <w:r>
        <w:t xml:space="preserve"> č. </w:t>
      </w:r>
      <w:r w:rsidRPr="000C7F13">
        <w:t>1466/97</w:t>
      </w:r>
      <w:r>
        <w:rPr>
          <w:rStyle w:val="FootnoteReference"/>
        </w:rPr>
        <w:footnoteReference w:id="4"/>
      </w:r>
      <w:r w:rsidRPr="000C7F13">
        <w:t>, nařízení Rady (ES)</w:t>
      </w:r>
      <w:r>
        <w:t xml:space="preserve"> č. </w:t>
      </w:r>
      <w:r w:rsidRPr="000C7F13">
        <w:t>1467/97 ze dne 7. července 1997</w:t>
      </w:r>
      <w:r w:rsidRPr="000C7F13">
        <w:rPr>
          <w:rStyle w:val="FootnoteReference"/>
          <w:noProof/>
        </w:rPr>
        <w:footnoteReference w:id="5"/>
      </w:r>
      <w:r>
        <w:t xml:space="preserve"> a </w:t>
      </w:r>
      <w:r w:rsidRPr="000C7F13">
        <w:t>usnesení Evropské rady ze dne 17.</w:t>
      </w:r>
      <w:r>
        <w:t> </w:t>
      </w:r>
      <w:r w:rsidRPr="000C7F13">
        <w:t>června</w:t>
      </w:r>
      <w:r>
        <w:t> </w:t>
      </w:r>
      <w:r w:rsidRPr="000C7F13">
        <w:t>1997</w:t>
      </w:r>
      <w:r>
        <w:t xml:space="preserve"> o </w:t>
      </w:r>
      <w:r w:rsidRPr="000C7F13">
        <w:t>Paktu</w:t>
      </w:r>
      <w:r>
        <w:t xml:space="preserve"> o </w:t>
      </w:r>
      <w:r w:rsidRPr="000C7F13">
        <w:t>stabilitě</w:t>
      </w:r>
      <w:r>
        <w:t xml:space="preserve"> a </w:t>
      </w:r>
      <w:r w:rsidRPr="000C7F13">
        <w:t>růstu</w:t>
      </w:r>
      <w:r w:rsidRPr="000C7F13">
        <w:rPr>
          <w:rStyle w:val="FootnoteReference"/>
          <w:noProof/>
        </w:rPr>
        <w:footnoteReference w:id="6"/>
      </w:r>
      <w:r w:rsidRPr="000C7F13">
        <w:t>, je založen</w:t>
      </w:r>
      <w:r>
        <w:t xml:space="preserve"> na </w:t>
      </w:r>
      <w:r w:rsidRPr="000C7F13">
        <w:t>cíli zdravých</w:t>
      </w:r>
      <w:r>
        <w:t xml:space="preserve"> a </w:t>
      </w:r>
      <w:r w:rsidRPr="000C7F13">
        <w:t>udržitelných veřejných financí jako prostředku</w:t>
      </w:r>
      <w:r>
        <w:t xml:space="preserve"> k </w:t>
      </w:r>
      <w:r w:rsidRPr="000C7F13">
        <w:t>posílení podmínek pro cenovou stabilitu</w:t>
      </w:r>
      <w:r>
        <w:t xml:space="preserve"> a </w:t>
      </w:r>
      <w:r w:rsidRPr="000C7F13">
        <w:t>pro silný udržitelný</w:t>
      </w:r>
      <w:r>
        <w:t xml:space="preserve"> a </w:t>
      </w:r>
      <w:r w:rsidRPr="000C7F13">
        <w:t>inkluzivní růst založený</w:t>
      </w:r>
      <w:r>
        <w:t xml:space="preserve"> na </w:t>
      </w:r>
      <w:r w:rsidRPr="000C7F13">
        <w:t>finanční stabilitě, čímž podporuje dosažení cílů Unie</w:t>
      </w:r>
      <w:r>
        <w:t xml:space="preserve"> v </w:t>
      </w:r>
      <w:r w:rsidRPr="000C7F13">
        <w:t>oblasti udržitelného růstu</w:t>
      </w:r>
      <w:r>
        <w:t xml:space="preserve"> a </w:t>
      </w:r>
      <w:r w:rsidRPr="000C7F13">
        <w:t>zaměstnanosti.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(4)</w:t>
      </w:r>
      <w:r w:rsidRPr="000C7F13">
        <w:tab/>
        <w:t>Ve třetí etapě hospodářské</w:t>
      </w:r>
      <w:r>
        <w:t xml:space="preserve"> a </w:t>
      </w:r>
      <w:r w:rsidRPr="000C7F13">
        <w:t>měnové unie jsou podle čl. 126 odst. 1 Smlouvy</w:t>
      </w:r>
      <w:r>
        <w:t xml:space="preserve"> o </w:t>
      </w:r>
      <w:r w:rsidRPr="000C7F13">
        <w:t>fungování EU členské státy povinny vyvarovat se nadměrných schodků veřejných financí.</w:t>
      </w:r>
    </w:p>
    <w:p w:rsidR="0076342D" w:rsidRPr="000C7F13" w:rsidRDefault="0076342D" w:rsidP="00D9396B">
      <w:pPr>
        <w:pStyle w:val="ManualConsidrant"/>
        <w:spacing w:line="360" w:lineRule="auto"/>
        <w:jc w:val="left"/>
        <w:rPr>
          <w:noProof/>
        </w:rPr>
      </w:pPr>
      <w:r w:rsidRPr="000C7F13">
        <w:t>(5)</w:t>
      </w:r>
      <w:r w:rsidRPr="000C7F13">
        <w:tab/>
        <w:t>Rámec správy ekonomických záležitostí Unie by měl být upraven tak, aby lépe zohledňoval zvýšenou různorodost fiskálních pozic, veřejného dluhu, hospodářských výzev</w:t>
      </w:r>
      <w:r>
        <w:t xml:space="preserve"> a </w:t>
      </w:r>
      <w:r w:rsidRPr="000C7F13">
        <w:t>dalších slabých míst napříč členskými státy. Důrazná politická reakce</w:t>
      </w:r>
      <w:r>
        <w:t xml:space="preserve"> na </w:t>
      </w:r>
      <w:r w:rsidRPr="000C7F13">
        <w:t>pandemii COVID-19 se ukázala jako vysoce účinná při zmírňování hospodářských</w:t>
      </w:r>
      <w:r>
        <w:t xml:space="preserve"> a </w:t>
      </w:r>
      <w:r w:rsidRPr="000C7F13">
        <w:t>sociálních důsledků krize, vedla však</w:t>
      </w:r>
      <w:r>
        <w:t xml:space="preserve"> k </w:t>
      </w:r>
      <w:r w:rsidRPr="000C7F13">
        <w:t>výraznému zvýšení míry zadlužení veřejného</w:t>
      </w:r>
      <w:r>
        <w:t xml:space="preserve"> a </w:t>
      </w:r>
      <w:r w:rsidRPr="000C7F13">
        <w:t>soukromého sektoru, což upozornilo</w:t>
      </w:r>
      <w:r>
        <w:t xml:space="preserve"> na </w:t>
      </w:r>
      <w:r w:rsidRPr="000C7F13">
        <w:t>to, že je důležité postupně, realisticky, trvale</w:t>
      </w:r>
      <w:r>
        <w:t xml:space="preserve"> a </w:t>
      </w:r>
      <w:proofErr w:type="spellStart"/>
      <w:r w:rsidRPr="000C7F13">
        <w:t>prorůstově</w:t>
      </w:r>
      <w:proofErr w:type="spellEnd"/>
      <w:r w:rsidRPr="000C7F13">
        <w:t xml:space="preserve"> snižovat míru zadlužení</w:t>
      </w:r>
      <w:r>
        <w:t xml:space="preserve"> a </w:t>
      </w:r>
      <w:r w:rsidRPr="000C7F13">
        <w:t>schodek</w:t>
      </w:r>
      <w:r>
        <w:t xml:space="preserve"> na </w:t>
      </w:r>
      <w:r w:rsidRPr="000C7F13">
        <w:t xml:space="preserve">obezřetnou úroveň, ponechat prostor pro </w:t>
      </w:r>
      <w:proofErr w:type="spellStart"/>
      <w:r w:rsidRPr="000C7F13">
        <w:t>proticyklickou</w:t>
      </w:r>
      <w:proofErr w:type="spellEnd"/>
      <w:r w:rsidRPr="000C7F13">
        <w:t xml:space="preserve"> politiku</w:t>
      </w:r>
      <w:r>
        <w:t xml:space="preserve"> a </w:t>
      </w:r>
      <w:r w:rsidRPr="000C7F13">
        <w:t>řešit makroekonomické nerovnováhy, přičemž je třeba věnovat náležitou pozornost cílům</w:t>
      </w:r>
      <w:r>
        <w:t xml:space="preserve"> v </w:t>
      </w:r>
      <w:r w:rsidRPr="000C7F13">
        <w:t>oblasti zaměstnanosti</w:t>
      </w:r>
      <w:r>
        <w:t xml:space="preserve"> a v </w:t>
      </w:r>
      <w:r w:rsidRPr="000C7F13">
        <w:t>sociální oblasti.</w:t>
      </w:r>
      <w:r w:rsidR="00D9396B">
        <w:t xml:space="preserve"> </w:t>
      </w:r>
      <w:r w:rsidRPr="000C7F13">
        <w:t>Zároveň by měl být rámec správy ekonomických záležitostí Unie upraven tak, aby pomohl řešit střednědobé</w:t>
      </w:r>
      <w:r>
        <w:t xml:space="preserve"> a </w:t>
      </w:r>
      <w:r w:rsidRPr="000C7F13">
        <w:t xml:space="preserve">dlouhodobé výzvy, jimž Unie čelí, včetně dosažení </w:t>
      </w:r>
      <w:r w:rsidRPr="000C7F13">
        <w:lastRenderedPageBreak/>
        <w:t>spravedlivé digitální</w:t>
      </w:r>
      <w:r>
        <w:t xml:space="preserve"> a </w:t>
      </w:r>
      <w:r w:rsidRPr="000C7F13">
        <w:t>ekologické transformace, včetně právního rámce pro klima</w:t>
      </w:r>
      <w:r w:rsidRPr="000C7F13">
        <w:rPr>
          <w:rStyle w:val="FootnoteReference"/>
          <w:noProof/>
        </w:rPr>
        <w:footnoteReference w:id="7"/>
      </w:r>
      <w:r w:rsidRPr="000C7F13">
        <w:t>, zajištění energetické bezpečnosti, podpory otevřené strategické autonomie, řešení demografických změn, posílení sociální</w:t>
      </w:r>
      <w:r>
        <w:t xml:space="preserve"> a </w:t>
      </w:r>
      <w:r w:rsidRPr="000C7F13">
        <w:t>hospodářské odolnosti</w:t>
      </w:r>
      <w:r>
        <w:t xml:space="preserve"> a </w:t>
      </w:r>
      <w:r w:rsidRPr="000C7F13">
        <w:t>trvalé konvergence</w:t>
      </w:r>
      <w:r>
        <w:t xml:space="preserve"> a </w:t>
      </w:r>
      <w:r w:rsidRPr="000C7F13">
        <w:t>provádění Strategického kompasu pro bezpečnost</w:t>
      </w:r>
      <w:r>
        <w:t xml:space="preserve"> a </w:t>
      </w:r>
      <w:r w:rsidRPr="000C7F13">
        <w:t>obranu, což vše vyžaduje reformy</w:t>
      </w:r>
      <w:r>
        <w:t xml:space="preserve"> a </w:t>
      </w:r>
      <w:r w:rsidRPr="000C7F13">
        <w:t>trvale vysokou úroveň investic</w:t>
      </w:r>
      <w:r>
        <w:t xml:space="preserve"> v </w:t>
      </w:r>
      <w:r w:rsidRPr="000C7F13">
        <w:t>nadcházejících letech.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(6)</w:t>
      </w:r>
      <w:r w:rsidRPr="000C7F13">
        <w:tab/>
        <w:t>Rámec správy ekonomických záležitostí Unie by měl podporovat zdravé</w:t>
      </w:r>
      <w:r>
        <w:t xml:space="preserve"> a </w:t>
      </w:r>
      <w:r w:rsidRPr="000C7F13">
        <w:t>udržitelné veřejné finance</w:t>
      </w:r>
      <w:r>
        <w:t xml:space="preserve"> a </w:t>
      </w:r>
      <w:r w:rsidRPr="000C7F13">
        <w:t>udržitelný</w:t>
      </w:r>
      <w:r>
        <w:t xml:space="preserve"> a </w:t>
      </w:r>
      <w:r w:rsidRPr="000C7F13">
        <w:t>inkluzivní růst,</w:t>
      </w:r>
      <w:r>
        <w:t xml:space="preserve"> a </w:t>
      </w:r>
      <w:r w:rsidRPr="000C7F13">
        <w:t>proto by měl rozlišovat mezi členskými státy tím, že zohlední jejich problémy</w:t>
      </w:r>
      <w:r>
        <w:t xml:space="preserve"> v </w:t>
      </w:r>
      <w:r w:rsidRPr="000C7F13">
        <w:t>oblasti veřejného dluhu</w:t>
      </w:r>
      <w:r>
        <w:t xml:space="preserve"> a </w:t>
      </w:r>
      <w:r w:rsidRPr="000C7F13">
        <w:t>hospodářské problémy</w:t>
      </w:r>
      <w:r>
        <w:t xml:space="preserve"> a </w:t>
      </w:r>
      <w:r w:rsidRPr="000C7F13">
        <w:t>umožní víceleté fiskální trajektorie pro jednotlivé země, přičemž současně zajistí účinný mnohostranný dohled</w:t>
      </w:r>
      <w:r>
        <w:t xml:space="preserve"> a </w:t>
      </w:r>
      <w:r w:rsidRPr="000C7F13">
        <w:t>dodržování zásady rovného zacházení.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(7)</w:t>
      </w:r>
      <w:r w:rsidRPr="000C7F13">
        <w:tab/>
        <w:t>V zájmu zajištění transparentního</w:t>
      </w:r>
      <w:r>
        <w:t xml:space="preserve"> a </w:t>
      </w:r>
      <w:r w:rsidRPr="000C7F13">
        <w:t>společného rámce Unie založeného</w:t>
      </w:r>
      <w:r>
        <w:t xml:space="preserve"> na </w:t>
      </w:r>
      <w:r w:rsidRPr="000C7F13">
        <w:t>referenčních hodnotách uvedených</w:t>
      </w:r>
      <w:r>
        <w:t xml:space="preserve"> v </w:t>
      </w:r>
      <w:r w:rsidRPr="000C7F13">
        <w:t>čl. 126 odst. 2 Smlouvy</w:t>
      </w:r>
      <w:r>
        <w:t xml:space="preserve"> o </w:t>
      </w:r>
      <w:r w:rsidRPr="000C7F13">
        <w:t>fungování EU</w:t>
      </w:r>
      <w:r>
        <w:t xml:space="preserve"> a </w:t>
      </w:r>
      <w:r w:rsidRPr="000C7F13">
        <w:t>Protokolu</w:t>
      </w:r>
      <w:r>
        <w:t xml:space="preserve"> č. </w:t>
      </w:r>
      <w:r w:rsidRPr="000C7F13">
        <w:t>12</w:t>
      </w:r>
      <w:r>
        <w:t xml:space="preserve"> o </w:t>
      </w:r>
      <w:r w:rsidRPr="000C7F13">
        <w:t>postupu při nadměrném schodku připojeném ke Smlouvě</w:t>
      </w:r>
      <w:r>
        <w:t xml:space="preserve"> o </w:t>
      </w:r>
      <w:r w:rsidRPr="000C7F13">
        <w:t>fungování EU</w:t>
      </w:r>
      <w:r>
        <w:t xml:space="preserve"> a </w:t>
      </w:r>
      <w:r w:rsidRPr="000C7F13">
        <w:t>Smlouvě</w:t>
      </w:r>
      <w:r>
        <w:t xml:space="preserve"> o </w:t>
      </w:r>
      <w:r w:rsidRPr="000C7F13">
        <w:t>Evropské unii (dále jen „Smlouva</w:t>
      </w:r>
      <w:r>
        <w:t xml:space="preserve"> o </w:t>
      </w:r>
      <w:r w:rsidRPr="000C7F13">
        <w:t>EU“) by zároveň nezbytným protějškem rámce dohledu založeného</w:t>
      </w:r>
      <w:r>
        <w:t xml:space="preserve"> na </w:t>
      </w:r>
      <w:r w:rsidRPr="000C7F13">
        <w:t>posouzení rizik, který umožňuje fiskální trajektorie pro jednotlivé země, mělo být důslednější prosazování, které je základem mnohostranného dohledu.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(8)</w:t>
      </w:r>
      <w:r w:rsidRPr="000C7F13">
        <w:tab/>
        <w:t>V zájmu zjednodušení fiskálního rámce Unie</w:t>
      </w:r>
      <w:r>
        <w:t xml:space="preserve"> a </w:t>
      </w:r>
      <w:r w:rsidRPr="000C7F13">
        <w:t>zvýšení transparentnosti by měl jako základ pro stanovení dráhy čistých výdajů</w:t>
      </w:r>
      <w:r>
        <w:t xml:space="preserve"> a </w:t>
      </w:r>
      <w:r w:rsidRPr="000C7F13">
        <w:t>provádění ročního fiskálního dohledu pro každý členský stát sloužit jediný operační ukazatel zakotvený</w:t>
      </w:r>
      <w:r>
        <w:t xml:space="preserve"> v </w:t>
      </w:r>
      <w:r w:rsidRPr="000C7F13">
        <w:t>udržitelnosti dluhu. Tento jediný ukazatel by měl být založen</w:t>
      </w:r>
      <w:r>
        <w:t xml:space="preserve"> na </w:t>
      </w:r>
      <w:r w:rsidRPr="000C7F13">
        <w:t>čistých primárních výdajích financovaných</w:t>
      </w:r>
      <w:r>
        <w:t xml:space="preserve"> z </w:t>
      </w:r>
      <w:r w:rsidRPr="000C7F13">
        <w:t xml:space="preserve">vnitrostátních zdrojů, </w:t>
      </w:r>
      <w:r w:rsidRPr="001459CE">
        <w:t>tj. </w:t>
      </w:r>
      <w:r w:rsidRPr="001459CE">
        <w:rPr>
          <w:b/>
          <w:i/>
        </w:rPr>
        <w:t>vládních</w:t>
      </w:r>
      <w:r w:rsidRPr="001459CE">
        <w:t xml:space="preserve"> výdajích očištěných o </w:t>
      </w:r>
      <w:r w:rsidRPr="001459CE">
        <w:rPr>
          <w:b/>
          <w:i/>
        </w:rPr>
        <w:t>úrokové výdaje</w:t>
      </w:r>
      <w:r w:rsidRPr="001459CE">
        <w:t xml:space="preserve"> a bez diskrečních opatření na straně příjmů, </w:t>
      </w:r>
      <w:r w:rsidRPr="001459CE">
        <w:rPr>
          <w:b/>
          <w:i/>
        </w:rPr>
        <w:t>výdajů na programy Unie, které jsou plně kompenzovány příjmy z fondů Unie</w:t>
      </w:r>
      <w:r w:rsidRPr="001459CE">
        <w:t xml:space="preserve">, a </w:t>
      </w:r>
      <w:r w:rsidRPr="001459CE">
        <w:rPr>
          <w:b/>
          <w:i/>
        </w:rPr>
        <w:t>vnitrostátních</w:t>
      </w:r>
      <w:r w:rsidRPr="001459CE">
        <w:t xml:space="preserve"> výdajů </w:t>
      </w:r>
      <w:r w:rsidRPr="001459CE">
        <w:rPr>
          <w:b/>
          <w:i/>
        </w:rPr>
        <w:t>na spolufinancování programů financovaných Unií</w:t>
      </w:r>
      <w:r w:rsidRPr="001459CE">
        <w:t>, jakož i cyklických prvků výdajů na dávky v nezaměstnanosti. V souladu s hlavními zásadami, které Evropská komise používá pro klasifikaci transakcí jako jednorázových, jednorázových, by měla být z čistých výdajů vyloučena také jednorázová a jiná dočasná opatření.</w:t>
      </w:r>
      <w:r w:rsidRPr="000C7F13">
        <w:t xml:space="preserve"> Tento ukazatel </w:t>
      </w:r>
      <w:r w:rsidRPr="000C7F13">
        <w:lastRenderedPageBreak/>
        <w:t>umožňuje makroekonomickou stabilizaci, neboť není ovlivněn působením automatických stabilizátorů, včetně výkyvů příjmů</w:t>
      </w:r>
      <w:r>
        <w:t xml:space="preserve"> a </w:t>
      </w:r>
      <w:r w:rsidRPr="000C7F13">
        <w:t>výdajů mimo přímý vliv vlády.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(9)</w:t>
      </w:r>
      <w:r w:rsidRPr="000C7F13">
        <w:tab/>
        <w:t>Postup při nadměrném schodku</w:t>
      </w:r>
      <w:r>
        <w:t xml:space="preserve"> v </w:t>
      </w:r>
      <w:r w:rsidRPr="000C7F13">
        <w:t>případě porušení referenční hodnoty schodku ve výši 3 %</w:t>
      </w:r>
      <w:r>
        <w:t> </w:t>
      </w:r>
      <w:r w:rsidRPr="000C7F13">
        <w:t>hrubého domácího produktu (HDP) („postup při nadměrném schodku</w:t>
      </w:r>
      <w:r>
        <w:t xml:space="preserve"> na </w:t>
      </w:r>
      <w:r w:rsidRPr="000C7F13">
        <w:t>základě porušení referenční hodnoty schodku“) podle čl. 126 odst. 2 Smlouvy</w:t>
      </w:r>
      <w:r>
        <w:t xml:space="preserve"> o </w:t>
      </w:r>
      <w:r w:rsidRPr="000C7F13">
        <w:t>fungování EU</w:t>
      </w:r>
      <w:r>
        <w:t xml:space="preserve"> a </w:t>
      </w:r>
      <w:r w:rsidRPr="000C7F13">
        <w:t>protokolu</w:t>
      </w:r>
      <w:r>
        <w:t xml:space="preserve"> č. </w:t>
      </w:r>
      <w:r w:rsidRPr="000C7F13">
        <w:t>12 je zavedeným prvkem rámce fiskálního dohledu Unie, který účinně ovlivňuje fiskální politiku členských států.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(10)</w:t>
      </w:r>
      <w:r w:rsidRPr="000C7F13">
        <w:tab/>
        <w:t>V zájmu posílení postupu při nadměrném schodku</w:t>
      </w:r>
      <w:r>
        <w:t xml:space="preserve"> v </w:t>
      </w:r>
      <w:r w:rsidRPr="000C7F13">
        <w:t>případě porušení kritéria dluhu ve výši 60 % HDP (dále jen „postup při nadměrném schodku</w:t>
      </w:r>
      <w:r>
        <w:t xml:space="preserve"> na </w:t>
      </w:r>
      <w:r w:rsidRPr="000C7F13">
        <w:t>základě dluhového kritéria“) uvedeného</w:t>
      </w:r>
      <w:r>
        <w:t xml:space="preserve"> v </w:t>
      </w:r>
      <w:r w:rsidRPr="000C7F13">
        <w:t>čl. 126 odst. 2 Smlouvy</w:t>
      </w:r>
      <w:r>
        <w:t xml:space="preserve"> o </w:t>
      </w:r>
      <w:r w:rsidRPr="000C7F13">
        <w:t>fungování EU</w:t>
      </w:r>
      <w:r>
        <w:t xml:space="preserve"> a </w:t>
      </w:r>
      <w:r w:rsidRPr="000C7F13">
        <w:t>protokolu</w:t>
      </w:r>
      <w:r>
        <w:t xml:space="preserve"> č. </w:t>
      </w:r>
      <w:r w:rsidRPr="000C7F13">
        <w:t>12 by se pozornost měla zaměřit</w:t>
      </w:r>
      <w:r>
        <w:t xml:space="preserve"> na </w:t>
      </w:r>
      <w:r w:rsidRPr="000C7F13">
        <w:t>odchylky</w:t>
      </w:r>
      <w:r>
        <w:t xml:space="preserve"> od </w:t>
      </w:r>
      <w:r w:rsidRPr="000C7F13">
        <w:t>dráhy čistých výdajů stanovené Radou podle nařízení Evropského parlamentu</w:t>
      </w:r>
      <w:r>
        <w:t xml:space="preserve"> a </w:t>
      </w:r>
      <w:r w:rsidRPr="000C7F13">
        <w:t>Rady (EU) [...]</w:t>
      </w:r>
      <w:r w:rsidRPr="000C7F13">
        <w:rPr>
          <w:rStyle w:val="FootnoteReference"/>
          <w:noProof/>
        </w:rPr>
        <w:footnoteReference w:id="8"/>
      </w:r>
      <w:r w:rsidRPr="000C7F13">
        <w:t>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(13)</w:t>
      </w:r>
      <w:r w:rsidRPr="000C7F13">
        <w:tab/>
        <w:t>V souladu</w:t>
      </w:r>
      <w:r>
        <w:t xml:space="preserve"> s </w:t>
      </w:r>
      <w:r w:rsidRPr="000C7F13">
        <w:t>články 24</w:t>
      </w:r>
      <w:r>
        <w:t xml:space="preserve"> a </w:t>
      </w:r>
      <w:r w:rsidRPr="000C7F13">
        <w:t>25 nařízení (EU) [o preventivní složce] by Rada</w:t>
      </w:r>
      <w:r>
        <w:t xml:space="preserve"> na </w:t>
      </w:r>
      <w:r w:rsidRPr="000C7F13">
        <w:t>doporučení Komise mohla členským státům umožnit odchýlit se</w:t>
      </w:r>
      <w:r>
        <w:t xml:space="preserve"> od </w:t>
      </w:r>
      <w:r w:rsidRPr="000C7F13">
        <w:t>dráhy čistých výdajů stanovené Radou podle uvedeného nařízení</w:t>
      </w:r>
      <w:r>
        <w:t xml:space="preserve"> v </w:t>
      </w:r>
      <w:r w:rsidRPr="000C7F13">
        <w:t>případě prudkého hospodářského propadu</w:t>
      </w:r>
      <w:r>
        <w:t xml:space="preserve"> v </w:t>
      </w:r>
      <w:r w:rsidRPr="000C7F13">
        <w:t>eurozóně nebo</w:t>
      </w:r>
      <w:r>
        <w:t xml:space="preserve"> v </w:t>
      </w:r>
      <w:r w:rsidRPr="000C7F13">
        <w:t>Unii jako celku nebo</w:t>
      </w:r>
      <w:r>
        <w:t xml:space="preserve"> v </w:t>
      </w:r>
      <w:r w:rsidRPr="000C7F13">
        <w:t>případě výjimečných okolností, které vláda nemůže ovlivnit</w:t>
      </w:r>
      <w:r>
        <w:t xml:space="preserve"> a </w:t>
      </w:r>
      <w:r w:rsidRPr="000C7F13">
        <w:t>které mají zásadní dopad</w:t>
      </w:r>
      <w:r>
        <w:t xml:space="preserve"> na </w:t>
      </w:r>
      <w:r w:rsidRPr="000C7F13">
        <w:t>veřejné finance dotčeného členského státu,</w:t>
      </w:r>
      <w:r>
        <w:t xml:space="preserve"> za </w:t>
      </w:r>
      <w:r w:rsidRPr="000C7F13">
        <w:t>předpokladu, že to neohrozí udržitelnost veřejných financí ve střednědobém horizontu. V důsledku toho by takové odchýlení nemělo být zaznamenáno</w:t>
      </w:r>
      <w:r>
        <w:t xml:space="preserve"> na </w:t>
      </w:r>
      <w:r w:rsidRPr="000C7F13">
        <w:t>kontrolním účtu ani vést</w:t>
      </w:r>
      <w:r>
        <w:t xml:space="preserve"> k </w:t>
      </w:r>
      <w:r w:rsidRPr="000C7F13">
        <w:t>zahájení postupu při nadměrném schodku</w:t>
      </w:r>
      <w:r>
        <w:t xml:space="preserve"> na </w:t>
      </w:r>
      <w:r w:rsidRPr="000C7F13">
        <w:t>základě dluhového kritéria.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(14)</w:t>
      </w:r>
      <w:r w:rsidRPr="000C7F13">
        <w:tab/>
        <w:t>Při posuzování existence nadměrného schodku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126 odst. 3 Smlouvy</w:t>
      </w:r>
      <w:r>
        <w:t xml:space="preserve"> o </w:t>
      </w:r>
      <w:r w:rsidRPr="000C7F13">
        <w:t>fungování EU by Komise měla zohlednit veškeré rozhodující faktory. Významné problémy</w:t>
      </w:r>
      <w:r>
        <w:t xml:space="preserve"> s </w:t>
      </w:r>
      <w:r w:rsidRPr="000C7F13">
        <w:t>veřejným dluhem</w:t>
      </w:r>
      <w:r>
        <w:t xml:space="preserve"> v </w:t>
      </w:r>
      <w:r w:rsidRPr="000C7F13">
        <w:t>dotčeném členském státě by měly být považovány</w:t>
      </w:r>
      <w:r>
        <w:t xml:space="preserve"> za </w:t>
      </w:r>
      <w:r w:rsidRPr="000C7F13">
        <w:t>klíčový přitěžující faktor.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AF4316">
        <w:rPr>
          <w:b/>
          <w:i/>
        </w:rPr>
        <w:t>(14a)</w:t>
      </w:r>
      <w:r w:rsidRPr="000C7F13">
        <w:tab/>
        <w:t>Vzhledem</w:t>
      </w:r>
      <w:r>
        <w:t xml:space="preserve"> k </w:t>
      </w:r>
      <w:r w:rsidRPr="000C7F13">
        <w:t>rostoucímu geopolitickému napětí</w:t>
      </w:r>
      <w:r>
        <w:t xml:space="preserve"> a </w:t>
      </w:r>
      <w:r w:rsidRPr="000C7F13">
        <w:t>bezpečnostním výzvám</w:t>
      </w:r>
      <w:r>
        <w:t xml:space="preserve"> a </w:t>
      </w:r>
      <w:r w:rsidRPr="000C7F13">
        <w:t>odpovídající potřebě členských států budovat své schopnosti by se při posuzování existence nadměrného schodku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126 odst. 3 Smlouvy</w:t>
      </w:r>
      <w:r>
        <w:t xml:space="preserve"> o </w:t>
      </w:r>
      <w:r w:rsidRPr="000C7F13">
        <w:t>fungování EU mělo případné zvýšení vládních investic</w:t>
      </w:r>
      <w:r>
        <w:t xml:space="preserve"> do </w:t>
      </w:r>
      <w:r w:rsidRPr="000C7F13">
        <w:t>obrany považovat</w:t>
      </w:r>
      <w:r>
        <w:t xml:space="preserve"> za </w:t>
      </w:r>
      <w:r w:rsidRPr="000C7F13">
        <w:t>rozhodující faktor. Tento faktor by mohl být posuzován</w:t>
      </w:r>
      <w:r>
        <w:t xml:space="preserve"> na </w:t>
      </w:r>
      <w:r w:rsidRPr="000C7F13">
        <w:t xml:space="preserve">základě průměrů EU, střednědobých trendů </w:t>
      </w:r>
      <w:r w:rsidRPr="000C7F13">
        <w:lastRenderedPageBreak/>
        <w:t>nebo jiných příslušných referenčních hodnot, přičemž by se měla rovněž zohlednit statistická pravidla týkající se doby zaznamenání výdajů</w:t>
      </w:r>
      <w:r>
        <w:t xml:space="preserve"> na </w:t>
      </w:r>
      <w:r w:rsidRPr="000C7F13">
        <w:t>vojenské vybavení.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(15)</w:t>
      </w:r>
      <w:r w:rsidRPr="000C7F13">
        <w:tab/>
        <w:t>Aby bylo možné sledovat skutečné odchylky</w:t>
      </w:r>
      <w:r>
        <w:t xml:space="preserve"> od </w:t>
      </w:r>
      <w:r w:rsidRPr="000C7F13">
        <w:t>dráhy čistých výdajů stanovené</w:t>
      </w:r>
      <w:r>
        <w:t xml:space="preserve"> v </w:t>
      </w:r>
      <w:r w:rsidRPr="000C7F13">
        <w:t>článku 21 nařízení (EU) [o preventivní složce], měla by Komise zřídit pro každý členský stát kontrolní účet,</w:t>
      </w:r>
      <w:r>
        <w:t xml:space="preserve"> v </w:t>
      </w:r>
      <w:r w:rsidRPr="000C7F13">
        <w:t>němž budou roční odchylky</w:t>
      </w:r>
      <w:r>
        <w:t xml:space="preserve"> v </w:t>
      </w:r>
      <w:r w:rsidRPr="000C7F13">
        <w:t>průběhu času sečítány. Informace</w:t>
      </w:r>
      <w:r>
        <w:t xml:space="preserve"> na </w:t>
      </w:r>
      <w:r w:rsidRPr="000C7F13">
        <w:t>kontrolním účtu by měly být základem pro donucovací opatření. Komise zejména vypracuje zprávu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126 odst. 3 Smlouvy</w:t>
      </w:r>
      <w:r>
        <w:t xml:space="preserve"> o </w:t>
      </w:r>
      <w:r w:rsidRPr="000C7F13">
        <w:t>fungování EU, pokud poměr veřejného dluhu</w:t>
      </w:r>
      <w:r>
        <w:t xml:space="preserve"> k </w:t>
      </w:r>
      <w:r w:rsidRPr="000C7F13">
        <w:t>HDP překročí referenční hodnotu, pokud stav rozpočtu není téměř vyrovnaný nebo přebytkový</w:t>
      </w:r>
      <w:r>
        <w:t xml:space="preserve"> a </w:t>
      </w:r>
      <w:r w:rsidRPr="000C7F13">
        <w:t>pokud odchylky zaznamenané</w:t>
      </w:r>
      <w:r>
        <w:t xml:space="preserve"> na </w:t>
      </w:r>
      <w:r w:rsidRPr="000C7F13">
        <w:t>kontrolním účtu členského státu překročí stanovené roční nebo kumulativní prahové hodnoty. Stav rozpočtu se považuje</w:t>
      </w:r>
      <w:r>
        <w:t xml:space="preserve"> za </w:t>
      </w:r>
      <w:r w:rsidRPr="000C7F13">
        <w:t>téměř vyrovnaný, pokud celkový schodek nepřekročí 0,5 procentního bodu HDP.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(16)</w:t>
      </w:r>
      <w:r w:rsidRPr="000C7F13">
        <w:tab/>
        <w:t>Nápravná dráha čistých výdajů</w:t>
      </w:r>
      <w:r>
        <w:t xml:space="preserve"> v </w:t>
      </w:r>
      <w:r w:rsidRPr="000C7F13">
        <w:t>rámci postupu při nadměrném schodku by měla ve lhůtě stanovené Radou snížit schodek veřejných financí pod referenční hodnotu 3 % HDP nebo udržet schodek pod touto hodnotou uvedenou</w:t>
      </w:r>
      <w:r>
        <w:t xml:space="preserve"> v </w:t>
      </w:r>
      <w:r w:rsidRPr="000C7F13">
        <w:t>čl. 126 odst. 2 Smlouvy</w:t>
      </w:r>
      <w:r>
        <w:t xml:space="preserve"> o </w:t>
      </w:r>
      <w:r w:rsidRPr="000C7F13">
        <w:t>fungování EU</w:t>
      </w:r>
      <w:r>
        <w:t xml:space="preserve"> a </w:t>
      </w:r>
      <w:r w:rsidRPr="000C7F13">
        <w:t>protokolu</w:t>
      </w:r>
      <w:r>
        <w:t xml:space="preserve"> č. </w:t>
      </w:r>
      <w:r w:rsidRPr="000C7F13">
        <w:t>12. Tato dráha by</w:t>
      </w:r>
      <w:r>
        <w:t xml:space="preserve"> v </w:t>
      </w:r>
      <w:r w:rsidRPr="000C7F13">
        <w:t>zásadě odpovídala dráze, kterou původně stanovila Rada, přičemž by se zohlednila potřeba zajistit minimální strukturální korekci ve výši 0,5 % HDP</w:t>
      </w:r>
      <w:r>
        <w:t xml:space="preserve"> v </w:t>
      </w:r>
      <w:r w:rsidRPr="000C7F13">
        <w:t>případě porušení kritéria schodku nebo zpravidla potřeba napravit odchylku</w:t>
      </w:r>
      <w:r>
        <w:t xml:space="preserve"> od </w:t>
      </w:r>
      <w:r w:rsidRPr="000C7F13">
        <w:t>této dráhy</w:t>
      </w:r>
      <w:r>
        <w:t xml:space="preserve"> v </w:t>
      </w:r>
      <w:r w:rsidRPr="000C7F13">
        <w:t>případě porušení kritéria dluhu. V případě, že původní dráha již není vzhledem</w:t>
      </w:r>
      <w:r>
        <w:t xml:space="preserve"> k </w:t>
      </w:r>
      <w:r w:rsidRPr="000C7F13">
        <w:t>objektivním okolnostem proveditelná, měla by mít Rada</w:t>
      </w:r>
      <w:r>
        <w:t xml:space="preserve"> v </w:t>
      </w:r>
      <w:r w:rsidRPr="000C7F13">
        <w:t>rámci postupu při nadměrném schodku možnost stanovit jinou dráhu.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(17)</w:t>
      </w:r>
      <w:r w:rsidRPr="000C7F13">
        <w:tab/>
        <w:t>V případě členských států,</w:t>
      </w:r>
      <w:r>
        <w:t xml:space="preserve"> na </w:t>
      </w:r>
      <w:r w:rsidRPr="000C7F13">
        <w:t>něž se vztahuje postup při nadměrném schodku, by Rada</w:t>
      </w:r>
      <w:r>
        <w:t xml:space="preserve"> na </w:t>
      </w:r>
      <w:r w:rsidRPr="000C7F13">
        <w:t>doporučení Komise měla mít</w:t>
      </w:r>
      <w:r>
        <w:t xml:space="preserve"> i </w:t>
      </w:r>
      <w:r w:rsidRPr="000C7F13">
        <w:t>nadále možnost prodloužit lhůtu pro odstranění nadměrného schodku, pokud zjistí, že</w:t>
      </w:r>
      <w:r>
        <w:t xml:space="preserve"> v </w:t>
      </w:r>
      <w:r w:rsidRPr="000C7F13">
        <w:t>eurozóně nebo</w:t>
      </w:r>
      <w:r>
        <w:t xml:space="preserve"> v </w:t>
      </w:r>
      <w:r w:rsidRPr="000C7F13">
        <w:t>Unii jako celku došlo</w:t>
      </w:r>
      <w:r>
        <w:t xml:space="preserve"> k </w:t>
      </w:r>
      <w:r w:rsidRPr="000C7F13">
        <w:t>prudkému hospodářskému propadu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článkem 24 nařízení (EU) [o preventivní složce], nebo</w:t>
      </w:r>
      <w:r>
        <w:t xml:space="preserve"> v </w:t>
      </w:r>
      <w:r w:rsidRPr="000C7F13">
        <w:t>případě výjimečných okolností, které vláda nemůže ovlivnit</w:t>
      </w:r>
      <w:r>
        <w:t xml:space="preserve"> a </w:t>
      </w:r>
      <w:r w:rsidRPr="000C7F13">
        <w:t>které mají zásadní dopad</w:t>
      </w:r>
      <w:r>
        <w:t xml:space="preserve"> na </w:t>
      </w:r>
      <w:r w:rsidRPr="000C7F13">
        <w:t>veřejné finance jednotlivých členských států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článkem 25 nařízení (EU) [o</w:t>
      </w:r>
      <w:r>
        <w:t> </w:t>
      </w:r>
      <w:r w:rsidRPr="000C7F13">
        <w:t>preventivní složce],</w:t>
      </w:r>
      <w:r>
        <w:t xml:space="preserve"> a za </w:t>
      </w:r>
      <w:r w:rsidRPr="000C7F13">
        <w:t>předpokladu, že to neohrozí udržitelnost veřejných financí ve střednědobém horizontu.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(18)</w:t>
      </w:r>
      <w:r w:rsidRPr="000C7F13">
        <w:tab/>
        <w:t>Zvláštní ustanovení nařízení (ES)</w:t>
      </w:r>
      <w:r>
        <w:t xml:space="preserve"> č. </w:t>
      </w:r>
      <w:r w:rsidRPr="000C7F13">
        <w:t>1467/97 týkající se příspěvků</w:t>
      </w:r>
      <w:r>
        <w:t xml:space="preserve"> do </w:t>
      </w:r>
      <w:r w:rsidRPr="000C7F13">
        <w:t>důchodových systémů druhého pilíře by měla být zrušena, neboť dráha čistých výdajů stanovená Radou by již měl zohledňovat ztrátu příjmů související</w:t>
      </w:r>
      <w:r>
        <w:t xml:space="preserve"> s </w:t>
      </w:r>
      <w:r w:rsidRPr="000C7F13">
        <w:t>těmito příspěvky.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lastRenderedPageBreak/>
        <w:t>(19)</w:t>
      </w:r>
      <w:r w:rsidRPr="000C7F13">
        <w:tab/>
      </w:r>
      <w:r w:rsidRPr="001459CE">
        <w:t xml:space="preserve">Nezávislé fiskální instituce prokázaly svou schopnost podporovat fiskální kázeň a posilovat důvěryhodnost veřejných financí členských států. Aby se zvýšila odpovědnost členských států, </w:t>
      </w:r>
      <w:r w:rsidRPr="001459CE">
        <w:rPr>
          <w:b/>
          <w:i/>
        </w:rPr>
        <w:t>měla by být úloha nezávislých fiskálních institucí v reformovaném rámci správy ekonomických záležitostí Unie zachována</w:t>
      </w:r>
      <w:r w:rsidRPr="001459CE">
        <w:t xml:space="preserve"> </w:t>
      </w:r>
      <w:r w:rsidRPr="001459CE">
        <w:rPr>
          <w:b/>
          <w:i/>
        </w:rPr>
        <w:t>s ohledem na postupné budování jejich kapacit</w:t>
      </w:r>
      <w:r w:rsidRPr="001459CE">
        <w:t>. Významnější poradní úlohu v rámci správy ekonomických záležitostí Unie by měla hrát nezávislejší Evropská fiskální rada.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(20)</w:t>
      </w:r>
      <w:r w:rsidRPr="000C7F13">
        <w:tab/>
        <w:t>Měly by být stanoveny jasné podmínky pro zrušení postupů při nadměrném schodku. Zrušení by mělo vyžadovat, aby schodek zůstal věrohodně pod referenční hodnotou 3 %</w:t>
      </w:r>
      <w:r>
        <w:t> </w:t>
      </w:r>
      <w:r w:rsidRPr="000C7F13">
        <w:t>HDP uvedenou</w:t>
      </w:r>
      <w:r>
        <w:t xml:space="preserve"> v </w:t>
      </w:r>
      <w:r w:rsidRPr="000C7F13">
        <w:t>čl. 126 odst. 2 Smlouvy</w:t>
      </w:r>
      <w:r>
        <w:t xml:space="preserve"> o </w:t>
      </w:r>
      <w:r w:rsidRPr="000C7F13">
        <w:t>fungování EU</w:t>
      </w:r>
      <w:r>
        <w:t xml:space="preserve"> a v </w:t>
      </w:r>
      <w:r w:rsidRPr="000C7F13">
        <w:t>protokolu</w:t>
      </w:r>
      <w:r>
        <w:t xml:space="preserve"> č. </w:t>
      </w:r>
      <w:r w:rsidRPr="000C7F13">
        <w:t>12</w:t>
      </w:r>
      <w:r>
        <w:t xml:space="preserve"> a </w:t>
      </w:r>
      <w:r w:rsidRPr="000C7F13">
        <w:t>aby</w:t>
      </w:r>
      <w:r>
        <w:t xml:space="preserve"> v </w:t>
      </w:r>
      <w:r w:rsidRPr="000C7F13">
        <w:t>případě postupu při nadměrném schodku</w:t>
      </w:r>
      <w:r>
        <w:t xml:space="preserve"> na </w:t>
      </w:r>
      <w:r w:rsidRPr="000C7F13">
        <w:t>základě dluhového kritéria členský stát prokázal soulad</w:t>
      </w:r>
      <w:r>
        <w:t xml:space="preserve"> s </w:t>
      </w:r>
      <w:r w:rsidRPr="000C7F13">
        <w:t>dráhou čistých výdajů</w:t>
      </w:r>
      <w:r>
        <w:t xml:space="preserve"> v </w:t>
      </w:r>
      <w:r w:rsidRPr="000C7F13">
        <w:t>rámci postupu při nadměrném schodku.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(21)</w:t>
      </w:r>
      <w:r w:rsidRPr="000C7F13">
        <w:tab/>
        <w:t>Pokuty stanovené</w:t>
      </w:r>
      <w:r>
        <w:t xml:space="preserve"> v </w:t>
      </w:r>
      <w:r w:rsidRPr="000C7F13">
        <w:t>čl. 126 odst. 11 Smlouvy</w:t>
      </w:r>
      <w:r>
        <w:t xml:space="preserve"> o </w:t>
      </w:r>
      <w:r w:rsidRPr="000C7F13">
        <w:t>fungování EU by neměly stanovit minimální částku, ale měly by se kumulovat, dokud nebudou přijata účinná opatření, aby představovaly skutečnou motivaci pro dodržování výzev adresovaných členským státům</w:t>
      </w:r>
      <w:r>
        <w:t xml:space="preserve"> v </w:t>
      </w:r>
      <w:r w:rsidRPr="000C7F13">
        <w:t>rámci postupu při nadměrném schodku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126 odst. 9 Smlouvy</w:t>
      </w:r>
      <w:r>
        <w:t xml:space="preserve"> o </w:t>
      </w:r>
      <w:r w:rsidRPr="000C7F13">
        <w:t>fungování EU.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(22)</w:t>
      </w:r>
      <w:r w:rsidRPr="000C7F13">
        <w:tab/>
        <w:t>Ustanovení týkající se Spojeného království by měla být zrušena.</w:t>
      </w:r>
    </w:p>
    <w:p w:rsidR="0076342D" w:rsidRPr="000C7F13" w:rsidRDefault="0076342D" w:rsidP="00D9396B">
      <w:pPr>
        <w:pStyle w:val="ManualConsidrant"/>
        <w:spacing w:line="360" w:lineRule="auto"/>
        <w:jc w:val="left"/>
        <w:rPr>
          <w:noProof/>
        </w:rPr>
      </w:pPr>
      <w:r w:rsidRPr="000C7F13">
        <w:t>(23)</w:t>
      </w:r>
      <w:r w:rsidRPr="000C7F13">
        <w:tab/>
        <w:t>Toto nařízení je součástí balíčku společně</w:t>
      </w:r>
      <w:r>
        <w:t xml:space="preserve"> s </w:t>
      </w:r>
      <w:r w:rsidRPr="000C7F13">
        <w:t>nařízením (EU) [o preventivní složce]</w:t>
      </w:r>
      <w:r>
        <w:t xml:space="preserve"> a </w:t>
      </w:r>
      <w:r w:rsidRPr="000C7F13">
        <w:t>směrnicí (EU) [...], kterou se mění směrnice 2011/85/EU</w:t>
      </w:r>
      <w:r>
        <w:t xml:space="preserve"> o </w:t>
      </w:r>
      <w:r w:rsidRPr="000C7F13">
        <w:t>požadavcích</w:t>
      </w:r>
      <w:r>
        <w:t xml:space="preserve"> na </w:t>
      </w:r>
      <w:r w:rsidRPr="000C7F13">
        <w:t>rozpočtové rámce členských států. Společně zavádějí reformovaný rámec správy ekonomických záležitostí Unie, který</w:t>
      </w:r>
      <w:r>
        <w:t xml:space="preserve"> do </w:t>
      </w:r>
      <w:r w:rsidRPr="000C7F13">
        <w:t>práva Unie začleňuje obsah hlavy III „Rozpočtový pakt“ Smlouvy</w:t>
      </w:r>
      <w:r>
        <w:t xml:space="preserve"> o </w:t>
      </w:r>
      <w:r w:rsidRPr="000C7F13">
        <w:t>stabilitě, koordinaci</w:t>
      </w:r>
      <w:r>
        <w:t xml:space="preserve"> a </w:t>
      </w:r>
      <w:r w:rsidRPr="000C7F13">
        <w:t>správě</w:t>
      </w:r>
      <w:r>
        <w:t xml:space="preserve"> v </w:t>
      </w:r>
      <w:r w:rsidRPr="000C7F13">
        <w:t>hospodářské</w:t>
      </w:r>
      <w:r>
        <w:t xml:space="preserve"> a </w:t>
      </w:r>
      <w:r w:rsidRPr="000C7F13">
        <w:t>měnové unii</w:t>
      </w:r>
      <w:r w:rsidRPr="000C7F13">
        <w:rPr>
          <w:rStyle w:val="FootnoteReference"/>
          <w:noProof/>
        </w:rPr>
        <w:footnoteReference w:id="9"/>
      </w:r>
      <w:r w:rsidRPr="000C7F13">
        <w:t xml:space="preserve"> (dále jen „Smlouva</w:t>
      </w:r>
      <w:r>
        <w:t xml:space="preserve"> o </w:t>
      </w:r>
      <w:r w:rsidRPr="000C7F13">
        <w:t>stabilitě, koordinaci</w:t>
      </w:r>
      <w:r>
        <w:t xml:space="preserve"> a </w:t>
      </w:r>
      <w:r w:rsidRPr="000C7F13">
        <w:t>správě“)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článkem 16 této smlouvy. Navržený legislativní balíček vychází ze zkušeností</w:t>
      </w:r>
      <w:r>
        <w:t xml:space="preserve"> s </w:t>
      </w:r>
      <w:r w:rsidRPr="000C7F13">
        <w:t>prováděním uvedené smlouvy ze strany členských států</w:t>
      </w:r>
      <w:r>
        <w:t xml:space="preserve"> a </w:t>
      </w:r>
      <w:r w:rsidRPr="000C7F13">
        <w:t>zachovává střednědobé zaměření rozpočtového paktu jako nástroj</w:t>
      </w:r>
      <w:r>
        <w:t xml:space="preserve"> k </w:t>
      </w:r>
      <w:r w:rsidRPr="000C7F13">
        <w:t>dosažení rozpočtové kázně</w:t>
      </w:r>
      <w:r>
        <w:t xml:space="preserve"> a </w:t>
      </w:r>
      <w:r w:rsidRPr="000C7F13">
        <w:t xml:space="preserve">podpory růstu. Balíček obsahuje posílený rozměr pro jednotlivé země, jehož cílem je posílit odpovědnost jednotlivých států, mimo jiné zachováním úlohy nezávislých fiskálních institucí, která vychází ze </w:t>
      </w:r>
      <w:r w:rsidRPr="000C7F13">
        <w:lastRenderedPageBreak/>
        <w:t>společných zásad rozpočtového paktu navržených Komisí</w:t>
      </w:r>
      <w:r w:rsidRPr="000C7F13">
        <w:rPr>
          <w:rStyle w:val="FootnoteReference"/>
          <w:noProof/>
        </w:rPr>
        <w:footnoteReference w:id="10"/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3 odst. 2 Smlouvy</w:t>
      </w:r>
      <w:r>
        <w:t xml:space="preserve"> o </w:t>
      </w:r>
      <w:r w:rsidRPr="000C7F13">
        <w:t>stabilitě, koordinaci</w:t>
      </w:r>
      <w:r>
        <w:t xml:space="preserve"> a </w:t>
      </w:r>
      <w:r w:rsidRPr="000C7F13">
        <w:t>správě.</w:t>
      </w:r>
      <w:r w:rsidR="00D9396B">
        <w:t xml:space="preserve"> </w:t>
      </w:r>
      <w:r w:rsidRPr="000C7F13">
        <w:t>Analýza výdajů očištěných</w:t>
      </w:r>
      <w:r>
        <w:t xml:space="preserve"> o </w:t>
      </w:r>
      <w:r w:rsidRPr="000C7F13">
        <w:t>vliv diskrečních opatření</w:t>
      </w:r>
      <w:r>
        <w:t xml:space="preserve"> na </w:t>
      </w:r>
      <w:r w:rsidRPr="000C7F13">
        <w:t>straně příjmů pro celkové posouzení souladu požadované rozpočtovým paktem je stanovena</w:t>
      </w:r>
      <w:r>
        <w:t xml:space="preserve"> v </w:t>
      </w:r>
      <w:r w:rsidRPr="000C7F13">
        <w:t>nařízení (EU) [o</w:t>
      </w:r>
      <w:r>
        <w:t> </w:t>
      </w:r>
      <w:r w:rsidRPr="000C7F13">
        <w:t>preventivní složce]. Stejně jako</w:t>
      </w:r>
      <w:r>
        <w:t xml:space="preserve"> v </w:t>
      </w:r>
      <w:r w:rsidRPr="000C7F13">
        <w:t>rozpočtovém paktu jsou dočasné odchylky</w:t>
      </w:r>
      <w:r>
        <w:t xml:space="preserve"> od </w:t>
      </w:r>
      <w:r w:rsidRPr="000C7F13">
        <w:t>střednědobého plánu povoleny pouze</w:t>
      </w:r>
      <w:r>
        <w:t xml:space="preserve"> za </w:t>
      </w:r>
      <w:r w:rsidRPr="000C7F13">
        <w:t>výjimečných okolností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články 24</w:t>
      </w:r>
      <w:r>
        <w:t xml:space="preserve"> a </w:t>
      </w:r>
      <w:r w:rsidRPr="000C7F13">
        <w:t>25 nařízení (EU) [o preventivní složce]</w:t>
      </w:r>
      <w:r>
        <w:t xml:space="preserve"> a v </w:t>
      </w:r>
      <w:r w:rsidRPr="000C7F13">
        <w:t>souladu</w:t>
      </w:r>
      <w:r>
        <w:t xml:space="preserve"> s </w:t>
      </w:r>
      <w:r w:rsidRPr="000C7F13">
        <w:t>ustanoveními</w:t>
      </w:r>
      <w:r>
        <w:t xml:space="preserve"> o </w:t>
      </w:r>
      <w:r w:rsidRPr="000C7F13">
        <w:t>kontrolním účtu. Podobně jako</w:t>
      </w:r>
      <w:r>
        <w:t xml:space="preserve"> u </w:t>
      </w:r>
      <w:r w:rsidRPr="000C7F13">
        <w:t>rozpočtového paktu by</w:t>
      </w:r>
      <w:r>
        <w:t xml:space="preserve"> v </w:t>
      </w:r>
      <w:r w:rsidRPr="000C7F13">
        <w:t>případě významných odchylek</w:t>
      </w:r>
      <w:r>
        <w:t xml:space="preserve"> od </w:t>
      </w:r>
      <w:r w:rsidRPr="000C7F13">
        <w:t>střednědobého plánu měla být provedena opatření</w:t>
      </w:r>
      <w:r>
        <w:t xml:space="preserve"> za </w:t>
      </w:r>
      <w:r w:rsidRPr="000C7F13">
        <w:t>účelem nápravy těchto odchylek ve vymezeném časovém období. Balíček posiluje fiskální dohled</w:t>
      </w:r>
      <w:r>
        <w:t xml:space="preserve"> a </w:t>
      </w:r>
      <w:r w:rsidRPr="000C7F13">
        <w:t>postupy vymáhání, aby byl naplněn závazek podporovat zdravé</w:t>
      </w:r>
      <w:r>
        <w:t xml:space="preserve"> a </w:t>
      </w:r>
      <w:r w:rsidRPr="000C7F13">
        <w:t>udržitelné veřejné finance</w:t>
      </w:r>
      <w:r>
        <w:t xml:space="preserve"> a </w:t>
      </w:r>
      <w:r w:rsidRPr="000C7F13">
        <w:t>udržitelný</w:t>
      </w:r>
      <w:r>
        <w:t xml:space="preserve"> a </w:t>
      </w:r>
      <w:r w:rsidRPr="000C7F13">
        <w:t>inkluzivní růst. Reforma rámce správy ekonomických záležitostí tak zachovává základní cíle rozpočtové kázně</w:t>
      </w:r>
      <w:r>
        <w:t xml:space="preserve"> a </w:t>
      </w:r>
      <w:r w:rsidRPr="000C7F13">
        <w:t>udržitelnosti dluhu stanovené ve Smlouvě</w:t>
      </w:r>
      <w:r>
        <w:t xml:space="preserve"> o </w:t>
      </w:r>
      <w:r w:rsidRPr="000C7F13">
        <w:t>stabilitě, koordinaci</w:t>
      </w:r>
      <w:r>
        <w:t xml:space="preserve"> a </w:t>
      </w:r>
      <w:r w:rsidRPr="000C7F13">
        <w:t>správě.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(24)</w:t>
      </w:r>
      <w:r w:rsidRPr="000C7F13">
        <w:tab/>
        <w:t>Pro členské státy,</w:t>
      </w:r>
      <w:r>
        <w:t xml:space="preserve"> na </w:t>
      </w:r>
      <w:r w:rsidRPr="000C7F13">
        <w:t>které se vztahuje postup při nadměrném schodku</w:t>
      </w:r>
      <w:r>
        <w:t xml:space="preserve"> v </w:t>
      </w:r>
      <w:r w:rsidRPr="000C7F13">
        <w:t>okamžiku, kdy vstoupí</w:t>
      </w:r>
      <w:r>
        <w:t xml:space="preserve"> v </w:t>
      </w:r>
      <w:r w:rsidRPr="000C7F13">
        <w:t>platnost reformovaný rámec, jsou zapotřebí přechodná ustanovení. Doporučení podle čl. 126 odst. 7 Smlouvy</w:t>
      </w:r>
      <w:r>
        <w:t xml:space="preserve"> o </w:t>
      </w:r>
      <w:r w:rsidRPr="000C7F13">
        <w:t>fungování EU</w:t>
      </w:r>
      <w:r>
        <w:t xml:space="preserve"> a </w:t>
      </w:r>
      <w:r w:rsidRPr="000C7F13">
        <w:t>výzvy podle čl. 126 odst. 9 Smlouvy</w:t>
      </w:r>
      <w:r>
        <w:t xml:space="preserve"> o </w:t>
      </w:r>
      <w:r w:rsidRPr="000C7F13">
        <w:t>fungování EU, které byly přijaty před vstupem tohoto pozměňujícího nařízení</w:t>
      </w:r>
      <w:r>
        <w:t xml:space="preserve"> v </w:t>
      </w:r>
      <w:r w:rsidRPr="000C7F13">
        <w:t>platnost, musí být revidovány</w:t>
      </w:r>
      <w:r>
        <w:t xml:space="preserve"> s </w:t>
      </w:r>
      <w:r w:rsidRPr="000C7F13">
        <w:t>cílem uvést je</w:t>
      </w:r>
      <w:r>
        <w:t xml:space="preserve"> do </w:t>
      </w:r>
      <w:r w:rsidRPr="000C7F13">
        <w:t>souladu</w:t>
      </w:r>
      <w:r>
        <w:t xml:space="preserve"> s </w:t>
      </w:r>
      <w:r w:rsidRPr="000C7F13">
        <w:t>ustanoveními pozměněného čl. 3 odst. 4</w:t>
      </w:r>
      <w:r>
        <w:t xml:space="preserve"> a </w:t>
      </w:r>
      <w:r w:rsidRPr="000C7F13">
        <w:t>čl. 5 odst. 1. To by Radě umožnilo stanovit nápravnou dráhu čistých výdajů</w:t>
      </w:r>
      <w:r>
        <w:t xml:space="preserve"> v </w:t>
      </w:r>
      <w:r w:rsidRPr="000C7F13">
        <w:t>souladu</w:t>
      </w:r>
      <w:r>
        <w:t xml:space="preserve"> s </w:t>
      </w:r>
      <w:r w:rsidRPr="000C7F13">
        <w:t>novými ustanoveními pro členské státy, které přijaly opatření, aniž by se postup při nadměrném schodku zintenzivnil.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AF4316">
        <w:rPr>
          <w:b/>
          <w:i/>
        </w:rPr>
        <w:t>(24a)</w:t>
      </w:r>
      <w:r w:rsidRPr="000C7F13">
        <w:tab/>
        <w:t>Zatímco pravidla postupu při nadměrném schodku</w:t>
      </w:r>
      <w:r>
        <w:t xml:space="preserve"> na </w:t>
      </w:r>
      <w:r w:rsidRPr="000C7F13">
        <w:t>základě porušení referenční hodnoty schodku zůstávají beze změny, tedy</w:t>
      </w:r>
      <w:r>
        <w:t xml:space="preserve"> s </w:t>
      </w:r>
      <w:r w:rsidRPr="000C7F13">
        <w:t>minimálním ročním strukturálním zlepšením ve výši alespoň 0,5 % HDP jako doporučenou hodnotou,</w:t>
      </w:r>
      <w:r>
        <w:t xml:space="preserve"> v </w:t>
      </w:r>
      <w:r w:rsidRPr="000C7F13">
        <w:t>kontextu výrazně změněného prostředí úrokových sazeb může Komise</w:t>
      </w:r>
      <w:r>
        <w:t xml:space="preserve"> na </w:t>
      </w:r>
      <w:r w:rsidRPr="000C7F13">
        <w:t>přechodné období</w:t>
      </w:r>
      <w:r>
        <w:t xml:space="preserve"> v </w:t>
      </w:r>
      <w:r w:rsidRPr="000C7F13">
        <w:t>letech 2025, 2026</w:t>
      </w:r>
      <w:r>
        <w:t xml:space="preserve"> a </w:t>
      </w:r>
      <w:r w:rsidRPr="000C7F13">
        <w:t>2027 –</w:t>
      </w:r>
      <w:r>
        <w:t xml:space="preserve"> s </w:t>
      </w:r>
      <w:r w:rsidRPr="000C7F13">
        <w:t>cílem neohrozit pozitivní účinky Nástroje pro oživení</w:t>
      </w:r>
      <w:r>
        <w:t xml:space="preserve"> a </w:t>
      </w:r>
      <w:r w:rsidRPr="000C7F13">
        <w:t>odolnost – upravit tuto doporučenou hodnotu tak, aby při stanovování navržené nápravné dráhy týkající se prvního střednědobého fiskálně-strukturálního plánu</w:t>
      </w:r>
      <w:r>
        <w:t xml:space="preserve"> na </w:t>
      </w:r>
      <w:r w:rsidRPr="000C7F13">
        <w:t>roky 2025, 2026</w:t>
      </w:r>
      <w:r>
        <w:t xml:space="preserve"> a </w:t>
      </w:r>
      <w:r w:rsidRPr="000C7F13">
        <w:t>2027</w:t>
      </w:r>
      <w:r>
        <w:t xml:space="preserve"> v </w:t>
      </w:r>
      <w:r w:rsidRPr="000C7F13">
        <w:t>rámci postupu při nadměrném schodku zohlednila nárůst úrokových plateb, pokud dotčený členský stát splňuje podmínky stanovené</w:t>
      </w:r>
      <w:r>
        <w:t xml:space="preserve"> v </w:t>
      </w:r>
      <w:r w:rsidRPr="000C7F13">
        <w:t xml:space="preserve">čl. 11 </w:t>
      </w:r>
      <w:r w:rsidRPr="000C7F13">
        <w:lastRenderedPageBreak/>
        <w:t>písm. c) nařízení (EU)</w:t>
      </w:r>
      <w:r>
        <w:t xml:space="preserve"> o </w:t>
      </w:r>
      <w:r w:rsidRPr="000C7F13">
        <w:t>preventivní složce,</w:t>
      </w:r>
      <w:r>
        <w:t xml:space="preserve"> v </w:t>
      </w:r>
      <w:r w:rsidRPr="000C7F13">
        <w:t>souladu</w:t>
      </w:r>
      <w:r>
        <w:t xml:space="preserve"> s </w:t>
      </w:r>
      <w:r w:rsidRPr="000C7F13">
        <w:t>cílem dosáhnout ekologické</w:t>
      </w:r>
      <w:r>
        <w:t xml:space="preserve"> a </w:t>
      </w:r>
      <w:r w:rsidRPr="000C7F13">
        <w:t>digitální transformace</w:t>
      </w:r>
      <w:r>
        <w:t xml:space="preserve"> a </w:t>
      </w:r>
      <w:r w:rsidRPr="000C7F13">
        <w:t>vybudovat obranné schopnosti.</w:t>
      </w:r>
    </w:p>
    <w:p w:rsidR="0076342D" w:rsidRPr="000C7F13" w:rsidRDefault="0076342D" w:rsidP="0076342D">
      <w:pPr>
        <w:pStyle w:val="ManualConsidrant"/>
        <w:spacing w:line="360" w:lineRule="auto"/>
        <w:jc w:val="left"/>
        <w:rPr>
          <w:noProof/>
        </w:rPr>
      </w:pPr>
      <w:r w:rsidRPr="000C7F13">
        <w:t>(25)</w:t>
      </w:r>
      <w:r w:rsidRPr="000C7F13">
        <w:tab/>
        <w:t>Nařízení (ES)</w:t>
      </w:r>
      <w:r>
        <w:t xml:space="preserve"> č. </w:t>
      </w:r>
      <w:r w:rsidRPr="000C7F13">
        <w:t>1467/97 by proto mělo být odpovídajícím způsobem změněno,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PŘIJALA TOTO NAŘÍZENÍ:</w:t>
      </w:r>
    </w:p>
    <w:p w:rsidR="0076342D" w:rsidRPr="0076342D" w:rsidRDefault="0076342D" w:rsidP="0076342D">
      <w:pPr>
        <w:pStyle w:val="Titrearticle"/>
        <w:spacing w:before="120" w:line="360" w:lineRule="auto"/>
        <w:rPr>
          <w:i w:val="0"/>
          <w:noProof/>
        </w:rPr>
      </w:pPr>
      <w:r w:rsidRPr="0076342D">
        <w:rPr>
          <w:i w:val="0"/>
        </w:rPr>
        <w:t>Článek 1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Nařízení (ES)</w:t>
      </w:r>
      <w:r>
        <w:t xml:space="preserve"> č. </w:t>
      </w:r>
      <w:r w:rsidRPr="000C7F13">
        <w:t>1467/97 se mění takto: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1)</w:t>
      </w:r>
      <w:r w:rsidRPr="000C7F13">
        <w:tab/>
        <w:t>Články 1</w:t>
      </w:r>
      <w:r>
        <w:t xml:space="preserve"> a </w:t>
      </w:r>
      <w:r w:rsidRPr="000C7F13">
        <w:t>2 se nahrazují tímto: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  <w:szCs w:val="24"/>
        </w:rPr>
      </w:pPr>
      <w:r w:rsidRPr="000C7F13">
        <w:t>„Článek 1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1.</w:t>
      </w:r>
      <w:r>
        <w:tab/>
      </w:r>
      <w:r w:rsidRPr="000C7F13">
        <w:t>Toto nařízení obsahuje ustanovení</w:t>
      </w:r>
      <w:r>
        <w:t xml:space="preserve"> k </w:t>
      </w:r>
      <w:r w:rsidRPr="000C7F13">
        <w:t>urychlení</w:t>
      </w:r>
      <w:r>
        <w:t xml:space="preserve"> a </w:t>
      </w:r>
      <w:r w:rsidRPr="000C7F13">
        <w:t>vyjasnění postupu při nadměrném schodku. Cílem postupu při nadměrném schodku je zabránit vzniku nadměrných schodků veřejných financí,</w:t>
      </w:r>
      <w:r>
        <w:t xml:space="preserve"> a </w:t>
      </w:r>
      <w:r w:rsidRPr="000C7F13">
        <w:t>pokud již</w:t>
      </w:r>
      <w:r>
        <w:t xml:space="preserve"> k </w:t>
      </w:r>
      <w:r w:rsidRPr="000C7F13">
        <w:t>jejich vzniku dojde, napomoci jejich rychlému odstranění, přičemž dodržování rozpočtové kázně je posuzováno</w:t>
      </w:r>
      <w:r>
        <w:t xml:space="preserve"> na </w:t>
      </w:r>
      <w:r w:rsidRPr="000C7F13">
        <w:t>základě kritérií schodku veřejných financí</w:t>
      </w:r>
      <w:r>
        <w:t xml:space="preserve"> a </w:t>
      </w:r>
      <w:r w:rsidRPr="000C7F13">
        <w:t>veřejného dluhu.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rPr>
          <w:color w:val="000000"/>
        </w:rPr>
        <w:t>2.</w:t>
      </w:r>
      <w:r>
        <w:rPr>
          <w:color w:val="000000"/>
        </w:rPr>
        <w:tab/>
      </w:r>
      <w:r w:rsidRPr="000C7F13">
        <w:t>Pro účely tohoto nařízení se „zúčastněnými členskými státy“ rozumějí ty členské státy, jejichž měnou je euro. Použijí se definice podle článku 2 nařízení (EU) [o preventivní složce].</w:t>
      </w:r>
    </w:p>
    <w:p w:rsidR="0076342D" w:rsidRPr="00F864C3" w:rsidRDefault="0076342D" w:rsidP="0076342D">
      <w:pPr>
        <w:pStyle w:val="Text1"/>
        <w:spacing w:line="360" w:lineRule="auto"/>
        <w:jc w:val="left"/>
        <w:rPr>
          <w:i/>
          <w:noProof/>
          <w:szCs w:val="24"/>
        </w:rPr>
      </w:pPr>
      <w:r w:rsidRPr="00F864C3">
        <w:rPr>
          <w:i/>
        </w:rPr>
        <w:t>Článek 2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 w:rsidRPr="000C7F13">
        <w:t>1.</w:t>
      </w:r>
      <w:r>
        <w:tab/>
      </w:r>
      <w:r w:rsidRPr="000C7F13">
        <w:t>Překročení schodku veřejných financí nad referenční hodnotu se podle čl. 126 odst. 2 písm. a) druhé odrážky Smlouvy</w:t>
      </w:r>
      <w:r>
        <w:t xml:space="preserve"> o </w:t>
      </w:r>
      <w:r w:rsidRPr="000C7F13">
        <w:t>fungování Evropské unie (dále jen „Smlouva</w:t>
      </w:r>
      <w:r>
        <w:t xml:space="preserve"> o </w:t>
      </w:r>
      <w:r w:rsidRPr="000C7F13">
        <w:t>fungování EU“) považuje</w:t>
      </w:r>
      <w:r>
        <w:t xml:space="preserve"> za </w:t>
      </w:r>
      <w:r w:rsidRPr="000C7F13">
        <w:t>výjimečné, pokud vznikne</w:t>
      </w:r>
      <w:r>
        <w:t xml:space="preserve"> v </w:t>
      </w:r>
      <w:r w:rsidRPr="000C7F13">
        <w:t>důsledku prudkého hospodářského propadu</w:t>
      </w:r>
      <w:r>
        <w:t xml:space="preserve"> v </w:t>
      </w:r>
      <w:r w:rsidRPr="000C7F13">
        <w:t>eurozóně nebo</w:t>
      </w:r>
      <w:r>
        <w:t xml:space="preserve"> v </w:t>
      </w:r>
      <w:r w:rsidRPr="000C7F13">
        <w:t>Unii jako celku zjištěného Radou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článkem 24 nařízení (EU) [o preventivní složce] nebo pokud je způsobeno mimořádnými okolnostmi, které vláda nemůže ovlivnit</w:t>
      </w:r>
      <w:r>
        <w:t xml:space="preserve"> a </w:t>
      </w:r>
      <w:r w:rsidRPr="000C7F13">
        <w:t>které mají zásadní dopad</w:t>
      </w:r>
      <w:r>
        <w:t xml:space="preserve"> na </w:t>
      </w:r>
      <w:r w:rsidRPr="000C7F13">
        <w:t>veřejné finance dotčeného členského státu,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článkem 25 nařízení (EU) [o preventivní složce].</w:t>
      </w:r>
    </w:p>
    <w:p w:rsidR="0076342D" w:rsidRPr="000C7F13" w:rsidRDefault="0076342D" w:rsidP="0076342D">
      <w:pPr>
        <w:pStyle w:val="Text1"/>
        <w:spacing w:line="360" w:lineRule="auto"/>
        <w:ind w:left="1418"/>
        <w:jc w:val="left"/>
        <w:rPr>
          <w:noProof/>
        </w:rPr>
      </w:pPr>
      <w:r w:rsidRPr="000C7F13">
        <w:t>Kromě toho se překročení schodku veřejných financí nad referenční hodnotu považuje</w:t>
      </w:r>
      <w:r>
        <w:t xml:space="preserve"> za </w:t>
      </w:r>
      <w:r w:rsidRPr="000C7F13">
        <w:t xml:space="preserve">dočasné, jestliže rozpočtové předpovědi předkládané Komisí naznačují, že po skončení prudkého hospodářského propadu či mimořádných </w:t>
      </w:r>
      <w:r w:rsidRPr="000C7F13">
        <w:lastRenderedPageBreak/>
        <w:t>okolností uvedených</w:t>
      </w:r>
      <w:r>
        <w:t xml:space="preserve"> v </w:t>
      </w:r>
      <w:r w:rsidRPr="000C7F13">
        <w:t>prvním pododstavci schodek klesne pod referenční hodnotu.</w:t>
      </w:r>
    </w:p>
    <w:p w:rsidR="0076342D" w:rsidRPr="000C7F13" w:rsidRDefault="0076342D" w:rsidP="0076342D">
      <w:pPr>
        <w:pStyle w:val="Text1"/>
        <w:spacing w:line="360" w:lineRule="auto"/>
        <w:ind w:left="1418" w:hanging="567"/>
        <w:jc w:val="left"/>
        <w:rPr>
          <w:noProof/>
        </w:rPr>
      </w:pPr>
      <w:r w:rsidRPr="000C7F13">
        <w:t>1a.</w:t>
      </w:r>
      <w:r>
        <w:tab/>
      </w:r>
      <w:r w:rsidRPr="000C7F13">
        <w:t>Pokud poměr veřejného dluhu</w:t>
      </w:r>
      <w:r>
        <w:t xml:space="preserve"> k </w:t>
      </w:r>
      <w:r w:rsidRPr="000C7F13">
        <w:t>hrubému domácímu produktu (HDP) překročí referenční hodnotu, považuje se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126 odst. 2 písm. b) Smlouvy</w:t>
      </w:r>
      <w:r>
        <w:t xml:space="preserve"> o </w:t>
      </w:r>
      <w:r w:rsidRPr="000C7F13">
        <w:t>fungování EU</w:t>
      </w:r>
      <w:r>
        <w:t xml:space="preserve"> za </w:t>
      </w:r>
      <w:r w:rsidRPr="000C7F13">
        <w:t>dostatečně se snižující</w:t>
      </w:r>
      <w:r>
        <w:t xml:space="preserve"> a </w:t>
      </w:r>
      <w:r w:rsidRPr="000C7F13">
        <w:t>uspokojivým tempem se blížící referenční hodnotě, pokud dotčený členský stát dodržuje svou dráhu čistých výdajů.</w:t>
      </w:r>
    </w:p>
    <w:p w:rsidR="0076342D" w:rsidRPr="000C7F13" w:rsidRDefault="0076342D" w:rsidP="0076342D">
      <w:pPr>
        <w:pStyle w:val="Text1"/>
        <w:spacing w:line="360" w:lineRule="auto"/>
        <w:ind w:left="1418" w:hanging="567"/>
        <w:jc w:val="left"/>
        <w:rPr>
          <w:noProof/>
        </w:rPr>
      </w:pPr>
      <w:r>
        <w:t>2.</w:t>
      </w:r>
      <w:r>
        <w:tab/>
      </w:r>
      <w:r w:rsidRPr="000C7F13">
        <w:t>Komise vypracuje zprávu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126 odst. 3 Smlouvy</w:t>
      </w:r>
      <w:r>
        <w:t xml:space="preserve"> o </w:t>
      </w:r>
      <w:r w:rsidRPr="000C7F13">
        <w:t>fungování EU, pokud poměr veřejného dluhu</w:t>
      </w:r>
      <w:r>
        <w:t xml:space="preserve"> k </w:t>
      </w:r>
      <w:r w:rsidRPr="000C7F13">
        <w:t>HDP překročí referenční hodnotu, pokud stav rozpočtu není téměř vyrovnaný nebo přebytkový</w:t>
      </w:r>
      <w:r>
        <w:t xml:space="preserve"> a </w:t>
      </w:r>
      <w:r w:rsidRPr="000C7F13">
        <w:t>pokud odchylky zaznamenané</w:t>
      </w:r>
      <w:r>
        <w:t xml:space="preserve"> na </w:t>
      </w:r>
      <w:r w:rsidRPr="000C7F13">
        <w:t>kontrolním účtu členského státu překročí:</w:t>
      </w:r>
    </w:p>
    <w:p w:rsidR="0076342D" w:rsidRPr="00F864C3" w:rsidRDefault="0076342D" w:rsidP="0076342D">
      <w:pPr>
        <w:pStyle w:val="Text1"/>
        <w:spacing w:line="360" w:lineRule="auto"/>
        <w:ind w:left="1985" w:hanging="567"/>
        <w:jc w:val="left"/>
        <w:rPr>
          <w:noProof/>
        </w:rPr>
      </w:pPr>
      <w:r w:rsidRPr="00F864C3">
        <w:rPr>
          <w:noProof/>
        </w:rPr>
        <w:t>a)</w:t>
      </w:r>
      <w:r w:rsidRPr="00F864C3">
        <w:rPr>
          <w:noProof/>
        </w:rPr>
        <w:tab/>
      </w:r>
      <w:r w:rsidRPr="00F864C3">
        <w:t>0,3 procentního bodu HDP ročně nebo</w:t>
      </w:r>
    </w:p>
    <w:p w:rsidR="0076342D" w:rsidRPr="000C7F13" w:rsidRDefault="0076342D" w:rsidP="0076342D">
      <w:pPr>
        <w:pStyle w:val="Text1"/>
        <w:spacing w:line="360" w:lineRule="auto"/>
        <w:ind w:left="1985" w:hanging="567"/>
        <w:jc w:val="left"/>
        <w:rPr>
          <w:noProof/>
        </w:rPr>
      </w:pPr>
      <w:r w:rsidRPr="00F864C3">
        <w:rPr>
          <w:noProof/>
        </w:rPr>
        <w:t>b)</w:t>
      </w:r>
      <w:r w:rsidRPr="00F864C3">
        <w:rPr>
          <w:noProof/>
        </w:rPr>
        <w:tab/>
      </w:r>
      <w:r w:rsidRPr="00F864C3">
        <w:t>0,6 proce</w:t>
      </w:r>
      <w:r w:rsidRPr="000C7F13">
        <w:t>ntního bodu HDP kumulativně.</w:t>
      </w:r>
    </w:p>
    <w:p w:rsidR="0076342D" w:rsidRPr="000C7F13" w:rsidRDefault="0076342D" w:rsidP="0076342D">
      <w:pPr>
        <w:pStyle w:val="Text1"/>
        <w:spacing w:line="360" w:lineRule="auto"/>
        <w:ind w:left="1418" w:hanging="567"/>
        <w:jc w:val="left"/>
        <w:rPr>
          <w:noProof/>
        </w:rPr>
      </w:pPr>
      <w:r w:rsidRPr="000C7F13">
        <w:t>3.</w:t>
      </w:r>
      <w:r>
        <w:tab/>
      </w:r>
      <w:r w:rsidRPr="000C7F13">
        <w:t>Při vypracování zprávy podle čl. 126 odst. 3 Smlouvy</w:t>
      </w:r>
      <w:r>
        <w:t xml:space="preserve"> o </w:t>
      </w:r>
      <w:r w:rsidRPr="000C7F13">
        <w:t>fungování EU přihlédne Komise ke všem rozhodujícím faktorům stanoveným</w:t>
      </w:r>
      <w:r>
        <w:t xml:space="preserve"> v </w:t>
      </w:r>
      <w:r w:rsidRPr="000C7F13">
        <w:t>uvedeném článku, pokud významným způsobem ovlivňují posouzení toho, nakolik dotčený členský stát dodržuje kritéria schodku</w:t>
      </w:r>
      <w:r>
        <w:t xml:space="preserve"> a </w:t>
      </w:r>
      <w:r w:rsidRPr="000C7F13">
        <w:t>dluhu.</w:t>
      </w:r>
    </w:p>
    <w:p w:rsidR="0076342D" w:rsidRPr="000C7F13" w:rsidRDefault="0076342D" w:rsidP="0076342D">
      <w:pPr>
        <w:pStyle w:val="Text1"/>
        <w:spacing w:line="360" w:lineRule="auto"/>
        <w:ind w:left="1418"/>
        <w:jc w:val="left"/>
        <w:rPr>
          <w:noProof/>
        </w:rPr>
      </w:pPr>
      <w:r w:rsidRPr="000C7F13">
        <w:t>Zpráva musí náležitě odrážet:</w:t>
      </w:r>
    </w:p>
    <w:p w:rsidR="0076342D" w:rsidRPr="000C7F13" w:rsidRDefault="0076342D" w:rsidP="0076342D">
      <w:pPr>
        <w:pStyle w:val="Point1"/>
        <w:spacing w:line="360" w:lineRule="auto"/>
        <w:ind w:left="1985"/>
        <w:jc w:val="left"/>
        <w:rPr>
          <w:noProof/>
        </w:rPr>
      </w:pPr>
      <w:r w:rsidRPr="000C7F13">
        <w:rPr>
          <w:noProof/>
        </w:rPr>
        <w:t>(a)</w:t>
      </w:r>
      <w:r w:rsidRPr="000C7F13">
        <w:rPr>
          <w:noProof/>
        </w:rPr>
        <w:tab/>
      </w:r>
      <w:r w:rsidRPr="000C7F13">
        <w:t>míru problémů</w:t>
      </w:r>
      <w:r>
        <w:t xml:space="preserve"> s </w:t>
      </w:r>
      <w:r w:rsidRPr="000C7F13">
        <w:t>veřejným dluhem</w:t>
      </w:r>
      <w:r>
        <w:t xml:space="preserve"> na </w:t>
      </w:r>
      <w:r w:rsidRPr="000C7F13">
        <w:t>základě metodiky uvedené</w:t>
      </w:r>
      <w:r>
        <w:t xml:space="preserve"> v </w:t>
      </w:r>
      <w:r w:rsidRPr="000C7F13">
        <w:t>článku 8 nařízení [o preventivní složce], vývoj situace veřejného dluhu</w:t>
      </w:r>
      <w:r>
        <w:t xml:space="preserve"> a </w:t>
      </w:r>
      <w:r w:rsidRPr="000C7F13">
        <w:t>jeho financování</w:t>
      </w:r>
      <w:r>
        <w:t xml:space="preserve"> a </w:t>
      </w:r>
      <w:r w:rsidRPr="000C7F13">
        <w:t>související rizikové faktory, zejména strukturu splatnosti, měnovou denominaci dluhu</w:t>
      </w:r>
      <w:r>
        <w:t xml:space="preserve"> a </w:t>
      </w:r>
      <w:r w:rsidRPr="000C7F13">
        <w:t>podmíněné závazky, včetně veškerých implicitních závazků souvisejících se stárnutím obyvatelstva</w:t>
      </w:r>
      <w:r>
        <w:t xml:space="preserve"> a </w:t>
      </w:r>
      <w:r w:rsidRPr="000C7F13">
        <w:t>soukromým dluhem;</w:t>
      </w:r>
    </w:p>
    <w:p w:rsidR="0076342D" w:rsidRPr="000C7F13" w:rsidRDefault="0076342D" w:rsidP="0076342D">
      <w:pPr>
        <w:pStyle w:val="Point1"/>
        <w:spacing w:line="360" w:lineRule="auto"/>
        <w:ind w:left="1985"/>
        <w:jc w:val="left"/>
        <w:rPr>
          <w:noProof/>
        </w:rPr>
      </w:pPr>
      <w:r w:rsidRPr="000C7F13">
        <w:t>b)</w:t>
      </w:r>
      <w:r w:rsidRPr="000C7F13">
        <w:tab/>
        <w:t>vývoj střednědobé rozpočtové situace, zejména včetně rozsahu skutečného odchýlení</w:t>
      </w:r>
      <w:r>
        <w:t xml:space="preserve"> od </w:t>
      </w:r>
      <w:r w:rsidRPr="000C7F13">
        <w:t>dráhy čistých výdajů</w:t>
      </w:r>
      <w:r>
        <w:t xml:space="preserve"> v </w:t>
      </w:r>
      <w:r w:rsidRPr="000C7F13">
        <w:t>ročním</w:t>
      </w:r>
      <w:r>
        <w:t xml:space="preserve"> a </w:t>
      </w:r>
      <w:r w:rsidRPr="000C7F13">
        <w:t>kumulativním vyjádření měřeného kontrolním účtem;</w:t>
      </w:r>
    </w:p>
    <w:p w:rsidR="0076342D" w:rsidRPr="000C7F13" w:rsidRDefault="0076342D" w:rsidP="0076342D">
      <w:pPr>
        <w:pStyle w:val="Point1"/>
        <w:spacing w:line="360" w:lineRule="auto"/>
        <w:ind w:left="1985"/>
        <w:jc w:val="left"/>
        <w:rPr>
          <w:noProof/>
        </w:rPr>
      </w:pPr>
      <w:r w:rsidRPr="000C7F13">
        <w:t>c)</w:t>
      </w:r>
      <w:r w:rsidRPr="000C7F13">
        <w:tab/>
        <w:t>vývoj střednědobé hospodářské situace, včetně potenciálního růstu, vývoje inflace</w:t>
      </w:r>
      <w:r>
        <w:t xml:space="preserve"> a </w:t>
      </w:r>
      <w:r w:rsidRPr="000C7F13">
        <w:t>cyklického vývoje ve srovnání</w:t>
      </w:r>
      <w:r>
        <w:t xml:space="preserve"> s </w:t>
      </w:r>
      <w:r w:rsidRPr="000C7F13">
        <w:t>předpoklady,</w:t>
      </w:r>
      <w:r>
        <w:t xml:space="preserve"> z </w:t>
      </w:r>
      <w:r w:rsidRPr="000C7F13">
        <w:t>nichž vychází dráha čistých výdajů;</w:t>
      </w:r>
    </w:p>
    <w:p w:rsidR="0076342D" w:rsidRPr="000C7F13" w:rsidRDefault="0076342D" w:rsidP="0076342D">
      <w:pPr>
        <w:pStyle w:val="Point1"/>
        <w:spacing w:line="360" w:lineRule="auto"/>
        <w:ind w:left="1985"/>
        <w:jc w:val="left"/>
        <w:rPr>
          <w:noProof/>
        </w:rPr>
      </w:pPr>
      <w:r w:rsidRPr="000C7F13">
        <w:lastRenderedPageBreak/>
        <w:t>d)</w:t>
      </w:r>
      <w:r w:rsidRPr="000C7F13">
        <w:tab/>
        <w:t>pokrok při provádění reforem</w:t>
      </w:r>
      <w:r>
        <w:t xml:space="preserve"> a </w:t>
      </w:r>
      <w:r w:rsidRPr="000C7F13">
        <w:t>investic, zejména včetně politik</w:t>
      </w:r>
      <w:r>
        <w:t xml:space="preserve"> k </w:t>
      </w:r>
      <w:r w:rsidRPr="000C7F13">
        <w:t>prevenci</w:t>
      </w:r>
      <w:r>
        <w:t xml:space="preserve"> a </w:t>
      </w:r>
      <w:r w:rsidRPr="000C7F13">
        <w:t>nápravě makroekonomických nerovnováh</w:t>
      </w:r>
      <w:r>
        <w:t xml:space="preserve"> a </w:t>
      </w:r>
      <w:r w:rsidRPr="000C7F13">
        <w:t>politik</w:t>
      </w:r>
      <w:r>
        <w:t xml:space="preserve"> k </w:t>
      </w:r>
      <w:r w:rsidRPr="000C7F13">
        <w:t>provádění společné strategie Unie pro růst</w:t>
      </w:r>
      <w:r>
        <w:t xml:space="preserve"> a </w:t>
      </w:r>
      <w:r w:rsidRPr="000C7F13">
        <w:t>zaměstnanost, včetně politik podporovaných</w:t>
      </w:r>
      <w:r>
        <w:t xml:space="preserve"> z </w:t>
      </w:r>
      <w:r w:rsidRPr="000C7F13">
        <w:t xml:space="preserve">nástroje </w:t>
      </w:r>
      <w:proofErr w:type="spellStart"/>
      <w:r w:rsidRPr="000C7F13">
        <w:t>NextGenerationEU</w:t>
      </w:r>
      <w:proofErr w:type="spellEnd"/>
      <w:r w:rsidRPr="000C7F13">
        <w:t>,</w:t>
      </w:r>
      <w:r>
        <w:t xml:space="preserve"> a </w:t>
      </w:r>
      <w:r w:rsidRPr="000C7F13">
        <w:t>celkovou kvalitu veřejných financí, zejména účinnost vnitrostátních rozpočtových rámců;</w:t>
      </w:r>
    </w:p>
    <w:p w:rsidR="0076342D" w:rsidRPr="000C7F13" w:rsidRDefault="00AF4316" w:rsidP="0076342D">
      <w:pPr>
        <w:pStyle w:val="Point1"/>
        <w:spacing w:line="360" w:lineRule="auto"/>
        <w:ind w:left="1985"/>
        <w:jc w:val="left"/>
        <w:rPr>
          <w:noProof/>
        </w:rPr>
      </w:pPr>
      <w:r w:rsidRPr="009108C4">
        <w:rPr>
          <w:b/>
          <w:i/>
        </w:rPr>
        <w:t>da</w:t>
      </w:r>
      <w:r w:rsidR="0076342D" w:rsidRPr="009108C4">
        <w:rPr>
          <w:b/>
          <w:i/>
        </w:rPr>
        <w:t>)</w:t>
      </w:r>
      <w:r w:rsidR="0076342D" w:rsidRPr="000C7F13">
        <w:tab/>
        <w:t>zvýšení vládních investic</w:t>
      </w:r>
      <w:r w:rsidR="0076342D">
        <w:t xml:space="preserve"> do </w:t>
      </w:r>
      <w:r w:rsidR="0076342D" w:rsidRPr="000C7F13">
        <w:t>obrany, případně rovněž</w:t>
      </w:r>
      <w:r w:rsidR="0076342D">
        <w:t xml:space="preserve"> s </w:t>
      </w:r>
      <w:r w:rsidR="0076342D" w:rsidRPr="000C7F13">
        <w:t>ohledem</w:t>
      </w:r>
      <w:r w:rsidR="0076342D">
        <w:t xml:space="preserve"> na </w:t>
      </w:r>
      <w:r w:rsidR="0076342D" w:rsidRPr="000C7F13">
        <w:t>dobu zaznamenání výdajů</w:t>
      </w:r>
      <w:r w:rsidR="0076342D">
        <w:t xml:space="preserve"> na </w:t>
      </w:r>
      <w:r w:rsidR="0076342D" w:rsidRPr="000C7F13">
        <w:t>vojenské vybavení.</w:t>
      </w:r>
    </w:p>
    <w:p w:rsidR="0076342D" w:rsidRPr="000C7F13" w:rsidRDefault="009201E5" w:rsidP="009201E5">
      <w:pPr>
        <w:pStyle w:val="Text1"/>
        <w:spacing w:line="360" w:lineRule="auto"/>
        <w:ind w:left="1418" w:hanging="567"/>
        <w:jc w:val="left"/>
        <w:rPr>
          <w:noProof/>
        </w:rPr>
      </w:pPr>
      <w:r>
        <w:t>4.</w:t>
      </w:r>
      <w:r>
        <w:tab/>
      </w:r>
      <w:r w:rsidR="0076342D" w:rsidRPr="000C7F13">
        <w:t>Komise věnuje patřičnou</w:t>
      </w:r>
      <w:r w:rsidR="0076342D">
        <w:t xml:space="preserve"> a </w:t>
      </w:r>
      <w:r w:rsidR="0076342D" w:rsidRPr="000C7F13">
        <w:t>jednoznačnou pozornost všem ostatním faktorům, které jsou podle názoru dotčeného členského státu významné pro celkové posouzení souladu</w:t>
      </w:r>
      <w:r w:rsidR="0076342D">
        <w:t xml:space="preserve"> s </w:t>
      </w:r>
      <w:r w:rsidR="0076342D" w:rsidRPr="000C7F13">
        <w:t>kritérii schodku</w:t>
      </w:r>
      <w:r w:rsidR="0076342D">
        <w:t xml:space="preserve"> a </w:t>
      </w:r>
      <w:r w:rsidR="0076342D" w:rsidRPr="000C7F13">
        <w:t>dluhu</w:t>
      </w:r>
      <w:r w:rsidR="0076342D">
        <w:t xml:space="preserve"> a </w:t>
      </w:r>
      <w:r w:rsidR="0076342D" w:rsidRPr="000C7F13">
        <w:t>které členský stát sdělil Radě</w:t>
      </w:r>
      <w:r w:rsidR="0076342D">
        <w:t xml:space="preserve"> a </w:t>
      </w:r>
      <w:r w:rsidR="0076342D" w:rsidRPr="000C7F13">
        <w:t>Komisi. V této souvislosti je třeba věnovat zvláštní pozornost finančním příspěvkům</w:t>
      </w:r>
      <w:r w:rsidR="0076342D">
        <w:t xml:space="preserve"> na </w:t>
      </w:r>
      <w:r w:rsidR="0076342D" w:rsidRPr="000C7F13">
        <w:t>podporu mezinárodní solidarity</w:t>
      </w:r>
      <w:r w:rsidR="0076342D">
        <w:t xml:space="preserve"> a </w:t>
      </w:r>
      <w:r w:rsidR="0076342D" w:rsidRPr="000C7F13">
        <w:t>dosažení společných priorit Unie uvedených</w:t>
      </w:r>
      <w:r w:rsidR="0076342D">
        <w:t xml:space="preserve"> v </w:t>
      </w:r>
      <w:r w:rsidR="0076342D" w:rsidRPr="000C7F13">
        <w:t>nařízení (EU) [o preventivní složce].</w:t>
      </w:r>
    </w:p>
    <w:p w:rsidR="0076342D" w:rsidRPr="000C7F13" w:rsidRDefault="0076342D" w:rsidP="009201E5">
      <w:pPr>
        <w:pStyle w:val="Text1"/>
        <w:spacing w:line="360" w:lineRule="auto"/>
        <w:ind w:left="1418"/>
        <w:jc w:val="left"/>
        <w:rPr>
          <w:rFonts w:eastAsia="Times New Roman"/>
          <w:b/>
          <w:bCs/>
          <w:noProof/>
        </w:rPr>
      </w:pPr>
      <w:bookmarkStart w:id="8" w:name="_GoBack"/>
      <w:bookmarkEnd w:id="8"/>
      <w:r w:rsidRPr="000C7F13">
        <w:t>Rada</w:t>
      </w:r>
      <w:r>
        <w:t xml:space="preserve"> a </w:t>
      </w:r>
      <w:r w:rsidRPr="000C7F13">
        <w:t>Komise provedou vyvážené celkové hodnocení všech rozhodujících faktorů, konkrétně</w:t>
      </w:r>
      <w:r>
        <w:t xml:space="preserve"> do </w:t>
      </w:r>
      <w:r w:rsidRPr="000C7F13">
        <w:t>jaké míry tyto faktory působí při posuzování souladu</w:t>
      </w:r>
      <w:r>
        <w:t xml:space="preserve"> s </w:t>
      </w:r>
      <w:r w:rsidRPr="000C7F13">
        <w:t>kritérii schodku nebo dluhu jako negativní nebo pozitivní. Pokud se členský stát potýká</w:t>
      </w:r>
      <w:r>
        <w:t xml:space="preserve"> s </w:t>
      </w:r>
      <w:r w:rsidRPr="000C7F13">
        <w:t>významnými problémy</w:t>
      </w:r>
      <w:r>
        <w:t xml:space="preserve"> s </w:t>
      </w:r>
      <w:r w:rsidRPr="000C7F13">
        <w:t>veřejným dluhem uvedenými</w:t>
      </w:r>
      <w:r>
        <w:t xml:space="preserve"> v </w:t>
      </w:r>
      <w:r w:rsidRPr="000C7F13">
        <w:t>odst. 3 písm. a), považuje se to</w:t>
      </w:r>
      <w:r>
        <w:t xml:space="preserve"> za </w:t>
      </w:r>
      <w:r w:rsidRPr="000C7F13">
        <w:t>klíčový negativní faktor. Příznivý cyklický hospodářský, rozpočtový</w:t>
      </w:r>
      <w:r>
        <w:t xml:space="preserve"> a </w:t>
      </w:r>
      <w:r w:rsidRPr="000C7F13">
        <w:t>finanční vývoj se nepovažuje</w:t>
      </w:r>
      <w:r>
        <w:t xml:space="preserve"> za </w:t>
      </w:r>
      <w:r w:rsidRPr="000C7F13">
        <w:t>pozitivní faktor, zatímco nepříznivý vývoj lze</w:t>
      </w:r>
      <w:r>
        <w:t xml:space="preserve"> za </w:t>
      </w:r>
      <w:r w:rsidRPr="000C7F13">
        <w:t>pozitivní faktor považovat.</w:t>
      </w:r>
    </w:p>
    <w:p w:rsidR="0076342D" w:rsidRPr="000C7F13" w:rsidRDefault="0076342D" w:rsidP="0076342D">
      <w:pPr>
        <w:pStyle w:val="Text1"/>
        <w:spacing w:line="360" w:lineRule="auto"/>
        <w:ind w:left="1418"/>
        <w:jc w:val="left"/>
        <w:rPr>
          <w:noProof/>
          <w:shd w:val="clear" w:color="auto" w:fill="FFFFFF"/>
        </w:rPr>
      </w:pPr>
      <w:r w:rsidRPr="000C7F13">
        <w:t>Pokud při hodnocení souladu</w:t>
      </w:r>
      <w:r>
        <w:t xml:space="preserve"> na </w:t>
      </w:r>
      <w:r w:rsidRPr="000C7F13">
        <w:t>základě kritéria schodku překročí poměr veřejného dluhu</w:t>
      </w:r>
      <w:r>
        <w:t xml:space="preserve"> k </w:t>
      </w:r>
      <w:r w:rsidRPr="000C7F13">
        <w:t>HDP referenční hodnotu, budou tyto faktory zohledněny</w:t>
      </w:r>
      <w:r>
        <w:t xml:space="preserve"> v </w:t>
      </w:r>
      <w:r w:rsidRPr="000C7F13">
        <w:t>postupu vedoucím</w:t>
      </w:r>
      <w:r>
        <w:t xml:space="preserve"> k </w:t>
      </w:r>
      <w:r w:rsidRPr="000C7F13">
        <w:t>rozhodnutí</w:t>
      </w:r>
      <w:r>
        <w:t xml:space="preserve"> o </w:t>
      </w:r>
      <w:r w:rsidRPr="000C7F13">
        <w:t>existenci nadměrného schodku podle čl. 126 odst. 4, 5</w:t>
      </w:r>
      <w:r>
        <w:t xml:space="preserve"> a </w:t>
      </w:r>
      <w:r w:rsidRPr="000C7F13">
        <w:t>6 Smlouvy</w:t>
      </w:r>
      <w:r>
        <w:t xml:space="preserve"> o </w:t>
      </w:r>
      <w:r w:rsidRPr="000C7F13">
        <w:t>fungování EU pouze</w:t>
      </w:r>
      <w:r>
        <w:t xml:space="preserve"> v </w:t>
      </w:r>
      <w:r w:rsidRPr="000C7F13">
        <w:t>případě, že jsou zcela splněny dvě současně platné zásadní podmínky,</w:t>
      </w:r>
      <w:r>
        <w:t xml:space="preserve"> a </w:t>
      </w:r>
      <w:r w:rsidRPr="000C7F13">
        <w:t>to že předtím, než jsou tyto rozhodující faktory zohledněny, zůstává schodek veřejných financí blízko referenční hodnotě</w:t>
      </w:r>
      <w:r>
        <w:t xml:space="preserve"> a </w:t>
      </w:r>
      <w:r w:rsidRPr="000C7F13">
        <w:t>její překročení je dočasné.</w:t>
      </w:r>
    </w:p>
    <w:p w:rsidR="0076342D" w:rsidRPr="000C7F13" w:rsidRDefault="0076342D" w:rsidP="0076342D">
      <w:pPr>
        <w:pStyle w:val="Text1"/>
        <w:spacing w:line="360" w:lineRule="auto"/>
        <w:ind w:left="1418"/>
        <w:jc w:val="left"/>
        <w:rPr>
          <w:noProof/>
        </w:rPr>
      </w:pPr>
      <w:r w:rsidRPr="000C7F13">
        <w:t>Tyto faktory se však</w:t>
      </w:r>
      <w:r>
        <w:t xml:space="preserve"> v </w:t>
      </w:r>
      <w:r w:rsidRPr="000C7F13">
        <w:t>postupu vedoucím</w:t>
      </w:r>
      <w:r>
        <w:t xml:space="preserve"> k </w:t>
      </w:r>
      <w:r w:rsidRPr="000C7F13">
        <w:t>rozhodnutí</w:t>
      </w:r>
      <w:r>
        <w:t xml:space="preserve"> o </w:t>
      </w:r>
      <w:r w:rsidRPr="000C7F13">
        <w:t>existenci nadměrného schodku zohlední při posuzování souladu</w:t>
      </w:r>
      <w:r>
        <w:t xml:space="preserve"> na </w:t>
      </w:r>
      <w:r w:rsidRPr="000C7F13">
        <w:t>základě kritéria dluhu.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5.</w:t>
      </w:r>
      <w:r>
        <w:tab/>
      </w:r>
      <w:r w:rsidRPr="000C7F13">
        <w:t>Pokud se členské státy mohou odchýlit</w:t>
      </w:r>
      <w:r>
        <w:t xml:space="preserve"> od </w:t>
      </w:r>
      <w:r w:rsidRPr="000C7F13">
        <w:t>své dráhy čistých výdajů podle článků 24</w:t>
      </w:r>
      <w:r>
        <w:t xml:space="preserve"> a </w:t>
      </w:r>
      <w:r w:rsidRPr="000C7F13">
        <w:t>25 nařízení (EU) [o preventivní složce], mohou Komise</w:t>
      </w:r>
      <w:r>
        <w:t xml:space="preserve"> a </w:t>
      </w:r>
      <w:r w:rsidRPr="000C7F13">
        <w:t>Rada ve svém posouzení rozhodnout, že</w:t>
      </w:r>
      <w:r>
        <w:t xml:space="preserve"> o </w:t>
      </w:r>
      <w:r w:rsidRPr="000C7F13">
        <w:t>existenci nadměrného schodku nerozhodnou.</w:t>
      </w:r>
    </w:p>
    <w:p w:rsidR="0076342D" w:rsidRDefault="0076342D" w:rsidP="0076342D">
      <w:pPr>
        <w:pStyle w:val="Text1"/>
        <w:spacing w:line="360" w:lineRule="auto"/>
        <w:ind w:left="1418" w:hanging="568"/>
        <w:jc w:val="left"/>
      </w:pPr>
      <w:r>
        <w:lastRenderedPageBreak/>
        <w:t>6.</w:t>
      </w:r>
      <w:r>
        <w:tab/>
      </w:r>
      <w:r w:rsidRPr="000C7F13">
        <w:t>Pokud Rada</w:t>
      </w:r>
      <w:r>
        <w:t xml:space="preserve"> na </w:t>
      </w:r>
      <w:r w:rsidRPr="000C7F13">
        <w:t>základě čl. 126 odst. 6 Smlouvy</w:t>
      </w:r>
      <w:r>
        <w:t xml:space="preserve"> o </w:t>
      </w:r>
      <w:r w:rsidRPr="000C7F13">
        <w:t>fungování EU rozhodne, že</w:t>
      </w:r>
      <w:r>
        <w:t xml:space="preserve"> v </w:t>
      </w:r>
      <w:r w:rsidRPr="000C7F13">
        <w:t>členském státě existuje nadměrný schodek, Rada</w:t>
      </w:r>
      <w:r>
        <w:t xml:space="preserve"> a </w:t>
      </w:r>
      <w:r w:rsidRPr="000C7F13">
        <w:t>Komise</w:t>
      </w:r>
      <w:r>
        <w:t xml:space="preserve"> v </w:t>
      </w:r>
      <w:r w:rsidRPr="000C7F13">
        <w:t>následujících fázích postupu podle uvedeného článku Smlouvy</w:t>
      </w:r>
      <w:r>
        <w:t xml:space="preserve"> o </w:t>
      </w:r>
      <w:r w:rsidRPr="000C7F13">
        <w:t>fungování EU vezmou</w:t>
      </w:r>
      <w:r>
        <w:t xml:space="preserve"> v </w:t>
      </w:r>
      <w:r w:rsidRPr="000C7F13">
        <w:t>úvahu rozhodující faktory uvedené</w:t>
      </w:r>
      <w:r>
        <w:t xml:space="preserve"> v </w:t>
      </w:r>
      <w:r w:rsidRPr="000C7F13">
        <w:t>odstavci 3 tohoto článku, pokud mají vliv</w:t>
      </w:r>
      <w:r>
        <w:t xml:space="preserve"> na </w:t>
      </w:r>
      <w:r w:rsidRPr="000C7F13">
        <w:t>situaci dotčeného členského státu, včetně faktorů uvedených</w:t>
      </w:r>
      <w:r>
        <w:t xml:space="preserve"> v </w:t>
      </w:r>
      <w:r w:rsidRPr="000C7F13">
        <w:t>čl. 5 odst. 2 tohoto nařízení, zejména při stanovování lhůty pro nápravu nadměrného schodku</w:t>
      </w:r>
      <w:r>
        <w:t xml:space="preserve"> a </w:t>
      </w:r>
      <w:r w:rsidRPr="000C7F13">
        <w:t>při případném prodlužování této lhůty. Tyto rozhodující faktory se však neberou</w:t>
      </w:r>
      <w:r>
        <w:t xml:space="preserve"> v </w:t>
      </w:r>
      <w:r w:rsidRPr="000C7F13">
        <w:t>úvahu pro účely rozhodnutí Rady podle čl. 126 odst. 12 Smlouvy</w:t>
      </w:r>
      <w:r>
        <w:t xml:space="preserve"> o </w:t>
      </w:r>
      <w:r w:rsidRPr="000C7F13">
        <w:t>fungování EU</w:t>
      </w:r>
      <w:r>
        <w:t xml:space="preserve"> o </w:t>
      </w:r>
      <w:r w:rsidRPr="000C7F13">
        <w:t>zrušení některých nebo všech jejích rozhodnutí podle čl. 126 odst. 6 až 9</w:t>
      </w:r>
      <w:r>
        <w:t xml:space="preserve"> a </w:t>
      </w:r>
      <w:r w:rsidRPr="000C7F13">
        <w:t>11 Smlouvy</w:t>
      </w:r>
      <w:r>
        <w:t xml:space="preserve"> o </w:t>
      </w:r>
      <w:r w:rsidRPr="000C7F13">
        <w:t>fungování EU.“</w:t>
      </w:r>
    </w:p>
    <w:p w:rsidR="0076342D" w:rsidRDefault="0076342D" w:rsidP="0076342D">
      <w:pPr>
        <w:pStyle w:val="Text1"/>
        <w:spacing w:line="360" w:lineRule="auto"/>
        <w:ind w:firstLine="1"/>
      </w:pPr>
      <w:r>
        <w:t>________________</w:t>
      </w:r>
    </w:p>
    <w:p w:rsidR="0076342D" w:rsidRPr="000C7F13" w:rsidRDefault="0076342D" w:rsidP="0076342D">
      <w:pPr>
        <w:pStyle w:val="Text1"/>
        <w:spacing w:line="360" w:lineRule="auto"/>
        <w:ind w:left="1418" w:hanging="567"/>
        <w:rPr>
          <w:noProof/>
        </w:rPr>
      </w:pPr>
      <w:r w:rsidRPr="001459CE">
        <w:rPr>
          <w:vertAlign w:val="superscript"/>
        </w:rPr>
        <w:t>*</w:t>
      </w:r>
      <w:r>
        <w:t xml:space="preserve"> </w:t>
      </w:r>
      <w:r>
        <w:tab/>
      </w:r>
      <w:r w:rsidRPr="009108C4">
        <w:rPr>
          <w:b/>
          <w:i/>
        </w:rPr>
        <w:t>Nařízení (EU) ) […] ze dne ... [vložte datum] [vložte celý název] (</w:t>
      </w:r>
      <w:proofErr w:type="spellStart"/>
      <w:r w:rsidRPr="009108C4">
        <w:rPr>
          <w:b/>
          <w:i/>
        </w:rPr>
        <w:t>Úř</w:t>
      </w:r>
      <w:proofErr w:type="spellEnd"/>
      <w:r w:rsidRPr="009108C4">
        <w:rPr>
          <w:b/>
          <w:i/>
        </w:rPr>
        <w:t xml:space="preserve">. </w:t>
      </w:r>
      <w:proofErr w:type="spellStart"/>
      <w:proofErr w:type="gramStart"/>
      <w:r w:rsidRPr="009108C4">
        <w:rPr>
          <w:b/>
          <w:i/>
        </w:rPr>
        <w:t>věst</w:t>
      </w:r>
      <w:proofErr w:type="spellEnd"/>
      <w:proofErr w:type="gramEnd"/>
      <w:r w:rsidRPr="009108C4">
        <w:rPr>
          <w:b/>
          <w:i/>
        </w:rPr>
        <w:t>. L ...).</w:t>
      </w:r>
      <w:r>
        <w:t>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2)</w:t>
      </w:r>
      <w:r w:rsidRPr="000C7F13">
        <w:tab/>
        <w:t>Článek 3 se nahrazuje tímto: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  <w:szCs w:val="24"/>
        </w:rPr>
      </w:pPr>
      <w:r w:rsidRPr="000C7F13">
        <w:t>„Článek 3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b/>
          <w:bCs/>
          <w:noProof/>
          <w:u w:val="single"/>
        </w:rPr>
      </w:pPr>
      <w:r w:rsidRPr="000C7F13">
        <w:t>1.</w:t>
      </w:r>
      <w:r>
        <w:tab/>
        <w:t>Do </w:t>
      </w:r>
      <w:r w:rsidRPr="000C7F13">
        <w:t>dvou týdnů poté, co Komise schválí zprávu vydanou podle čl. 126 odst. 3,</w:t>
      </w:r>
      <w:r>
        <w:t xml:space="preserve"> k </w:t>
      </w:r>
      <w:r w:rsidRPr="000C7F13">
        <w:t>ní Hospodářský</w:t>
      </w:r>
      <w:r>
        <w:t xml:space="preserve"> a </w:t>
      </w:r>
      <w:r w:rsidRPr="000C7F13">
        <w:t>finanční výbor podle čl. 126 odst. 4 Smlouvy</w:t>
      </w:r>
      <w:r>
        <w:t xml:space="preserve"> o </w:t>
      </w:r>
      <w:r w:rsidRPr="000C7F13">
        <w:t>fungování EU vypracuje stanovisko.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2.</w:t>
      </w:r>
      <w:r>
        <w:tab/>
      </w:r>
      <w:r w:rsidRPr="000C7F13">
        <w:t>Pokud Komise</w:t>
      </w:r>
      <w:r>
        <w:t xml:space="preserve"> s </w:t>
      </w:r>
      <w:r w:rsidRPr="000C7F13">
        <w:t>plným přihlédnutím ke stanovisku uvedenému</w:t>
      </w:r>
      <w:r>
        <w:t xml:space="preserve"> v </w:t>
      </w:r>
      <w:r w:rsidRPr="000C7F13">
        <w:t>odstavci 1 tohoto článku usoudí, že nadměrný schodek existuje, předloží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126 odst. 5</w:t>
      </w:r>
      <w:r>
        <w:t xml:space="preserve"> a </w:t>
      </w:r>
      <w:r w:rsidRPr="000C7F13">
        <w:t>6 Smlouvy</w:t>
      </w:r>
      <w:r>
        <w:t xml:space="preserve"> o </w:t>
      </w:r>
      <w:r w:rsidRPr="000C7F13">
        <w:t>fungování EU stanovisko</w:t>
      </w:r>
      <w:r>
        <w:t xml:space="preserve"> a </w:t>
      </w:r>
      <w:r w:rsidRPr="000C7F13">
        <w:t>návrh Radě</w:t>
      </w:r>
      <w:r>
        <w:t xml:space="preserve"> a </w:t>
      </w:r>
      <w:r w:rsidRPr="000C7F13">
        <w:t>informuje Evropský parlament</w:t>
      </w:r>
      <w:r>
        <w:t xml:space="preserve"> o </w:t>
      </w:r>
      <w:r w:rsidRPr="000C7F13">
        <w:t>této skutečnosti.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3.</w:t>
      </w:r>
      <w:r>
        <w:tab/>
      </w:r>
      <w:r w:rsidRPr="000C7F13">
        <w:t>Rada rozhodne</w:t>
      </w:r>
      <w:r>
        <w:t xml:space="preserve"> o </w:t>
      </w:r>
      <w:r w:rsidRPr="000C7F13">
        <w:t>existenci nadměrného schodku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6 Smlouvy</w:t>
      </w:r>
      <w:r>
        <w:t xml:space="preserve"> o </w:t>
      </w:r>
      <w:r w:rsidRPr="000C7F13">
        <w:t>fungování EU zpravidla</w:t>
      </w:r>
      <w:r>
        <w:t xml:space="preserve"> do </w:t>
      </w:r>
      <w:r w:rsidRPr="000C7F13">
        <w:t>čtyř měsíců ode dne oznámení podle čl. 3 odst. 2</w:t>
      </w:r>
      <w:r>
        <w:t xml:space="preserve"> a </w:t>
      </w:r>
      <w:r w:rsidRPr="000C7F13">
        <w:t>3 nařízení (ES)</w:t>
      </w:r>
      <w:r>
        <w:t xml:space="preserve"> č. </w:t>
      </w:r>
      <w:r w:rsidRPr="000C7F13">
        <w:t>479/2009. Pokud Rada rozhodne, že nadměrný schodek existuje, podá zároveň doporučení dotčenému členskému státu podle čl. 126 odst. 7 Smlouvy</w:t>
      </w:r>
      <w:r>
        <w:t xml:space="preserve"> o </w:t>
      </w:r>
      <w:r w:rsidRPr="000C7F13">
        <w:t>fungování EU. Rada svá rozhodnutí podle čl. 126 odst. 6 Smlouvy</w:t>
      </w:r>
      <w:r>
        <w:t xml:space="preserve"> o </w:t>
      </w:r>
      <w:r w:rsidRPr="000C7F13">
        <w:t>fungování EU zveřejní.</w:t>
      </w:r>
    </w:p>
    <w:p w:rsidR="0076342D" w:rsidRPr="000C7F13" w:rsidRDefault="0076342D" w:rsidP="00D9396B">
      <w:pPr>
        <w:pStyle w:val="Text1"/>
        <w:spacing w:line="360" w:lineRule="auto"/>
        <w:ind w:left="1418" w:hanging="568"/>
        <w:jc w:val="left"/>
        <w:rPr>
          <w:noProof/>
        </w:rPr>
      </w:pPr>
      <w:r>
        <w:t>4.</w:t>
      </w:r>
      <w:r>
        <w:tab/>
      </w:r>
      <w:r w:rsidRPr="000C7F13">
        <w:t>Doporučení Rady podané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7 Smlouvy</w:t>
      </w:r>
      <w:r>
        <w:t xml:space="preserve"> o </w:t>
      </w:r>
      <w:r w:rsidRPr="000C7F13">
        <w:t xml:space="preserve">fungování EU stanoví nejvýše šestiměsíční lhůtu, během níž má dotčený členský stát přijmout účinná opatření. Pokud to vyžaduje závažnost situace, může být lhůta pro </w:t>
      </w:r>
      <w:r w:rsidRPr="000C7F13">
        <w:lastRenderedPageBreak/>
        <w:t>přijetí účinných opatření stanovena</w:t>
      </w:r>
      <w:r>
        <w:t xml:space="preserve"> na </w:t>
      </w:r>
      <w:r w:rsidRPr="000C7F13">
        <w:t>tři měsíce. Doporučení Rady rovněž stanoví lhůtu pro odstranění nadměrného schodku.</w:t>
      </w:r>
      <w:r w:rsidR="00D9396B">
        <w:t xml:space="preserve"> </w:t>
      </w:r>
      <w:r w:rsidRPr="000C7F13">
        <w:t>Rada ve svém doporučení rovněž požádá členský stát, aby realizoval nápravnou dráhu čistých výdajů, která zajistí, že schodek veřejných financí zůstane pod referenční hodnotou nebo bude ve lhůtě stanovené</w:t>
      </w:r>
      <w:r>
        <w:t xml:space="preserve"> v </w:t>
      </w:r>
      <w:r w:rsidRPr="000C7F13">
        <w:t>doporučení snížen pod referenční hodnotu</w:t>
      </w:r>
      <w:r>
        <w:t xml:space="preserve"> a </w:t>
      </w:r>
      <w:r w:rsidRPr="000C7F13">
        <w:t>udržován pod touto hodnotou.</w:t>
      </w:r>
      <w:r w:rsidR="00D9396B">
        <w:t xml:space="preserve"> </w:t>
      </w:r>
      <w:r w:rsidRPr="000C7F13">
        <w:t>Pokud byl postup při nadměrném schodku zahájen</w:t>
      </w:r>
      <w:r>
        <w:t xml:space="preserve"> na </w:t>
      </w:r>
      <w:r w:rsidRPr="000C7F13">
        <w:t>základě kritéria schodku, je</w:t>
      </w:r>
      <w:r>
        <w:t xml:space="preserve"> v </w:t>
      </w:r>
      <w:r w:rsidRPr="000C7F13">
        <w:t>letech, kdy se očekává, že schodek veřejných financí překročí referenční hodnotu, nápravná dráha čistých výdajů</w:t>
      </w:r>
      <w:r>
        <w:t xml:space="preserve"> v </w:t>
      </w:r>
      <w:r w:rsidRPr="000C7F13">
        <w:t>souladu</w:t>
      </w:r>
      <w:r>
        <w:t xml:space="preserve"> s </w:t>
      </w:r>
      <w:r w:rsidRPr="000C7F13">
        <w:t>minimální každoroční strukturální korekcí ve výši alespoň 0,5 % HDP jako doporučenou hodnotou.</w:t>
      </w:r>
    </w:p>
    <w:p w:rsidR="0076342D" w:rsidRPr="000C7F13" w:rsidRDefault="0076342D" w:rsidP="0076342D">
      <w:pPr>
        <w:pStyle w:val="Text1"/>
        <w:spacing w:line="360" w:lineRule="auto"/>
        <w:ind w:left="1418"/>
        <w:jc w:val="left"/>
        <w:rPr>
          <w:noProof/>
        </w:rPr>
      </w:pPr>
      <w:r w:rsidRPr="000C7F13">
        <w:t>Pokud byl postup při nadměrném schodku zahájen</w:t>
      </w:r>
      <w:r>
        <w:t xml:space="preserve"> na </w:t>
      </w:r>
      <w:r w:rsidRPr="000C7F13">
        <w:t>základě dluhového kritéria, je nápravná dráha čistých výdajů přinejmenším stejně náročná jako dráha čistých výdajů přijatá Radou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článkem 16 nařízení (EU) [o preventivní složce]</w:t>
      </w:r>
      <w:r>
        <w:t xml:space="preserve"> a </w:t>
      </w:r>
      <w:r w:rsidRPr="000C7F13">
        <w:t>ve lhůtě stanovené Radou zpravidla napraví kumulované odchylky kontrolního účtu.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5.</w:t>
      </w:r>
      <w:r>
        <w:tab/>
      </w:r>
      <w:r w:rsidRPr="000C7F13">
        <w:t>Ve lhůtě stanovené</w:t>
      </w:r>
      <w:r>
        <w:t xml:space="preserve"> v </w:t>
      </w:r>
      <w:r w:rsidRPr="000C7F13">
        <w:t>odstavci 4 tohoto článku podá dotčený členský stát Radě</w:t>
      </w:r>
      <w:r>
        <w:t xml:space="preserve"> a </w:t>
      </w:r>
      <w:r w:rsidRPr="000C7F13">
        <w:t>Komisi zprávu</w:t>
      </w:r>
      <w:r>
        <w:t xml:space="preserve"> o </w:t>
      </w:r>
      <w:r w:rsidRPr="000C7F13">
        <w:t>opatřeních přijatých</w:t>
      </w:r>
      <w:r>
        <w:t xml:space="preserve"> v </w:t>
      </w:r>
      <w:r w:rsidRPr="000C7F13">
        <w:t>reakci</w:t>
      </w:r>
      <w:r>
        <w:t xml:space="preserve"> na </w:t>
      </w:r>
      <w:r w:rsidRPr="000C7F13">
        <w:t>doporučení Rady podle čl. 126 odst. 7 Smlouvy</w:t>
      </w:r>
      <w:r>
        <w:t xml:space="preserve"> o </w:t>
      </w:r>
      <w:r w:rsidRPr="000C7F13">
        <w:t>fungování EU. Zpráva obsahuje cíle týkající se veřejných výdajů</w:t>
      </w:r>
      <w:r>
        <w:t xml:space="preserve"> a </w:t>
      </w:r>
      <w:r w:rsidRPr="000C7F13">
        <w:t>příjmů</w:t>
      </w:r>
      <w:r>
        <w:t xml:space="preserve"> a </w:t>
      </w:r>
      <w:r w:rsidRPr="000C7F13">
        <w:t>diskrečních opatření</w:t>
      </w:r>
      <w:r>
        <w:t xml:space="preserve"> na </w:t>
      </w:r>
      <w:r w:rsidRPr="000C7F13">
        <w:t>straně výdajů</w:t>
      </w:r>
      <w:r>
        <w:t xml:space="preserve"> i </w:t>
      </w:r>
      <w:r w:rsidRPr="000C7F13">
        <w:t>příjmů, které jsou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doporučením Rady,</w:t>
      </w:r>
      <w:r>
        <w:t xml:space="preserve"> a </w:t>
      </w:r>
      <w:r w:rsidRPr="000C7F13">
        <w:t>rovněž informace</w:t>
      </w:r>
      <w:r>
        <w:t xml:space="preserve"> o </w:t>
      </w:r>
      <w:r w:rsidRPr="000C7F13">
        <w:t>přijatých opatřeních</w:t>
      </w:r>
      <w:r>
        <w:t xml:space="preserve"> a </w:t>
      </w:r>
      <w:r w:rsidRPr="000C7F13">
        <w:t>charakteru předpokládaných opatření potřebných</w:t>
      </w:r>
      <w:r>
        <w:t xml:space="preserve"> k </w:t>
      </w:r>
      <w:r w:rsidRPr="000C7F13">
        <w:t>dosažení těchto cílů. Členský stát tuto zprávu zveřejní. Členský stát může vyzvat příslušnou nezávislou fiskální instituci, aby vypracovala nezávaznou samostatnou zprávu</w:t>
      </w:r>
      <w:r>
        <w:t xml:space="preserve"> o </w:t>
      </w:r>
      <w:r w:rsidRPr="000C7F13">
        <w:t>dostatečnosti přijatých</w:t>
      </w:r>
      <w:r>
        <w:t xml:space="preserve"> a </w:t>
      </w:r>
      <w:r w:rsidRPr="000C7F13">
        <w:t>plánovaných opatření</w:t>
      </w:r>
      <w:r>
        <w:t xml:space="preserve"> s </w:t>
      </w:r>
      <w:r w:rsidRPr="000C7F13">
        <w:t>ohledem</w:t>
      </w:r>
      <w:r>
        <w:t xml:space="preserve"> na </w:t>
      </w:r>
      <w:r w:rsidRPr="000C7F13">
        <w:t>cíle.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6.</w:t>
      </w:r>
      <w:r>
        <w:tab/>
      </w:r>
      <w:r w:rsidRPr="000C7F13">
        <w:t>Rada může</w:t>
      </w:r>
      <w:r>
        <w:t xml:space="preserve"> na </w:t>
      </w:r>
      <w:r w:rsidRPr="000C7F13">
        <w:t>doporučení Komise rozhodnout</w:t>
      </w:r>
      <w:r>
        <w:t xml:space="preserve"> o </w:t>
      </w:r>
      <w:r w:rsidRPr="000C7F13">
        <w:t>přijetí revidovaného doporučení podle čl. 126 odst. 7 Smlouvy</w:t>
      </w:r>
      <w:r>
        <w:t xml:space="preserve"> o </w:t>
      </w:r>
      <w:r w:rsidRPr="000C7F13">
        <w:t>fungování EU, pokud:</w:t>
      </w:r>
    </w:p>
    <w:p w:rsidR="0076342D" w:rsidRPr="000C7F13" w:rsidRDefault="0076342D" w:rsidP="0076342D">
      <w:pPr>
        <w:pStyle w:val="Text1"/>
        <w:spacing w:line="360" w:lineRule="auto"/>
        <w:ind w:left="1985" w:hanging="567"/>
        <w:jc w:val="left"/>
        <w:rPr>
          <w:noProof/>
        </w:rPr>
      </w:pPr>
      <w:r w:rsidRPr="000C7F13">
        <w:t>a)</w:t>
      </w:r>
      <w:r w:rsidRPr="000C7F13">
        <w:tab/>
        <w:t>v reakci</w:t>
      </w:r>
      <w:r>
        <w:t xml:space="preserve"> na </w:t>
      </w:r>
      <w:r w:rsidRPr="000C7F13">
        <w:t>toto doporučení byla přijata účinná opatření</w:t>
      </w:r>
      <w:r>
        <w:t xml:space="preserve"> a </w:t>
      </w:r>
      <w:r w:rsidRPr="000C7F13">
        <w:t>použijí se podmínky uvedené</w:t>
      </w:r>
      <w:r>
        <w:t xml:space="preserve"> v </w:t>
      </w:r>
      <w:r w:rsidRPr="000C7F13">
        <w:t>článku 25 nařízení (EU) [o preventivní složce] nebo</w:t>
      </w:r>
    </w:p>
    <w:p w:rsidR="0076342D" w:rsidRPr="000C7F13" w:rsidRDefault="0076342D" w:rsidP="0076342D">
      <w:pPr>
        <w:pStyle w:val="Text1"/>
        <w:spacing w:line="360" w:lineRule="auto"/>
        <w:ind w:left="1985" w:hanging="567"/>
        <w:jc w:val="left"/>
        <w:rPr>
          <w:noProof/>
        </w:rPr>
      </w:pPr>
      <w:r w:rsidRPr="000C7F13">
        <w:t>b)</w:t>
      </w:r>
      <w:r w:rsidRPr="000C7F13">
        <w:tab/>
        <w:t>použijí se podmínky uvedené</w:t>
      </w:r>
      <w:r>
        <w:t xml:space="preserve"> v </w:t>
      </w:r>
      <w:r w:rsidRPr="000C7F13">
        <w:t>článku 24 nařízení (EU) [o preventivní složce].</w:t>
      </w:r>
    </w:p>
    <w:p w:rsidR="0076342D" w:rsidRPr="000C7F13" w:rsidRDefault="0076342D" w:rsidP="0076342D">
      <w:pPr>
        <w:pStyle w:val="Text1"/>
        <w:spacing w:line="360" w:lineRule="auto"/>
        <w:ind w:left="1418"/>
        <w:jc w:val="left"/>
        <w:rPr>
          <w:noProof/>
        </w:rPr>
      </w:pPr>
      <w:r w:rsidRPr="000C7F13">
        <w:lastRenderedPageBreak/>
        <w:t>Revidované doporučení může zejména prodloužit lhůtu pro odstranění nadměrného schodku zpravidla</w:t>
      </w:r>
      <w:r>
        <w:t xml:space="preserve"> o </w:t>
      </w:r>
      <w:r w:rsidRPr="000C7F13">
        <w:t>jeden rok.“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3)</w:t>
      </w:r>
      <w:r w:rsidRPr="000C7F13">
        <w:tab/>
        <w:t>Článek 4 se nahrazuje tímto: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  <w:szCs w:val="24"/>
        </w:rPr>
      </w:pPr>
      <w:r w:rsidRPr="000C7F13">
        <w:t>„Článek 4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1.</w:t>
      </w:r>
      <w:r>
        <w:tab/>
      </w:r>
      <w:r w:rsidRPr="000C7F13">
        <w:t>Rada při zvažování, zda byla</w:t>
      </w:r>
      <w:r>
        <w:t xml:space="preserve"> v </w:t>
      </w:r>
      <w:r w:rsidRPr="000C7F13">
        <w:t>reakci</w:t>
      </w:r>
      <w:r>
        <w:t xml:space="preserve"> na </w:t>
      </w:r>
      <w:r w:rsidRPr="000C7F13">
        <w:t>její doporučení vydaná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7 Smlouvy</w:t>
      </w:r>
      <w:r>
        <w:t xml:space="preserve"> o </w:t>
      </w:r>
      <w:r w:rsidRPr="000C7F13">
        <w:t>fungování EU přijata účinná opatření, vychází při svém rozhodování ze zprávy předložené dotčeným členským státem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3 odst. 5 tohoto nařízení</w:t>
      </w:r>
      <w:r>
        <w:t xml:space="preserve"> a z </w:t>
      </w:r>
      <w:r w:rsidRPr="000C7F13">
        <w:t>jejího provádění</w:t>
      </w:r>
      <w:r>
        <w:t xml:space="preserve"> a </w:t>
      </w:r>
      <w:r w:rsidRPr="000C7F13">
        <w:t>rovněž</w:t>
      </w:r>
      <w:r>
        <w:t xml:space="preserve"> z </w:t>
      </w:r>
      <w:r w:rsidRPr="000C7F13">
        <w:t>veřejně oznámených</w:t>
      </w:r>
      <w:r>
        <w:t xml:space="preserve"> a </w:t>
      </w:r>
      <w:r w:rsidRPr="000C7F13">
        <w:t>dostatečně podrobných rozhodnutí vlády dotčeného členského státu.</w:t>
      </w:r>
    </w:p>
    <w:p w:rsidR="0076342D" w:rsidRPr="000C7F13" w:rsidRDefault="0076342D" w:rsidP="0076342D">
      <w:pPr>
        <w:pStyle w:val="Text1"/>
        <w:spacing w:line="360" w:lineRule="auto"/>
        <w:ind w:left="1418"/>
        <w:jc w:val="left"/>
        <w:rPr>
          <w:noProof/>
        </w:rPr>
      </w:pPr>
      <w:r w:rsidRPr="000C7F13">
        <w:t>Pokud Rada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8 Smlouvy</w:t>
      </w:r>
      <w:r>
        <w:t xml:space="preserve"> o </w:t>
      </w:r>
      <w:r w:rsidRPr="000C7F13">
        <w:t>fungování EU zjistí, že dotčený členský stát nepřijal účinná opatření, podá</w:t>
      </w:r>
      <w:r>
        <w:t xml:space="preserve"> o </w:t>
      </w:r>
      <w:r w:rsidRPr="000C7F13">
        <w:t>tom zprávu Evropské radě.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2.</w:t>
      </w:r>
      <w:r>
        <w:tab/>
      </w:r>
      <w:r w:rsidRPr="000C7F13">
        <w:t>Jestliže se zjistí, že nebyla přijata žádná účinná opatření, učiní Rada své případné rozhodnutí podle 126 odst. 8 Smlouvy</w:t>
      </w:r>
      <w:r>
        <w:t xml:space="preserve"> o </w:t>
      </w:r>
      <w:r w:rsidRPr="000C7F13">
        <w:t>fungování EU zveřejnit přijatá doporučení neprodleně po uplynutí lhůty stanovené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3 odst. 4 tohoto nařízení.“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4)</w:t>
      </w:r>
      <w:r w:rsidRPr="000C7F13">
        <w:tab/>
        <w:t>Článek 5 se mění takto:</w:t>
      </w:r>
    </w:p>
    <w:p w:rsidR="0076342D" w:rsidRPr="000C7F13" w:rsidRDefault="0076342D" w:rsidP="0076342D">
      <w:pPr>
        <w:pStyle w:val="Point1"/>
        <w:spacing w:line="360" w:lineRule="auto"/>
        <w:rPr>
          <w:noProof/>
        </w:rPr>
      </w:pPr>
      <w:r w:rsidRPr="000C7F13">
        <w:t>a)</w:t>
      </w:r>
      <w:r w:rsidRPr="000C7F13">
        <w:tab/>
        <w:t>odstavec 1 se nahrazuje tímto:</w:t>
      </w:r>
    </w:p>
    <w:p w:rsidR="0076342D" w:rsidRPr="000C7F13" w:rsidRDefault="0076342D" w:rsidP="0076342D">
      <w:pPr>
        <w:pStyle w:val="Text2"/>
        <w:spacing w:line="360" w:lineRule="auto"/>
        <w:ind w:left="1985" w:hanging="568"/>
        <w:jc w:val="left"/>
        <w:rPr>
          <w:noProof/>
        </w:rPr>
      </w:pPr>
      <w:r>
        <w:t>„1.</w:t>
      </w:r>
      <w:r>
        <w:tab/>
      </w:r>
      <w:r w:rsidRPr="000C7F13">
        <w:t>Případné rozhodnutí Rady podle čl. 126 odst. 9 Smlouvy</w:t>
      </w:r>
      <w:r>
        <w:t xml:space="preserve"> o </w:t>
      </w:r>
      <w:r w:rsidRPr="000C7F13">
        <w:t>fungování EU vyzývající dotčený zúčastněný členský stát, aby přijal opatření ke snížení nadměrného schodku, se přijme</w:t>
      </w:r>
      <w:r>
        <w:t xml:space="preserve"> do </w:t>
      </w:r>
      <w:r w:rsidRPr="000C7F13">
        <w:t>dvou měsíců</w:t>
      </w:r>
      <w:r>
        <w:t xml:space="preserve"> od </w:t>
      </w:r>
      <w:r w:rsidRPr="000C7F13">
        <w:t>rozhodnutí Rady podle čl. 126 odst. 8 Smlouvy</w:t>
      </w:r>
      <w:r>
        <w:t xml:space="preserve"> o </w:t>
      </w:r>
      <w:r w:rsidRPr="000C7F13">
        <w:t>fungování EU</w:t>
      </w:r>
      <w:r>
        <w:t xml:space="preserve"> o </w:t>
      </w:r>
      <w:r w:rsidRPr="000C7F13">
        <w:t>tom, že nebyla přijata žádná účinná opatření. Ve výzvě Rada členský stát požádá, aby realizoval nápravnou dráhu čistých výdajů</w:t>
      </w:r>
      <w:r>
        <w:t xml:space="preserve"> v </w:t>
      </w:r>
      <w:r w:rsidRPr="000C7F13">
        <w:t>souladu</w:t>
      </w:r>
      <w:r>
        <w:t xml:space="preserve"> s </w:t>
      </w:r>
      <w:r w:rsidRPr="000C7F13">
        <w:t>požadavky stanovenými</w:t>
      </w:r>
      <w:r>
        <w:t xml:space="preserve"> v </w:t>
      </w:r>
      <w:r w:rsidRPr="000C7F13">
        <w:t>čl. 3 odst. 4. Rada rovněž uvede opatření přispívající</w:t>
      </w:r>
      <w:r>
        <w:t xml:space="preserve"> k </w:t>
      </w:r>
      <w:r w:rsidRPr="000C7F13">
        <w:t>dosažení nápravné dráhy čistých výdajů.“;</w:t>
      </w:r>
    </w:p>
    <w:p w:rsidR="0076342D" w:rsidRPr="000C7F13" w:rsidRDefault="0076342D" w:rsidP="0076342D">
      <w:pPr>
        <w:pStyle w:val="Text2"/>
        <w:spacing w:line="360" w:lineRule="auto"/>
        <w:ind w:hanging="566"/>
        <w:rPr>
          <w:noProof/>
        </w:rPr>
      </w:pPr>
      <w:r w:rsidRPr="000C7F13">
        <w:t>b)</w:t>
      </w:r>
      <w:r w:rsidRPr="000C7F13">
        <w:tab/>
        <w:t>odstavec 2 se nahrazuje tímto:</w:t>
      </w:r>
    </w:p>
    <w:p w:rsidR="0076342D" w:rsidRPr="000C7F13" w:rsidRDefault="0076342D" w:rsidP="0076342D">
      <w:pPr>
        <w:spacing w:before="120" w:after="120" w:line="360" w:lineRule="auto"/>
        <w:ind w:left="1985" w:hanging="545"/>
        <w:rPr>
          <w:noProof/>
        </w:rPr>
      </w:pPr>
      <w:r>
        <w:t>„2.</w:t>
      </w:r>
      <w:r>
        <w:tab/>
      </w:r>
      <w:r w:rsidRPr="000C7F13">
        <w:t>Rada může</w:t>
      </w:r>
      <w:r>
        <w:t xml:space="preserve"> na </w:t>
      </w:r>
      <w:r w:rsidRPr="000C7F13">
        <w:t>doporučení Komise rozhodnout</w:t>
      </w:r>
      <w:r>
        <w:t xml:space="preserve"> o </w:t>
      </w:r>
      <w:r w:rsidRPr="000C7F13">
        <w:t>přijetí revidované výzvy podle čl. 126 odst. 9 Smlouvy</w:t>
      </w:r>
      <w:r>
        <w:t xml:space="preserve"> o </w:t>
      </w:r>
      <w:r w:rsidRPr="000C7F13">
        <w:t>fungování EU, pokud:</w:t>
      </w:r>
    </w:p>
    <w:p w:rsidR="0076342D" w:rsidRPr="000C7F13" w:rsidRDefault="0076342D" w:rsidP="0076342D">
      <w:pPr>
        <w:spacing w:before="120" w:after="120" w:line="360" w:lineRule="auto"/>
        <w:ind w:left="2552" w:hanging="567"/>
        <w:rPr>
          <w:noProof/>
        </w:rPr>
      </w:pPr>
      <w:r w:rsidRPr="000C7F13">
        <w:t>a)</w:t>
      </w:r>
      <w:r w:rsidRPr="000C7F13">
        <w:tab/>
        <w:t>v reakci</w:t>
      </w:r>
      <w:r>
        <w:t xml:space="preserve"> na </w:t>
      </w:r>
      <w:r w:rsidRPr="000C7F13">
        <w:t>tuto výzvu byla přijata účinná opatření</w:t>
      </w:r>
      <w:r>
        <w:t xml:space="preserve"> a </w:t>
      </w:r>
      <w:r w:rsidRPr="000C7F13">
        <w:t xml:space="preserve">použijí se </w:t>
      </w:r>
      <w:r w:rsidRPr="000C7F13">
        <w:lastRenderedPageBreak/>
        <w:t>podmínky uvedené</w:t>
      </w:r>
      <w:r>
        <w:t xml:space="preserve"> v </w:t>
      </w:r>
      <w:r w:rsidRPr="000C7F13">
        <w:t>článku 25 nařízení (EU) [o preventivní složce] nebo</w:t>
      </w:r>
    </w:p>
    <w:p w:rsidR="0076342D" w:rsidRPr="000C7F13" w:rsidRDefault="0076342D" w:rsidP="0076342D">
      <w:pPr>
        <w:spacing w:before="120" w:after="120" w:line="360" w:lineRule="auto"/>
        <w:ind w:left="2552" w:hanging="567"/>
        <w:rPr>
          <w:noProof/>
        </w:rPr>
      </w:pPr>
      <w:r w:rsidRPr="000C7F13">
        <w:t>b)</w:t>
      </w:r>
      <w:r w:rsidRPr="000C7F13">
        <w:tab/>
        <w:t>použijí se podmínky uvedené</w:t>
      </w:r>
      <w:r>
        <w:t xml:space="preserve"> v </w:t>
      </w:r>
      <w:r w:rsidRPr="000C7F13">
        <w:t>článku 24 nařízení (EU) [o preventivní složce].</w:t>
      </w:r>
    </w:p>
    <w:p w:rsidR="0076342D" w:rsidRPr="000C7F13" w:rsidRDefault="0076342D" w:rsidP="0076342D">
      <w:pPr>
        <w:spacing w:before="120" w:after="120" w:line="360" w:lineRule="auto"/>
        <w:ind w:left="1701"/>
        <w:rPr>
          <w:noProof/>
        </w:rPr>
      </w:pPr>
      <w:r w:rsidRPr="000C7F13">
        <w:t>Revidovaná výzva může zejména prodloužit lhůtu pro odstranění nadměrného schodku zpravidla</w:t>
      </w:r>
      <w:r>
        <w:t xml:space="preserve"> o </w:t>
      </w:r>
      <w:r w:rsidRPr="000C7F13">
        <w:t>jeden rok.“</w:t>
      </w:r>
    </w:p>
    <w:p w:rsidR="0076342D" w:rsidRPr="000C7F13" w:rsidRDefault="0076342D" w:rsidP="0076342D">
      <w:pPr>
        <w:pStyle w:val="Point0"/>
        <w:spacing w:line="360" w:lineRule="auto"/>
        <w:jc w:val="left"/>
        <w:rPr>
          <w:noProof/>
        </w:rPr>
      </w:pPr>
      <w:r w:rsidRPr="000C7F13">
        <w:t>5)</w:t>
      </w:r>
      <w:r w:rsidRPr="000C7F13">
        <w:tab/>
        <w:t>V článku 6 se odstavec 1 nahrazuje tímto:</w:t>
      </w:r>
    </w:p>
    <w:p w:rsidR="0076342D" w:rsidRPr="000C7F13" w:rsidRDefault="0076342D" w:rsidP="0076342D">
      <w:pPr>
        <w:pStyle w:val="ListParagraph"/>
        <w:spacing w:line="360" w:lineRule="auto"/>
        <w:ind w:left="1418" w:hanging="567"/>
        <w:jc w:val="left"/>
        <w:rPr>
          <w:noProof/>
        </w:rPr>
      </w:pPr>
      <w:r>
        <w:t>„1.</w:t>
      </w:r>
      <w:r>
        <w:tab/>
      </w:r>
      <w:r w:rsidRPr="000C7F13">
        <w:t>Rada při zvažování, zda byla</w:t>
      </w:r>
      <w:r>
        <w:t xml:space="preserve"> v </w:t>
      </w:r>
      <w:r w:rsidRPr="000C7F13">
        <w:t>reakci</w:t>
      </w:r>
      <w:r>
        <w:t xml:space="preserve"> na </w:t>
      </w:r>
      <w:r w:rsidRPr="000C7F13">
        <w:t>její výzvu vydanou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9 Smlouvy</w:t>
      </w:r>
      <w:r>
        <w:t xml:space="preserve"> o </w:t>
      </w:r>
      <w:r w:rsidRPr="000C7F13">
        <w:t>fungování EU přijata účinná opatření, vychází při svém rozhodování ze zprávy předložené dotčeným členským státem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5 odst. 1a tohoto nařízení</w:t>
      </w:r>
      <w:r>
        <w:t xml:space="preserve"> a z </w:t>
      </w:r>
      <w:r w:rsidRPr="000C7F13">
        <w:t>jejího provádění</w:t>
      </w:r>
      <w:r>
        <w:t xml:space="preserve"> a </w:t>
      </w:r>
      <w:r w:rsidRPr="000C7F13">
        <w:t>rovněž</w:t>
      </w:r>
      <w:r>
        <w:t xml:space="preserve"> z </w:t>
      </w:r>
      <w:r w:rsidRPr="000C7F13">
        <w:t>veřejně oznámených</w:t>
      </w:r>
      <w:r>
        <w:t xml:space="preserve"> a </w:t>
      </w:r>
      <w:r w:rsidRPr="000C7F13">
        <w:t>dostatečně podrobných rozhodnutí vlády dotčeného členského státu. Zohledňuje se výsledek kontrolní mise vykonané Komisí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článkem 10a tohoto nařízení.“</w:t>
      </w:r>
    </w:p>
    <w:p w:rsidR="0076342D" w:rsidRPr="000C7F13" w:rsidRDefault="0076342D" w:rsidP="0076342D">
      <w:pPr>
        <w:pStyle w:val="ListParagraph"/>
        <w:spacing w:line="360" w:lineRule="auto"/>
        <w:ind w:left="851" w:hanging="851"/>
        <w:rPr>
          <w:noProof/>
        </w:rPr>
      </w:pPr>
      <w:r w:rsidRPr="000C7F13">
        <w:t>6)</w:t>
      </w:r>
      <w:r w:rsidRPr="000C7F13">
        <w:tab/>
        <w:t>Článek 8 se nahrazuje tímto: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  <w:szCs w:val="24"/>
        </w:rPr>
      </w:pPr>
      <w:r w:rsidRPr="000C7F13">
        <w:t>„Článek 8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1.</w:t>
      </w:r>
      <w:r>
        <w:tab/>
      </w:r>
      <w:r w:rsidRPr="000C7F13">
        <w:t>Případné rozhodnutí Rady podle čl. 126 odst. 11 Smlouvy</w:t>
      </w:r>
      <w:r>
        <w:t xml:space="preserve"> o </w:t>
      </w:r>
      <w:r w:rsidRPr="000C7F13">
        <w:t>fungování EU</w:t>
      </w:r>
      <w:r>
        <w:t xml:space="preserve"> o </w:t>
      </w:r>
      <w:r w:rsidRPr="000C7F13">
        <w:t>zesílení sankcí se přijme nejpozději</w:t>
      </w:r>
      <w:r>
        <w:t xml:space="preserve"> do </w:t>
      </w:r>
      <w:r w:rsidRPr="000C7F13">
        <w:t>dvou měsíců ode dne oznámení podle nařízení (ES)</w:t>
      </w:r>
      <w:r>
        <w:t xml:space="preserve"> č. </w:t>
      </w:r>
      <w:r w:rsidRPr="000C7F13">
        <w:t>479/2009.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2.</w:t>
      </w:r>
      <w:r>
        <w:tab/>
      </w:r>
      <w:r w:rsidRPr="000C7F13">
        <w:t>Případné rozhodnutí Rady podle čl. 126 odst. 12 Smlouvy</w:t>
      </w:r>
      <w:r>
        <w:t xml:space="preserve"> o </w:t>
      </w:r>
      <w:r w:rsidRPr="000C7F13">
        <w:t>fungování EU zrušit některá nebo všechna svá rozhodnutí se přijme co nejdříve,</w:t>
      </w:r>
      <w:r>
        <w:t xml:space="preserve"> v </w:t>
      </w:r>
      <w:r w:rsidRPr="000C7F13">
        <w:t>každém případě však nejpozději</w:t>
      </w:r>
      <w:r>
        <w:t xml:space="preserve"> do </w:t>
      </w:r>
      <w:r w:rsidRPr="000C7F13">
        <w:t>dvou měsíců ode dne oznámení podle nařízení (ES)</w:t>
      </w:r>
      <w:r>
        <w:t xml:space="preserve"> č. </w:t>
      </w:r>
      <w:r w:rsidRPr="000C7F13">
        <w:t>479/2009.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3.</w:t>
      </w:r>
      <w:r>
        <w:tab/>
      </w:r>
      <w:r w:rsidRPr="000C7F13">
        <w:t>Rozhodnutí Rady podle čl. 126 odst. 12 Smlouvy</w:t>
      </w:r>
      <w:r>
        <w:t xml:space="preserve"> o </w:t>
      </w:r>
      <w:r w:rsidRPr="000C7F13">
        <w:t>fungování EU se přijme pouze tehdy, pokud byl schodek snížen pod referenční hodnotu</w:t>
      </w:r>
      <w:r>
        <w:t xml:space="preserve"> a </w:t>
      </w:r>
      <w:r w:rsidRPr="000C7F13">
        <w:t>podle prognóz Komise má pod referenční hodnotou</w:t>
      </w:r>
      <w:r>
        <w:t xml:space="preserve"> v </w:t>
      </w:r>
      <w:r w:rsidRPr="000C7F13">
        <w:t>běžném</w:t>
      </w:r>
      <w:r>
        <w:t xml:space="preserve"> a </w:t>
      </w:r>
      <w:r w:rsidRPr="000C7F13">
        <w:t>následujícím roce zůstat</w:t>
      </w:r>
      <w:r>
        <w:t xml:space="preserve"> a </w:t>
      </w:r>
      <w:r w:rsidRPr="000C7F13">
        <w:t>pokud</w:t>
      </w:r>
      <w:r>
        <w:t xml:space="preserve"> v </w:t>
      </w:r>
      <w:r w:rsidRPr="000C7F13">
        <w:t>případě, že byl postup při nadměrném schodku zahájen</w:t>
      </w:r>
      <w:r>
        <w:t xml:space="preserve"> na </w:t>
      </w:r>
      <w:r w:rsidRPr="000C7F13">
        <w:t>základě dluhového kritéria, dotčený členský stát dodržel nápravnou dráhu čistých výdajů stanovenou Radou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3 odst. 4 nebo čl. 5 odst. 1 tohoto nařízení.“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7)</w:t>
      </w:r>
      <w:r w:rsidRPr="000C7F13">
        <w:tab/>
        <w:t>V článku 9 se odstavec 1 nahrazuje tímto:</w:t>
      </w:r>
    </w:p>
    <w:p w:rsidR="0076342D" w:rsidRPr="000C7F13" w:rsidRDefault="0076342D" w:rsidP="0076342D">
      <w:pPr>
        <w:pStyle w:val="ListParagraph"/>
        <w:spacing w:line="360" w:lineRule="auto"/>
        <w:rPr>
          <w:noProof/>
        </w:rPr>
      </w:pPr>
      <w:r>
        <w:lastRenderedPageBreak/>
        <w:t>„1.</w:t>
      </w:r>
      <w:r>
        <w:tab/>
      </w:r>
      <w:r w:rsidRPr="000C7F13">
        <w:t>Postup při nadměrném schodku se pozastaví,</w:t>
      </w:r>
    </w:p>
    <w:p w:rsidR="0076342D" w:rsidRPr="000C7F13" w:rsidRDefault="0076342D" w:rsidP="0076342D">
      <w:pPr>
        <w:pStyle w:val="Point2"/>
        <w:spacing w:line="360" w:lineRule="auto"/>
        <w:jc w:val="left"/>
        <w:rPr>
          <w:noProof/>
        </w:rPr>
      </w:pPr>
      <w:r w:rsidRPr="000C7F13">
        <w:t>a)</w:t>
      </w:r>
      <w:r w:rsidRPr="000C7F13">
        <w:tab/>
        <w:t>pokud dotčený členský stát jedná podle doporučení podaných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7 Smlouvy</w:t>
      </w:r>
      <w:r>
        <w:t xml:space="preserve"> o </w:t>
      </w:r>
      <w:r w:rsidRPr="000C7F13">
        <w:t>fungování EU;</w:t>
      </w:r>
    </w:p>
    <w:p w:rsidR="0076342D" w:rsidRPr="000C7F13" w:rsidRDefault="0076342D" w:rsidP="0076342D">
      <w:pPr>
        <w:pStyle w:val="Point2"/>
        <w:spacing w:line="360" w:lineRule="auto"/>
        <w:jc w:val="left"/>
        <w:rPr>
          <w:noProof/>
        </w:rPr>
      </w:pPr>
      <w:r w:rsidRPr="000C7F13">
        <w:t>b)</w:t>
      </w:r>
      <w:r w:rsidRPr="000C7F13">
        <w:tab/>
        <w:t>pokud dotčený zúčastněný členský stát jedná podle výzev vydaných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9 Smlouvy</w:t>
      </w:r>
      <w:r>
        <w:t xml:space="preserve"> o </w:t>
      </w:r>
      <w:r w:rsidRPr="000C7F13">
        <w:t>fungování EU.“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8)</w:t>
      </w:r>
      <w:r w:rsidRPr="000C7F13">
        <w:tab/>
        <w:t>Článek 10 se nahrazuje tímto: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  <w:szCs w:val="24"/>
        </w:rPr>
      </w:pPr>
      <w:r w:rsidRPr="000C7F13">
        <w:t>„Článek 10</w:t>
      </w:r>
    </w:p>
    <w:p w:rsidR="0076342D" w:rsidRPr="000C7F13" w:rsidRDefault="0076342D" w:rsidP="0076342D">
      <w:pPr>
        <w:pStyle w:val="Text1"/>
        <w:spacing w:line="360" w:lineRule="auto"/>
        <w:rPr>
          <w:noProof/>
        </w:rPr>
      </w:pPr>
      <w:r>
        <w:t>1.</w:t>
      </w:r>
      <w:r>
        <w:tab/>
      </w:r>
      <w:r w:rsidRPr="000C7F13">
        <w:t>Rada</w:t>
      </w:r>
      <w:r>
        <w:t xml:space="preserve"> a </w:t>
      </w:r>
      <w:r w:rsidRPr="000C7F13">
        <w:t>Komise pravidelně sledují provádění opatření:</w:t>
      </w:r>
    </w:p>
    <w:p w:rsidR="0076342D" w:rsidRPr="000C7F13" w:rsidRDefault="0076342D" w:rsidP="0076342D">
      <w:pPr>
        <w:pStyle w:val="Text1"/>
        <w:spacing w:line="360" w:lineRule="auto"/>
        <w:ind w:left="1985" w:hanging="567"/>
        <w:jc w:val="left"/>
        <w:rPr>
          <w:noProof/>
        </w:rPr>
      </w:pPr>
      <w:r>
        <w:t>–</w:t>
      </w:r>
      <w:r>
        <w:tab/>
      </w:r>
      <w:r w:rsidRPr="000C7F13">
        <w:t>která dotčený členský stát učiní</w:t>
      </w:r>
      <w:r>
        <w:t xml:space="preserve"> v </w:t>
      </w:r>
      <w:r w:rsidRPr="000C7F13">
        <w:t>reakci</w:t>
      </w:r>
      <w:r>
        <w:t xml:space="preserve"> na </w:t>
      </w:r>
      <w:r w:rsidRPr="000C7F13">
        <w:t>doporučení podaná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7 Smlouvy</w:t>
      </w:r>
      <w:r>
        <w:t xml:space="preserve"> o </w:t>
      </w:r>
      <w:r w:rsidRPr="000C7F13">
        <w:t>fungování EU,</w:t>
      </w:r>
    </w:p>
    <w:p w:rsidR="0076342D" w:rsidRPr="000C7F13" w:rsidRDefault="0076342D" w:rsidP="0076342D">
      <w:pPr>
        <w:pStyle w:val="Text1"/>
        <w:spacing w:line="360" w:lineRule="auto"/>
        <w:ind w:left="1985" w:hanging="567"/>
        <w:jc w:val="left"/>
        <w:rPr>
          <w:noProof/>
        </w:rPr>
      </w:pPr>
      <w:r>
        <w:t>–</w:t>
      </w:r>
      <w:r>
        <w:tab/>
      </w:r>
      <w:r w:rsidRPr="000C7F13">
        <w:t>která dotčený členský stát učiní</w:t>
      </w:r>
      <w:r>
        <w:t xml:space="preserve"> v </w:t>
      </w:r>
      <w:r w:rsidRPr="000C7F13">
        <w:t>reakci</w:t>
      </w:r>
      <w:r>
        <w:t xml:space="preserve"> na </w:t>
      </w:r>
      <w:r w:rsidRPr="000C7F13">
        <w:t>výzvy vydané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9 Smlouvy</w:t>
      </w:r>
      <w:r>
        <w:t xml:space="preserve"> o </w:t>
      </w:r>
      <w:r w:rsidRPr="000C7F13">
        <w:t>fungování EU.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2.</w:t>
      </w:r>
      <w:r>
        <w:tab/>
      </w:r>
      <w:r w:rsidRPr="000C7F13">
        <w:t>Pokud zúčastněný členský stát potřebná opatření neprovádí nebo pokud podle názoru Rady nejsou prováděná opatření dostatečná, Rada okamžitě přijme rozhodnutí podle čl. 126 odst. 9 nebo 11 Smlouvy</w:t>
      </w:r>
      <w:r>
        <w:t xml:space="preserve"> o </w:t>
      </w:r>
      <w:r w:rsidRPr="000C7F13">
        <w:t>fungování EU.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3.</w:t>
      </w:r>
      <w:r>
        <w:tab/>
      </w:r>
      <w:r w:rsidRPr="000C7F13">
        <w:t>Pokud aktuální údaje sdělené podle nařízení (ES)</w:t>
      </w:r>
      <w:r>
        <w:t xml:space="preserve"> č. </w:t>
      </w:r>
      <w:r w:rsidRPr="000C7F13">
        <w:t>479/2009 ukazují, že nadměrný schodek nebyl odstraněn ve lhůtách stanovených buď doporučeními podanými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7 Smlouvy</w:t>
      </w:r>
      <w:r>
        <w:t xml:space="preserve"> o </w:t>
      </w:r>
      <w:r w:rsidRPr="000C7F13">
        <w:t>fungování EU, nebo výzvami vydanými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9 Smlouvy</w:t>
      </w:r>
      <w:r>
        <w:t xml:space="preserve"> o </w:t>
      </w:r>
      <w:r w:rsidRPr="000C7F13">
        <w:t>fungování EU, přijme Rada okamžitě rozhodnutí podle čl. 126 odst. 9 nebo 11 Smlouvy</w:t>
      </w:r>
      <w:r>
        <w:t xml:space="preserve"> o </w:t>
      </w:r>
      <w:r w:rsidRPr="000C7F13">
        <w:t>fungování EU.“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9)</w:t>
      </w:r>
      <w:r w:rsidRPr="000C7F13">
        <w:tab/>
        <w:t>Článek 10a se mění takto:</w:t>
      </w:r>
    </w:p>
    <w:p w:rsidR="0076342D" w:rsidRPr="000C7F13" w:rsidRDefault="0076342D" w:rsidP="0076342D">
      <w:pPr>
        <w:pStyle w:val="Point1"/>
        <w:spacing w:line="360" w:lineRule="auto"/>
        <w:rPr>
          <w:noProof/>
        </w:rPr>
      </w:pPr>
      <w:r w:rsidRPr="000C7F13">
        <w:t>a)</w:t>
      </w:r>
      <w:r w:rsidRPr="000C7F13">
        <w:tab/>
        <w:t>odstavec 1 se nahrazuje tímto:</w:t>
      </w:r>
    </w:p>
    <w:p w:rsidR="0076342D" w:rsidRPr="000C7F13" w:rsidRDefault="0076342D" w:rsidP="0076342D">
      <w:pPr>
        <w:spacing w:before="120" w:after="120" w:line="360" w:lineRule="auto"/>
        <w:ind w:left="1985" w:hanging="567"/>
        <w:rPr>
          <w:noProof/>
        </w:rPr>
      </w:pPr>
      <w:r w:rsidRPr="000C7F13">
        <w:rPr>
          <w:color w:val="000000"/>
        </w:rPr>
        <w:t>„1.</w:t>
      </w:r>
      <w:r>
        <w:rPr>
          <w:color w:val="000000"/>
        </w:rPr>
        <w:tab/>
      </w:r>
      <w:r w:rsidRPr="000C7F13">
        <w:t>Komise zajistí nepřetržitý dialog</w:t>
      </w:r>
      <w:r>
        <w:t xml:space="preserve"> s </w:t>
      </w:r>
      <w:r w:rsidRPr="000C7F13">
        <w:t>orgány členských států</w:t>
      </w:r>
      <w:r>
        <w:t xml:space="preserve"> v </w:t>
      </w:r>
      <w:r w:rsidRPr="000C7F13">
        <w:t>souladu</w:t>
      </w:r>
      <w:r>
        <w:t xml:space="preserve"> s </w:t>
      </w:r>
      <w:r w:rsidRPr="000C7F13">
        <w:t>cíli tohoto nařízení.</w:t>
      </w:r>
      <w:r>
        <w:rPr>
          <w:color w:val="000000"/>
        </w:rPr>
        <w:t xml:space="preserve"> Za </w:t>
      </w:r>
      <w:r w:rsidRPr="000C7F13">
        <w:t>tímto účelem Komise zejména provádí mise</w:t>
      </w:r>
      <w:r>
        <w:t xml:space="preserve"> s </w:t>
      </w:r>
      <w:r w:rsidRPr="000C7F13">
        <w:t>cílem zhodnotit aktuální hospodářskou situaci</w:t>
      </w:r>
      <w:r>
        <w:t xml:space="preserve"> v </w:t>
      </w:r>
      <w:r w:rsidRPr="000C7F13">
        <w:t>členském státě</w:t>
      </w:r>
      <w:r>
        <w:t xml:space="preserve"> a </w:t>
      </w:r>
      <w:r w:rsidRPr="000C7F13">
        <w:t>zjistit, zda existují rizika či obtíže při naplňování cílů tohoto nařízení,</w:t>
      </w:r>
      <w:r>
        <w:t xml:space="preserve"> a </w:t>
      </w:r>
      <w:r w:rsidRPr="000C7F13">
        <w:t>umožňuje výměnu informací</w:t>
      </w:r>
      <w:r>
        <w:t xml:space="preserve"> s </w:t>
      </w:r>
      <w:r w:rsidRPr="000C7F13">
        <w:t>dalšími příslušnými zúčastněnými stranami, včetně vnitrostátních nezávislých fiskálních institucí.“;</w:t>
      </w:r>
    </w:p>
    <w:p w:rsidR="0076342D" w:rsidRPr="000C7F13" w:rsidRDefault="0076342D" w:rsidP="0076342D">
      <w:pPr>
        <w:spacing w:before="120" w:after="120" w:line="360" w:lineRule="auto"/>
        <w:ind w:left="1418" w:hanging="567"/>
        <w:rPr>
          <w:noProof/>
        </w:rPr>
      </w:pPr>
      <w:r w:rsidRPr="000C7F13">
        <w:t>b)</w:t>
      </w:r>
      <w:r w:rsidRPr="000C7F13">
        <w:tab/>
        <w:t>odstavec 2 se nahrazuje tímto:</w:t>
      </w:r>
    </w:p>
    <w:p w:rsidR="0076342D" w:rsidRPr="000C7F13" w:rsidRDefault="0076342D" w:rsidP="0076342D">
      <w:pPr>
        <w:spacing w:before="120" w:after="120" w:line="360" w:lineRule="auto"/>
        <w:ind w:left="1985" w:hanging="567"/>
        <w:rPr>
          <w:b/>
          <w:noProof/>
          <w:color w:val="000000"/>
          <w:szCs w:val="24"/>
          <w:u w:val="single"/>
        </w:rPr>
      </w:pPr>
      <w:r>
        <w:t>„2.</w:t>
      </w:r>
      <w:r>
        <w:tab/>
      </w:r>
      <w:r w:rsidRPr="000C7F13">
        <w:t>Poté, co Rada přijme výzvu podle čl. 126 odst. 9 Smlouvy</w:t>
      </w:r>
      <w:r>
        <w:t xml:space="preserve"> o </w:t>
      </w:r>
      <w:r w:rsidRPr="000C7F13">
        <w:t xml:space="preserve">fungování </w:t>
      </w:r>
      <w:r w:rsidRPr="000C7F13">
        <w:lastRenderedPageBreak/>
        <w:t>EU,</w:t>
      </w:r>
      <w:r>
        <w:t xml:space="preserve"> a </w:t>
      </w:r>
      <w:r w:rsidRPr="000C7F13">
        <w:t>pokud</w:t>
      </w:r>
      <w:r>
        <w:t xml:space="preserve"> o </w:t>
      </w:r>
      <w:r w:rsidRPr="000C7F13">
        <w:t>to požádá parlament dotčeného členského státu, může Komise předložit své posouzení hospodářské</w:t>
      </w:r>
      <w:r>
        <w:t xml:space="preserve"> a </w:t>
      </w:r>
      <w:r w:rsidRPr="000C7F13">
        <w:t>fiskální situace</w:t>
      </w:r>
      <w:r>
        <w:t xml:space="preserve"> v </w:t>
      </w:r>
      <w:r w:rsidRPr="000C7F13">
        <w:t>daném členském státě.</w:t>
      </w:r>
      <w:r>
        <w:t xml:space="preserve"> U </w:t>
      </w:r>
      <w:r w:rsidRPr="000C7F13">
        <w:t>členských států, kterým byla vydána doporučení</w:t>
      </w:r>
      <w:r>
        <w:t xml:space="preserve"> a </w:t>
      </w:r>
      <w:r w:rsidRPr="000C7F13">
        <w:t>výzvy</w:t>
      </w:r>
      <w:r>
        <w:t xml:space="preserve"> v </w:t>
      </w:r>
      <w:r w:rsidRPr="000C7F13">
        <w:t>návaznosti</w:t>
      </w:r>
      <w:r>
        <w:t xml:space="preserve"> na </w:t>
      </w:r>
      <w:r w:rsidRPr="000C7F13">
        <w:t>rozhodnutí podle čl. 126 odst. 8</w:t>
      </w:r>
      <w:r>
        <w:t xml:space="preserve"> a </w:t>
      </w:r>
      <w:r w:rsidRPr="000C7F13">
        <w:t>rozhodnutí podle čl. 126 odst. 11 Smlouvy</w:t>
      </w:r>
      <w:r>
        <w:t xml:space="preserve"> o </w:t>
      </w:r>
      <w:r w:rsidRPr="000C7F13">
        <w:t>fungování EU, je možné pro účely sledování</w:t>
      </w:r>
      <w:r>
        <w:t xml:space="preserve"> na </w:t>
      </w:r>
      <w:r w:rsidRPr="000C7F13">
        <w:t>místě provádět posílený dohled. Dotčené členské státy předloží veškeré informace, které jsou nezbytné pro přípravu</w:t>
      </w:r>
      <w:r>
        <w:t xml:space="preserve"> a </w:t>
      </w:r>
      <w:r w:rsidRPr="000C7F13">
        <w:t>provedení mise.“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10)</w:t>
      </w:r>
      <w:r w:rsidRPr="000C7F13">
        <w:tab/>
        <w:t>Článek 12 se nahrazuje tímto: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</w:rPr>
      </w:pPr>
      <w:r w:rsidRPr="000C7F13">
        <w:t>„Článek 12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 w:rsidRPr="000C7F13">
        <w:rPr>
          <w:noProof/>
        </w:rPr>
        <w:t>1.</w:t>
      </w:r>
      <w:r w:rsidRPr="000C7F13">
        <w:rPr>
          <w:noProof/>
        </w:rPr>
        <w:tab/>
      </w:r>
      <w:r w:rsidRPr="000C7F13">
        <w:t>Výše pokuty činí až 0,05 % nejnovějšího odhadu HDP</w:t>
      </w:r>
      <w:r>
        <w:t xml:space="preserve"> za </w:t>
      </w:r>
      <w:r w:rsidRPr="000C7F13">
        <w:t>předchozí rok</w:t>
      </w:r>
      <w:r>
        <w:t xml:space="preserve"> za </w:t>
      </w:r>
      <w:r w:rsidRPr="000C7F13">
        <w:t>šestiměsíční období</w:t>
      </w:r>
      <w:r>
        <w:t xml:space="preserve"> a </w:t>
      </w:r>
      <w:r w:rsidRPr="000C7F13">
        <w:t>platí se každých šest měsíců, dokud Rada neusoudí, že dotčený členský stát přijal účinná opatření</w:t>
      </w:r>
      <w:r>
        <w:t xml:space="preserve"> v </w:t>
      </w:r>
      <w:r w:rsidRPr="000C7F13">
        <w:t>reakci</w:t>
      </w:r>
      <w:r>
        <w:t xml:space="preserve"> na </w:t>
      </w:r>
      <w:r w:rsidRPr="000C7F13">
        <w:t>výzvu vydanou podle čl. 126 odst. 9 Smlouvy</w:t>
      </w:r>
      <w:r>
        <w:t xml:space="preserve"> o </w:t>
      </w:r>
      <w:r w:rsidRPr="000C7F13">
        <w:t>fungování EU.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2.</w:t>
      </w:r>
      <w:r>
        <w:tab/>
      </w:r>
      <w:r w:rsidRPr="000C7F13">
        <w:t>V každém šestiměsíčním období následujícím po období, kdy byla uložena pokuta, až</w:t>
      </w:r>
      <w:r>
        <w:t xml:space="preserve"> do </w:t>
      </w:r>
      <w:r w:rsidRPr="000C7F13">
        <w:t>zrušení rozhodnutí</w:t>
      </w:r>
      <w:r>
        <w:t xml:space="preserve"> o </w:t>
      </w:r>
      <w:r w:rsidRPr="000C7F13">
        <w:t>existenci nadměrného schodku Rada posoudí, zda dotčený zúčastněný členský stát přijal účinná opatření</w:t>
      </w:r>
      <w:r>
        <w:t xml:space="preserve"> v </w:t>
      </w:r>
      <w:r w:rsidRPr="000C7F13">
        <w:t>reakci</w:t>
      </w:r>
      <w:r>
        <w:t xml:space="preserve"> na </w:t>
      </w:r>
      <w:r w:rsidRPr="000C7F13">
        <w:t>výzvu Rady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 126 odst. 9 Smlouvy</w:t>
      </w:r>
      <w:r>
        <w:t xml:space="preserve"> o </w:t>
      </w:r>
      <w:r w:rsidRPr="000C7F13">
        <w:t>fungování EU. Při tomto pololetním hodnocení rozhodne Rada</w:t>
      </w:r>
      <w:r>
        <w:t xml:space="preserve"> v </w:t>
      </w:r>
      <w:r w:rsidRPr="000C7F13">
        <w:t>souladu</w:t>
      </w:r>
      <w:r>
        <w:t xml:space="preserve"> s </w:t>
      </w:r>
      <w:r w:rsidRPr="000C7F13">
        <w:t>čl. 126 odst. 11 Smlouvy</w:t>
      </w:r>
      <w:r>
        <w:t xml:space="preserve"> o </w:t>
      </w:r>
      <w:r w:rsidRPr="000C7F13">
        <w:t>fungování EU</w:t>
      </w:r>
      <w:r>
        <w:t xml:space="preserve"> o </w:t>
      </w:r>
      <w:r w:rsidRPr="000C7F13">
        <w:t>zesílení sankcí, jestliže dotčený zúčastněný členský stát nevyhověl výzvě Rady.“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11)</w:t>
      </w:r>
      <w:r w:rsidRPr="000C7F13">
        <w:tab/>
        <w:t>Články 14</w:t>
      </w:r>
      <w:r>
        <w:t xml:space="preserve"> a </w:t>
      </w:r>
      <w:r w:rsidRPr="000C7F13">
        <w:t>15 se nahrazují tímto: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</w:rPr>
      </w:pPr>
      <w:r w:rsidRPr="000C7F13">
        <w:t>„Článek 14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>
        <w:t>1.</w:t>
      </w:r>
      <w:r>
        <w:tab/>
      </w:r>
      <w:r w:rsidRPr="000C7F13">
        <w:t>V souladu</w:t>
      </w:r>
      <w:r>
        <w:t xml:space="preserve"> s </w:t>
      </w:r>
      <w:r w:rsidRPr="000C7F13">
        <w:t>čl. 126 odst. 12 Smlouvy</w:t>
      </w:r>
      <w:r>
        <w:t xml:space="preserve"> o </w:t>
      </w:r>
      <w:r w:rsidRPr="000C7F13">
        <w:t>fungování EU zruší Rada sankce uvedené</w:t>
      </w:r>
      <w:r>
        <w:t xml:space="preserve"> v </w:t>
      </w:r>
      <w:r w:rsidRPr="000C7F13">
        <w:t>čl. 126 odst. 11 první</w:t>
      </w:r>
      <w:r>
        <w:t xml:space="preserve"> a </w:t>
      </w:r>
      <w:r w:rsidRPr="000C7F13">
        <w:t>druhé odrážce Smlouvy</w:t>
      </w:r>
      <w:r>
        <w:t xml:space="preserve"> o </w:t>
      </w:r>
      <w:r w:rsidRPr="000C7F13">
        <w:t>fungování EU</w:t>
      </w:r>
      <w:r>
        <w:t xml:space="preserve"> v </w:t>
      </w:r>
      <w:r w:rsidRPr="000C7F13">
        <w:t>závislosti</w:t>
      </w:r>
      <w:r>
        <w:t xml:space="preserve"> na </w:t>
      </w:r>
      <w:r w:rsidRPr="000C7F13">
        <w:t>rozsahu,</w:t>
      </w:r>
      <w:r>
        <w:t xml:space="preserve"> v </w:t>
      </w:r>
      <w:r w:rsidRPr="000C7F13">
        <w:t>jakém dotčený zúčastněný členský stát postoupil</w:t>
      </w:r>
      <w:r>
        <w:t xml:space="preserve"> v </w:t>
      </w:r>
      <w:r w:rsidRPr="000C7F13">
        <w:t>odstraňování nadměrného schodku.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</w:rPr>
      </w:pPr>
      <w:r w:rsidRPr="000C7F13">
        <w:t>Článek 15</w:t>
      </w:r>
    </w:p>
    <w:p w:rsidR="0076342D" w:rsidRPr="000C7F13" w:rsidRDefault="0076342D" w:rsidP="0076342D">
      <w:pPr>
        <w:pStyle w:val="Text1"/>
        <w:spacing w:line="360" w:lineRule="auto"/>
        <w:jc w:val="left"/>
        <w:rPr>
          <w:noProof/>
        </w:rPr>
      </w:pPr>
      <w:r w:rsidRPr="000C7F13">
        <w:t>V souladu</w:t>
      </w:r>
      <w:r>
        <w:t xml:space="preserve"> s </w:t>
      </w:r>
      <w:r w:rsidRPr="000C7F13">
        <w:t>čl. 126 odst. 12 Smlouvy</w:t>
      </w:r>
      <w:r>
        <w:t xml:space="preserve"> o </w:t>
      </w:r>
      <w:r w:rsidRPr="000C7F13">
        <w:t>fungování EU zruší Rada veškeré zbývající sankce, jestliže je zrušeno rozhodnutí</w:t>
      </w:r>
      <w:r>
        <w:t xml:space="preserve"> o </w:t>
      </w:r>
      <w:r w:rsidRPr="000C7F13">
        <w:t xml:space="preserve">existenci nadměrného schodku. Pokuty </w:t>
      </w:r>
      <w:r w:rsidRPr="000C7F13">
        <w:lastRenderedPageBreak/>
        <w:t>uložené podle článku 12 tohoto nařízení nebudou dotčenému zúčastněnému členskému státu vráceny.“</w:t>
      </w:r>
    </w:p>
    <w:p w:rsidR="0076342D" w:rsidRPr="000C7F13" w:rsidRDefault="0076342D" w:rsidP="0076342D">
      <w:pPr>
        <w:pStyle w:val="Text1"/>
        <w:spacing w:line="360" w:lineRule="auto"/>
        <w:ind w:hanging="850"/>
        <w:rPr>
          <w:noProof/>
        </w:rPr>
      </w:pPr>
      <w:r w:rsidRPr="000C7F13">
        <w:t>12)</w:t>
      </w:r>
      <w:r w:rsidRPr="000C7F13">
        <w:tab/>
        <w:t>Článek 16 se nahrazuje tímto: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</w:rPr>
      </w:pPr>
      <w:r w:rsidRPr="000C7F13">
        <w:t>„Článek 16</w:t>
      </w:r>
    </w:p>
    <w:p w:rsidR="0076342D" w:rsidRPr="000C7F13" w:rsidRDefault="0076342D" w:rsidP="0076342D">
      <w:pPr>
        <w:spacing w:before="120" w:after="120" w:line="360" w:lineRule="auto"/>
        <w:ind w:firstLine="851"/>
      </w:pPr>
      <w:r w:rsidRPr="000C7F13">
        <w:t>Pokuty uvedené</w:t>
      </w:r>
      <w:r>
        <w:t xml:space="preserve"> v </w:t>
      </w:r>
      <w:r w:rsidRPr="000C7F13">
        <w:t>článku 12 představují obecné příjmy rozpočtu Unie.“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9108C4">
        <w:rPr>
          <w:b/>
          <w:i/>
        </w:rPr>
        <w:t>12a)</w:t>
      </w:r>
      <w:r w:rsidRPr="000C7F13">
        <w:tab/>
        <w:t>Článek 17 se zrušuje.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1</w:t>
      </w:r>
      <w:r>
        <w:t>3</w:t>
      </w:r>
      <w:r w:rsidRPr="000C7F13">
        <w:t>)</w:t>
      </w:r>
      <w:r w:rsidRPr="000C7F13">
        <w:tab/>
        <w:t>Článek 17a se nahrazuje tímto: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jc w:val="left"/>
        <w:rPr>
          <w:noProof/>
        </w:rPr>
      </w:pPr>
      <w:r w:rsidRPr="000C7F13">
        <w:t>„1.</w:t>
      </w:r>
      <w:r>
        <w:tab/>
        <w:t>Do </w:t>
      </w:r>
      <w:r w:rsidRPr="000C7F13">
        <w:t>[31. prosince 2030]</w:t>
      </w:r>
      <w:r>
        <w:t xml:space="preserve"> a </w:t>
      </w:r>
      <w:r w:rsidRPr="000C7F13">
        <w:t>poté každých pět let Komise vypracuje zprávu</w:t>
      </w:r>
      <w:r>
        <w:t xml:space="preserve"> o </w:t>
      </w:r>
      <w:r w:rsidRPr="000C7F13">
        <w:t>uplatňování tohoto nařízení, případně doplněnou</w:t>
      </w:r>
      <w:r>
        <w:t xml:space="preserve"> o </w:t>
      </w:r>
      <w:r w:rsidRPr="000C7F13">
        <w:t>návrh</w:t>
      </w:r>
      <w:r>
        <w:t xml:space="preserve"> na </w:t>
      </w:r>
      <w:r w:rsidRPr="000C7F13">
        <w:t>změnu tohoto nařízení. Komise tuto zprávu zveřejní. Ve zprávě přezkoumá účinnost tohoto nařízení při dosahování jeho cílů, jak je uvedeno</w:t>
      </w:r>
      <w:r>
        <w:t xml:space="preserve"> v </w:t>
      </w:r>
      <w:r w:rsidRPr="000C7F13">
        <w:t>článku 1,</w:t>
      </w:r>
      <w:r>
        <w:t xml:space="preserve"> a </w:t>
      </w:r>
      <w:r w:rsidRPr="000C7F13">
        <w:t>pokrok při zajišťování užší koordinace hospodářských politik</w:t>
      </w:r>
      <w:r>
        <w:t xml:space="preserve"> a </w:t>
      </w:r>
      <w:r w:rsidRPr="000C7F13">
        <w:t>trvalé konvergence hospodářské výkonnosti členských států</w:t>
      </w:r>
      <w:r>
        <w:t xml:space="preserve"> v </w:t>
      </w:r>
      <w:r w:rsidRPr="000C7F13">
        <w:t>souladu se Smlouvou</w:t>
      </w:r>
      <w:r>
        <w:t xml:space="preserve"> o </w:t>
      </w:r>
      <w:r w:rsidRPr="000C7F13">
        <w:t>fungování EU.</w:t>
      </w:r>
    </w:p>
    <w:p w:rsidR="0076342D" w:rsidRPr="000C7F13" w:rsidRDefault="0076342D" w:rsidP="0076342D">
      <w:pPr>
        <w:pStyle w:val="Text1"/>
        <w:spacing w:line="360" w:lineRule="auto"/>
        <w:ind w:left="1418" w:hanging="568"/>
        <w:rPr>
          <w:noProof/>
        </w:rPr>
      </w:pPr>
      <w:r>
        <w:t>3.</w:t>
      </w:r>
      <w:r>
        <w:tab/>
      </w:r>
      <w:r w:rsidRPr="000C7F13">
        <w:t>Zprávu předloží Evropskému parlamentu</w:t>
      </w:r>
      <w:r>
        <w:t xml:space="preserve"> a </w:t>
      </w:r>
      <w:r w:rsidRPr="000C7F13">
        <w:t>Radě.“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t>1</w:t>
      </w:r>
      <w:r>
        <w:t>4</w:t>
      </w:r>
      <w:r w:rsidRPr="000C7F13">
        <w:t>)</w:t>
      </w:r>
      <w:r w:rsidRPr="000C7F13">
        <w:tab/>
        <w:t>Vkládá se nový článek 17b, který zní:</w:t>
      </w:r>
    </w:p>
    <w:p w:rsidR="0076342D" w:rsidRPr="000C7F13" w:rsidRDefault="0076342D" w:rsidP="0076342D">
      <w:pPr>
        <w:pStyle w:val="Titrearticle"/>
        <w:spacing w:before="120" w:line="360" w:lineRule="auto"/>
        <w:ind w:firstLine="851"/>
        <w:jc w:val="left"/>
        <w:rPr>
          <w:noProof/>
        </w:rPr>
      </w:pPr>
      <w:r w:rsidRPr="000C7F13">
        <w:t>„Článek 17b</w:t>
      </w:r>
    </w:p>
    <w:p w:rsidR="0076342D" w:rsidRPr="000C7F13" w:rsidRDefault="0076342D" w:rsidP="0076342D">
      <w:pPr>
        <w:pStyle w:val="Text1"/>
        <w:spacing w:line="360" w:lineRule="auto"/>
        <w:jc w:val="left"/>
        <w:rPr>
          <w:noProof/>
        </w:rPr>
      </w:pPr>
      <w:r w:rsidRPr="000C7F13">
        <w:t>Rada</w:t>
      </w:r>
      <w:r>
        <w:t xml:space="preserve"> na </w:t>
      </w:r>
      <w:r w:rsidRPr="000C7F13">
        <w:t>doporučení Komise přijme revidované doporučení podle čl. 126 odst. 7 Smlouvy</w:t>
      </w:r>
      <w:r>
        <w:t xml:space="preserve"> o </w:t>
      </w:r>
      <w:r w:rsidRPr="000C7F13">
        <w:t>fungování EU nebo revidovanou výzvu podle čl. 126 odst. 9 Smlouvy</w:t>
      </w:r>
      <w:r>
        <w:t xml:space="preserve"> o </w:t>
      </w:r>
      <w:r w:rsidRPr="000C7F13">
        <w:t>fungování EU určené členským státům,</w:t>
      </w:r>
      <w:r>
        <w:t xml:space="preserve"> na </w:t>
      </w:r>
      <w:r w:rsidRPr="000C7F13">
        <w:t>které se ke dni [datum vstupu pozměňujícího nařízení</w:t>
      </w:r>
      <w:r>
        <w:t xml:space="preserve"> v </w:t>
      </w:r>
      <w:r w:rsidRPr="000C7F13">
        <w:t>platnost] vztahuje doporučení podle čl. 126 odst. 7 Smlouvy</w:t>
      </w:r>
      <w:r>
        <w:t xml:space="preserve"> o </w:t>
      </w:r>
      <w:r w:rsidRPr="000C7F13">
        <w:t>fungování EU nebo výzva podle čl. 126 odst. 9 Smlouvy</w:t>
      </w:r>
      <w:r>
        <w:t xml:space="preserve"> o </w:t>
      </w:r>
      <w:r w:rsidRPr="000C7F13">
        <w:t>fungování EU</w:t>
      </w:r>
      <w:r>
        <w:t xml:space="preserve"> a </w:t>
      </w:r>
      <w:r w:rsidRPr="000C7F13">
        <w:t>které přijaly účinná opatření.</w:t>
      </w:r>
    </w:p>
    <w:p w:rsidR="0076342D" w:rsidRPr="000C7F13" w:rsidRDefault="0076342D" w:rsidP="0076342D">
      <w:pPr>
        <w:pStyle w:val="Text1"/>
        <w:spacing w:line="360" w:lineRule="auto"/>
        <w:jc w:val="left"/>
        <w:rPr>
          <w:noProof/>
        </w:rPr>
      </w:pPr>
      <w:r w:rsidRPr="000C7F13">
        <w:t>Rada přijme revidované doporučení nebo revidovanou výzvu spolu</w:t>
      </w:r>
      <w:r>
        <w:t xml:space="preserve"> s </w:t>
      </w:r>
      <w:r w:rsidRPr="000C7F13">
        <w:t>doporučením podle článku 16 nařízení (EU) [o preventivní složce], kterým stanoví dráhu čistých výdajů.“</w:t>
      </w:r>
    </w:p>
    <w:p w:rsidR="0076342D" w:rsidRPr="000C7F13" w:rsidRDefault="0076342D" w:rsidP="0076342D">
      <w:pPr>
        <w:pStyle w:val="Point0"/>
        <w:spacing w:line="360" w:lineRule="auto"/>
        <w:rPr>
          <w:noProof/>
        </w:rPr>
      </w:pPr>
      <w:r w:rsidRPr="000C7F13">
        <w:t>1</w:t>
      </w:r>
      <w:r>
        <w:t>5</w:t>
      </w:r>
      <w:r w:rsidRPr="000C7F13">
        <w:t>)</w:t>
      </w:r>
      <w:r w:rsidRPr="000C7F13">
        <w:tab/>
        <w:t>Příloha se zrušuje.</w:t>
      </w:r>
    </w:p>
    <w:p w:rsidR="0076342D" w:rsidRPr="0076342D" w:rsidRDefault="0076342D" w:rsidP="0076342D">
      <w:pPr>
        <w:pStyle w:val="Titrearticle"/>
        <w:spacing w:before="120" w:line="360" w:lineRule="auto"/>
        <w:rPr>
          <w:i w:val="0"/>
          <w:noProof/>
        </w:rPr>
      </w:pPr>
      <w:r w:rsidRPr="0076342D">
        <w:rPr>
          <w:i w:val="0"/>
        </w:rPr>
        <w:t>Článek 2</w:t>
      </w:r>
    </w:p>
    <w:p w:rsidR="0076342D" w:rsidRPr="0076342D" w:rsidRDefault="0076342D" w:rsidP="0076342D">
      <w:pPr>
        <w:spacing w:before="120" w:after="120" w:line="360" w:lineRule="auto"/>
        <w:jc w:val="center"/>
        <w:rPr>
          <w:noProof/>
        </w:rPr>
      </w:pPr>
      <w:r w:rsidRPr="0076342D">
        <w:t>Vstup v platnost</w:t>
      </w:r>
    </w:p>
    <w:p w:rsidR="0076342D" w:rsidRPr="000C7F13" w:rsidRDefault="0076342D" w:rsidP="0076342D">
      <w:pPr>
        <w:spacing w:before="120" w:after="120" w:line="360" w:lineRule="auto"/>
        <w:rPr>
          <w:noProof/>
        </w:rPr>
      </w:pPr>
      <w:r w:rsidRPr="000C7F13">
        <w:lastRenderedPageBreak/>
        <w:t>Toto nařízení vstupuje</w:t>
      </w:r>
      <w:r>
        <w:t xml:space="preserve"> v </w:t>
      </w:r>
      <w:r w:rsidRPr="000C7F13">
        <w:t>platnost prvním dnem po vyhlášení</w:t>
      </w:r>
      <w:r>
        <w:t xml:space="preserve"> v </w:t>
      </w:r>
      <w:r w:rsidRPr="000C7F13">
        <w:rPr>
          <w:i/>
        </w:rPr>
        <w:t>Úředním věstníku Evropské unie</w:t>
      </w:r>
      <w:r w:rsidRPr="000C7F13">
        <w:t>.</w:t>
      </w:r>
    </w:p>
    <w:p w:rsidR="0076342D" w:rsidRPr="000C7F13" w:rsidRDefault="0076342D" w:rsidP="002D63F5">
      <w:pPr>
        <w:pStyle w:val="Applicationdirecte"/>
        <w:rPr>
          <w:noProof/>
        </w:rPr>
      </w:pPr>
      <w:r w:rsidRPr="000C7F13">
        <w:t>Toto nařízení je závazné</w:t>
      </w:r>
      <w:r>
        <w:t xml:space="preserve"> v </w:t>
      </w:r>
      <w:r w:rsidRPr="000C7F13">
        <w:t>celém rozsahu</w:t>
      </w:r>
      <w:r>
        <w:t xml:space="preserve"> a </w:t>
      </w:r>
      <w:r w:rsidRPr="000C7F13">
        <w:t>přímo použitelné ve všech členských státech.</w:t>
      </w:r>
    </w:p>
    <w:p w:rsidR="0076342D" w:rsidRPr="000C7F13" w:rsidRDefault="0076342D" w:rsidP="00F864C3">
      <w:pPr>
        <w:pStyle w:val="Fait"/>
        <w:spacing w:before="600"/>
        <w:rPr>
          <w:noProof/>
        </w:rPr>
      </w:pPr>
      <w:r w:rsidRPr="000C7F13">
        <w:t>V Bruselu dne</w:t>
      </w:r>
    </w:p>
    <w:p w:rsidR="0076342D" w:rsidRPr="000C7F13" w:rsidRDefault="0076342D" w:rsidP="00895CE3">
      <w:pPr>
        <w:pStyle w:val="Institutionquisigne"/>
        <w:rPr>
          <w:noProof/>
        </w:rPr>
      </w:pPr>
      <w:r w:rsidRPr="000C7F13">
        <w:tab/>
        <w:t>Za Radu</w:t>
      </w:r>
    </w:p>
    <w:p w:rsidR="0076342D" w:rsidRPr="00213CC2" w:rsidRDefault="0076342D" w:rsidP="00B0675F">
      <w:pPr>
        <w:pStyle w:val="Personnequisigne"/>
        <w:tabs>
          <w:tab w:val="clear" w:pos="4252"/>
          <w:tab w:val="left" w:pos="3544"/>
        </w:tabs>
        <w:rPr>
          <w:noProof/>
        </w:rPr>
      </w:pPr>
      <w:r w:rsidRPr="000C7F13">
        <w:tab/>
        <w:t>předseda</w:t>
      </w:r>
      <w:r w:rsidR="00AF4316">
        <w:t xml:space="preserve"> nebo </w:t>
      </w:r>
      <w:r w:rsidRPr="000C7F13">
        <w:t>předsedkyně</w:t>
      </w:r>
    </w:p>
    <w:p w:rsidR="0076342D" w:rsidRPr="00134132" w:rsidRDefault="0076342D" w:rsidP="00AF3BF3">
      <w:pPr>
        <w:pStyle w:val="NormalCenter12a"/>
        <w:jc w:val="left"/>
      </w:pPr>
    </w:p>
    <w:sectPr w:rsidR="0076342D" w:rsidRPr="00134132" w:rsidSect="00B803A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AC7" w:rsidRPr="00B803A8" w:rsidRDefault="006B5AC7">
      <w:r w:rsidRPr="00B803A8">
        <w:separator/>
      </w:r>
    </w:p>
  </w:endnote>
  <w:endnote w:type="continuationSeparator" w:id="0">
    <w:p w:rsidR="006B5AC7" w:rsidRPr="00B803A8" w:rsidRDefault="006B5AC7">
      <w:r w:rsidRPr="00B803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3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3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3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AC7" w:rsidRPr="00B803A8" w:rsidRDefault="006B5AC7">
      <w:r w:rsidRPr="00B803A8">
        <w:separator/>
      </w:r>
    </w:p>
  </w:footnote>
  <w:footnote w:type="continuationSeparator" w:id="0">
    <w:p w:rsidR="006B5AC7" w:rsidRPr="00B803A8" w:rsidRDefault="006B5AC7">
      <w:r w:rsidRPr="00B803A8">
        <w:continuationSeparator/>
      </w:r>
    </w:p>
  </w:footnote>
  <w:footnote w:id="1">
    <w:p w:rsidR="007738CA" w:rsidRPr="00B803A8" w:rsidRDefault="007738CA" w:rsidP="0076342D">
      <w:pPr>
        <w:pStyle w:val="FootnoteText"/>
        <w:ind w:left="851" w:hanging="851"/>
        <w:rPr>
          <w:sz w:val="24"/>
          <w:lang w:val="cs-CZ"/>
        </w:rPr>
      </w:pPr>
      <w:r w:rsidRPr="00B803A8">
        <w:rPr>
          <w:rStyle w:val="FootnoteReference"/>
          <w:sz w:val="24"/>
          <w:lang w:val="cs-CZ"/>
        </w:rPr>
        <w:t>*</w:t>
      </w:r>
      <w:r w:rsidR="00B803A8" w:rsidRPr="00B803A8">
        <w:rPr>
          <w:sz w:val="24"/>
          <w:lang w:val="cs-CZ"/>
        </w:rPr>
        <w:t xml:space="preserve"> </w:t>
      </w:r>
      <w:r w:rsidR="00B803A8" w:rsidRPr="00B803A8">
        <w:rPr>
          <w:sz w:val="24"/>
          <w:lang w:val="cs-CZ"/>
        </w:rPr>
        <w:tab/>
      </w:r>
      <w:r w:rsidRPr="00B803A8">
        <w:rPr>
          <w:sz w:val="24"/>
          <w:lang w:val="cs-CZ"/>
        </w:rPr>
        <w:t>Pozměňovací návrhy: nový text či text nahrazující původní znění je označen tučně a kurzivou, vypuštění textu je označeno symbolem ▌.</w:t>
      </w:r>
    </w:p>
  </w:footnote>
  <w:footnote w:id="2">
    <w:p w:rsidR="0076342D" w:rsidRPr="0076342D" w:rsidRDefault="0076342D" w:rsidP="0076342D">
      <w:pPr>
        <w:pStyle w:val="FootnoteText"/>
        <w:ind w:left="851" w:hanging="851"/>
        <w:rPr>
          <w:sz w:val="24"/>
          <w:szCs w:val="24"/>
          <w:lang w:val="cs-CZ"/>
        </w:rPr>
      </w:pPr>
      <w:r w:rsidRPr="00AF3BF3">
        <w:rPr>
          <w:rStyle w:val="FootnoteReference"/>
          <w:sz w:val="24"/>
          <w:szCs w:val="24"/>
        </w:rPr>
        <w:footnoteRef/>
      </w:r>
      <w:r w:rsidRPr="0076342D">
        <w:rPr>
          <w:sz w:val="24"/>
          <w:szCs w:val="24"/>
          <w:lang w:val="cs-CZ"/>
        </w:rPr>
        <w:tab/>
      </w:r>
      <w:proofErr w:type="spellStart"/>
      <w:r w:rsidRPr="0076342D">
        <w:rPr>
          <w:sz w:val="24"/>
          <w:szCs w:val="24"/>
          <w:lang w:val="cs-CZ"/>
        </w:rPr>
        <w:t>Úř</w:t>
      </w:r>
      <w:proofErr w:type="spellEnd"/>
      <w:r w:rsidRPr="0076342D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6342D">
        <w:rPr>
          <w:sz w:val="24"/>
          <w:szCs w:val="24"/>
          <w:lang w:val="cs-CZ"/>
        </w:rPr>
        <w:t>věst</w:t>
      </w:r>
      <w:proofErr w:type="spellEnd"/>
      <w:proofErr w:type="gramEnd"/>
      <w:r w:rsidRPr="0076342D">
        <w:rPr>
          <w:sz w:val="24"/>
          <w:szCs w:val="24"/>
          <w:lang w:val="cs-CZ"/>
        </w:rPr>
        <w:t xml:space="preserve">. </w:t>
      </w:r>
      <w:proofErr w:type="gramStart"/>
      <w:r w:rsidRPr="0076342D">
        <w:rPr>
          <w:sz w:val="24"/>
          <w:szCs w:val="24"/>
          <w:lang w:val="cs-CZ"/>
        </w:rPr>
        <w:t>C , , s.</w:t>
      </w:r>
      <w:proofErr w:type="gramEnd"/>
      <w:r w:rsidRPr="0076342D">
        <w:rPr>
          <w:sz w:val="24"/>
          <w:szCs w:val="24"/>
          <w:lang w:val="cs-CZ"/>
        </w:rPr>
        <w:t xml:space="preserve"> .</w:t>
      </w:r>
    </w:p>
  </w:footnote>
  <w:footnote w:id="3">
    <w:p w:rsidR="0076342D" w:rsidRPr="0076342D" w:rsidRDefault="0076342D" w:rsidP="0076342D">
      <w:pPr>
        <w:pStyle w:val="FootnoteText"/>
        <w:ind w:left="851" w:hanging="851"/>
        <w:rPr>
          <w:sz w:val="24"/>
          <w:szCs w:val="24"/>
          <w:lang w:val="cs-CZ"/>
        </w:rPr>
      </w:pPr>
      <w:r w:rsidRPr="00AF3BF3">
        <w:rPr>
          <w:rStyle w:val="FootnoteReference"/>
          <w:sz w:val="24"/>
          <w:szCs w:val="24"/>
        </w:rPr>
        <w:footnoteRef/>
      </w:r>
      <w:r w:rsidRPr="0076342D">
        <w:rPr>
          <w:sz w:val="24"/>
          <w:szCs w:val="24"/>
          <w:lang w:val="cs-CZ"/>
        </w:rPr>
        <w:tab/>
      </w:r>
      <w:proofErr w:type="spellStart"/>
      <w:r w:rsidRPr="0076342D">
        <w:rPr>
          <w:sz w:val="24"/>
          <w:szCs w:val="24"/>
          <w:lang w:val="cs-CZ"/>
        </w:rPr>
        <w:t>Úř</w:t>
      </w:r>
      <w:proofErr w:type="spellEnd"/>
      <w:r w:rsidRPr="0076342D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6342D">
        <w:rPr>
          <w:sz w:val="24"/>
          <w:szCs w:val="24"/>
          <w:lang w:val="cs-CZ"/>
        </w:rPr>
        <w:t>věst</w:t>
      </w:r>
      <w:proofErr w:type="spellEnd"/>
      <w:proofErr w:type="gramEnd"/>
      <w:r w:rsidRPr="0076342D">
        <w:rPr>
          <w:sz w:val="24"/>
          <w:szCs w:val="24"/>
          <w:lang w:val="cs-CZ"/>
        </w:rPr>
        <w:t xml:space="preserve">. C 290, </w:t>
      </w:r>
      <w:proofErr w:type="gramStart"/>
      <w:r w:rsidRPr="0076342D">
        <w:rPr>
          <w:sz w:val="24"/>
          <w:szCs w:val="24"/>
          <w:lang w:val="cs-CZ"/>
        </w:rPr>
        <w:t>18.8.2023</w:t>
      </w:r>
      <w:proofErr w:type="gramEnd"/>
      <w:r w:rsidRPr="0076342D">
        <w:rPr>
          <w:sz w:val="24"/>
          <w:szCs w:val="24"/>
          <w:lang w:val="cs-CZ"/>
        </w:rPr>
        <w:t>, s. 17.</w:t>
      </w:r>
    </w:p>
  </w:footnote>
  <w:footnote w:id="4">
    <w:p w:rsidR="0076342D" w:rsidRPr="0076342D" w:rsidRDefault="0076342D" w:rsidP="0076342D">
      <w:pPr>
        <w:pStyle w:val="FootnoteText"/>
        <w:ind w:left="851" w:hanging="851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76342D">
        <w:rPr>
          <w:lang w:val="cs-CZ"/>
        </w:rPr>
        <w:t xml:space="preserve"> </w:t>
      </w:r>
      <w:r>
        <w:rPr>
          <w:lang w:val="cs-CZ"/>
        </w:rPr>
        <w:tab/>
      </w:r>
      <w:r w:rsidRPr="0076342D">
        <w:rPr>
          <w:sz w:val="24"/>
          <w:szCs w:val="24"/>
          <w:lang w:val="cs-CZ"/>
        </w:rPr>
        <w:t>Nařízení Rady (ES) č. 1466/97 ze dne 7. července 1997 o posílení dohledu nad stavy rozpočtů a nad hospodářskými politikami a o posílení koordinace hospodářských politik (</w:t>
      </w:r>
      <w:proofErr w:type="spellStart"/>
      <w:r w:rsidRPr="0076342D">
        <w:rPr>
          <w:sz w:val="24"/>
          <w:szCs w:val="24"/>
          <w:lang w:val="cs-CZ"/>
        </w:rPr>
        <w:t>Úř</w:t>
      </w:r>
      <w:proofErr w:type="spellEnd"/>
      <w:r w:rsidRPr="0076342D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76342D">
        <w:rPr>
          <w:sz w:val="24"/>
          <w:szCs w:val="24"/>
          <w:lang w:val="cs-CZ"/>
        </w:rPr>
        <w:t>věst</w:t>
      </w:r>
      <w:proofErr w:type="spellEnd"/>
      <w:proofErr w:type="gramEnd"/>
      <w:r w:rsidRPr="0076342D">
        <w:rPr>
          <w:sz w:val="24"/>
          <w:szCs w:val="24"/>
          <w:lang w:val="cs-CZ"/>
        </w:rPr>
        <w:t xml:space="preserve">. L 209, </w:t>
      </w:r>
      <w:proofErr w:type="gramStart"/>
      <w:r w:rsidRPr="0076342D">
        <w:rPr>
          <w:sz w:val="24"/>
          <w:szCs w:val="24"/>
          <w:lang w:val="cs-CZ"/>
        </w:rPr>
        <w:t>2.8.1997</w:t>
      </w:r>
      <w:proofErr w:type="gramEnd"/>
      <w:r w:rsidRPr="0076342D">
        <w:rPr>
          <w:sz w:val="24"/>
          <w:szCs w:val="24"/>
          <w:lang w:val="cs-CZ"/>
        </w:rPr>
        <w:t>, s. 1).</w:t>
      </w:r>
    </w:p>
  </w:footnote>
  <w:footnote w:id="5">
    <w:p w:rsidR="0076342D" w:rsidRPr="0076342D" w:rsidRDefault="0076342D" w:rsidP="00AF3BF3">
      <w:pPr>
        <w:pStyle w:val="FootnoteText"/>
        <w:ind w:left="851" w:hanging="851"/>
        <w:rPr>
          <w:sz w:val="24"/>
          <w:szCs w:val="24"/>
          <w:lang w:val="cs-CZ"/>
        </w:rPr>
      </w:pPr>
      <w:r w:rsidRPr="00AF3BF3">
        <w:rPr>
          <w:rStyle w:val="FootnoteReference"/>
          <w:sz w:val="24"/>
          <w:szCs w:val="24"/>
        </w:rPr>
        <w:footnoteRef/>
      </w:r>
      <w:r w:rsidRPr="0076342D">
        <w:rPr>
          <w:sz w:val="24"/>
          <w:szCs w:val="24"/>
          <w:lang w:val="cs-CZ"/>
        </w:rPr>
        <w:tab/>
        <w:t>Nařízení Rady (ES) č. 1467/97 ze dne 7. července 1997 o urychlení a vyjasnění postupu při nadměrném schodku (</w:t>
      </w:r>
      <w:proofErr w:type="spellStart"/>
      <w:r w:rsidRPr="0076342D">
        <w:rPr>
          <w:sz w:val="24"/>
          <w:szCs w:val="24"/>
          <w:lang w:val="cs-CZ"/>
        </w:rPr>
        <w:t>Úř</w:t>
      </w:r>
      <w:proofErr w:type="spellEnd"/>
      <w:r w:rsidRPr="0076342D">
        <w:rPr>
          <w:sz w:val="24"/>
          <w:szCs w:val="24"/>
          <w:lang w:val="cs-CZ"/>
        </w:rPr>
        <w:t>. </w:t>
      </w:r>
      <w:proofErr w:type="spellStart"/>
      <w:proofErr w:type="gramStart"/>
      <w:r w:rsidRPr="0076342D">
        <w:rPr>
          <w:sz w:val="24"/>
          <w:szCs w:val="24"/>
          <w:lang w:val="cs-CZ"/>
        </w:rPr>
        <w:t>věst</w:t>
      </w:r>
      <w:proofErr w:type="spellEnd"/>
      <w:proofErr w:type="gramEnd"/>
      <w:r w:rsidRPr="0076342D">
        <w:rPr>
          <w:sz w:val="24"/>
          <w:szCs w:val="24"/>
          <w:lang w:val="cs-CZ"/>
        </w:rPr>
        <w:t xml:space="preserve">. L 209, </w:t>
      </w:r>
      <w:proofErr w:type="gramStart"/>
      <w:r w:rsidRPr="0076342D">
        <w:rPr>
          <w:sz w:val="24"/>
          <w:szCs w:val="24"/>
          <w:lang w:val="cs-CZ"/>
        </w:rPr>
        <w:t>2.8.1997</w:t>
      </w:r>
      <w:proofErr w:type="gramEnd"/>
      <w:r w:rsidRPr="0076342D">
        <w:rPr>
          <w:sz w:val="24"/>
          <w:szCs w:val="24"/>
          <w:lang w:val="cs-CZ"/>
        </w:rPr>
        <w:t>, s. 6).</w:t>
      </w:r>
    </w:p>
  </w:footnote>
  <w:footnote w:id="6">
    <w:p w:rsidR="0076342D" w:rsidRPr="0076342D" w:rsidRDefault="0076342D" w:rsidP="00AF3BF3">
      <w:pPr>
        <w:pStyle w:val="FootnoteText"/>
        <w:ind w:left="851" w:hanging="851"/>
        <w:rPr>
          <w:sz w:val="24"/>
          <w:szCs w:val="24"/>
          <w:lang w:val="cs-CZ"/>
        </w:rPr>
      </w:pPr>
      <w:r w:rsidRPr="00AF3BF3">
        <w:rPr>
          <w:rStyle w:val="FootnoteReference"/>
          <w:sz w:val="24"/>
          <w:szCs w:val="24"/>
        </w:rPr>
        <w:footnoteRef/>
      </w:r>
      <w:r w:rsidRPr="0076342D">
        <w:rPr>
          <w:sz w:val="24"/>
          <w:szCs w:val="24"/>
          <w:lang w:val="cs-CZ"/>
        </w:rPr>
        <w:tab/>
        <w:t>Usnesení Evropské rady o Paktu o stabilitě a růstu z Amsterdamu ze dne 17. června 1997 (</w:t>
      </w:r>
      <w:proofErr w:type="spellStart"/>
      <w:r w:rsidRPr="0076342D">
        <w:rPr>
          <w:sz w:val="24"/>
          <w:szCs w:val="24"/>
          <w:lang w:val="cs-CZ"/>
        </w:rPr>
        <w:t>Úř</w:t>
      </w:r>
      <w:proofErr w:type="spellEnd"/>
      <w:r w:rsidRPr="0076342D">
        <w:rPr>
          <w:sz w:val="24"/>
          <w:szCs w:val="24"/>
          <w:lang w:val="cs-CZ"/>
        </w:rPr>
        <w:t>. </w:t>
      </w:r>
      <w:proofErr w:type="spellStart"/>
      <w:proofErr w:type="gramStart"/>
      <w:r w:rsidRPr="0076342D">
        <w:rPr>
          <w:sz w:val="24"/>
          <w:szCs w:val="24"/>
          <w:lang w:val="cs-CZ"/>
        </w:rPr>
        <w:t>věst</w:t>
      </w:r>
      <w:proofErr w:type="spellEnd"/>
      <w:proofErr w:type="gramEnd"/>
      <w:r w:rsidRPr="0076342D">
        <w:rPr>
          <w:sz w:val="24"/>
          <w:szCs w:val="24"/>
          <w:lang w:val="cs-CZ"/>
        </w:rPr>
        <w:t xml:space="preserve">. C 236, </w:t>
      </w:r>
      <w:proofErr w:type="gramStart"/>
      <w:r w:rsidRPr="0076342D">
        <w:rPr>
          <w:sz w:val="24"/>
          <w:szCs w:val="24"/>
          <w:lang w:val="cs-CZ"/>
        </w:rPr>
        <w:t>2.8.1997</w:t>
      </w:r>
      <w:proofErr w:type="gramEnd"/>
      <w:r w:rsidRPr="0076342D">
        <w:rPr>
          <w:sz w:val="24"/>
          <w:szCs w:val="24"/>
          <w:lang w:val="cs-CZ"/>
        </w:rPr>
        <w:t>, s. 1).</w:t>
      </w:r>
    </w:p>
  </w:footnote>
  <w:footnote w:id="7">
    <w:p w:rsidR="0076342D" w:rsidRPr="0076342D" w:rsidRDefault="0076342D" w:rsidP="00AF3BF3">
      <w:pPr>
        <w:pStyle w:val="FootnoteText"/>
        <w:ind w:left="851" w:hanging="851"/>
        <w:rPr>
          <w:sz w:val="24"/>
          <w:szCs w:val="24"/>
          <w:lang w:val="cs-CZ"/>
        </w:rPr>
      </w:pPr>
      <w:r w:rsidRPr="00AF3BF3">
        <w:rPr>
          <w:rStyle w:val="FootnoteReference"/>
          <w:sz w:val="24"/>
          <w:szCs w:val="24"/>
        </w:rPr>
        <w:footnoteRef/>
      </w:r>
      <w:r w:rsidRPr="0076342D">
        <w:rPr>
          <w:sz w:val="24"/>
          <w:szCs w:val="24"/>
          <w:lang w:val="cs-CZ"/>
        </w:rPr>
        <w:tab/>
        <w:t xml:space="preserve">Evropský právní rámec pro klima stanoví </w:t>
      </w:r>
      <w:proofErr w:type="spellStart"/>
      <w:r w:rsidRPr="0076342D">
        <w:rPr>
          <w:sz w:val="24"/>
          <w:szCs w:val="24"/>
          <w:lang w:val="cs-CZ"/>
        </w:rPr>
        <w:t>celounijní</w:t>
      </w:r>
      <w:proofErr w:type="spellEnd"/>
      <w:r w:rsidRPr="0076342D">
        <w:rPr>
          <w:sz w:val="24"/>
          <w:szCs w:val="24"/>
          <w:lang w:val="cs-CZ"/>
        </w:rPr>
        <w:t xml:space="preserve"> cíl klimatické neutrality do roku 2050 a vyžaduje, aby orgány Unie a členské státy pokročily při zvyšování adaptační kapacity, k čemuž jsou nutné značné veřejné investice za účelem snížení negativních socioekonomických dopadů změny klimatu na EU a její členské státy, včetně negativních dopadů na růst a fiskální udržitelnost.</w:t>
      </w:r>
    </w:p>
  </w:footnote>
  <w:footnote w:id="8">
    <w:p w:rsidR="0076342D" w:rsidRPr="0076342D" w:rsidRDefault="0076342D" w:rsidP="00F864C3">
      <w:pPr>
        <w:pStyle w:val="FootnoteText"/>
        <w:rPr>
          <w:sz w:val="24"/>
          <w:szCs w:val="24"/>
          <w:lang w:val="pl-PL"/>
        </w:rPr>
      </w:pPr>
      <w:r w:rsidRPr="00AF3BF3">
        <w:rPr>
          <w:rStyle w:val="FootnoteReference"/>
          <w:sz w:val="24"/>
          <w:szCs w:val="24"/>
        </w:rPr>
        <w:footnoteRef/>
      </w:r>
      <w:r w:rsidRPr="0076342D">
        <w:rPr>
          <w:sz w:val="24"/>
          <w:szCs w:val="24"/>
          <w:lang w:val="pl-PL"/>
        </w:rPr>
        <w:tab/>
      </w:r>
      <w:proofErr w:type="spellStart"/>
      <w:r w:rsidRPr="0076342D">
        <w:rPr>
          <w:sz w:val="24"/>
          <w:szCs w:val="24"/>
          <w:lang w:val="pl-PL"/>
        </w:rPr>
        <w:t>Nařízení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Evropského</w:t>
      </w:r>
      <w:proofErr w:type="spellEnd"/>
      <w:r w:rsidRPr="0076342D">
        <w:rPr>
          <w:sz w:val="24"/>
          <w:szCs w:val="24"/>
          <w:lang w:val="pl-PL"/>
        </w:rPr>
        <w:t xml:space="preserve"> parlamentu a Rady (EU) [...] </w:t>
      </w:r>
      <w:proofErr w:type="gramStart"/>
      <w:r w:rsidRPr="0076342D">
        <w:rPr>
          <w:sz w:val="24"/>
          <w:szCs w:val="24"/>
          <w:lang w:val="pl-PL"/>
        </w:rPr>
        <w:t>ze</w:t>
      </w:r>
      <w:proofErr w:type="gram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dne</w:t>
      </w:r>
      <w:proofErr w:type="spellEnd"/>
      <w:r w:rsidRPr="0076342D">
        <w:rPr>
          <w:sz w:val="24"/>
          <w:szCs w:val="24"/>
          <w:lang w:val="pl-PL"/>
        </w:rPr>
        <w:t xml:space="preserve"> [...] [</w:t>
      </w:r>
      <w:proofErr w:type="gramStart"/>
      <w:r w:rsidRPr="0076342D">
        <w:rPr>
          <w:sz w:val="24"/>
          <w:szCs w:val="24"/>
          <w:lang w:val="pl-PL"/>
        </w:rPr>
        <w:t>o</w:t>
      </w:r>
      <w:proofErr w:type="gram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účinné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koordinaci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hospodářských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politik</w:t>
      </w:r>
      <w:proofErr w:type="spellEnd"/>
      <w:r w:rsidRPr="0076342D">
        <w:rPr>
          <w:sz w:val="24"/>
          <w:szCs w:val="24"/>
          <w:lang w:val="pl-PL"/>
        </w:rPr>
        <w:t xml:space="preserve"> a </w:t>
      </w:r>
      <w:proofErr w:type="spellStart"/>
      <w:r w:rsidRPr="0076342D">
        <w:rPr>
          <w:sz w:val="24"/>
          <w:szCs w:val="24"/>
          <w:lang w:val="pl-PL"/>
        </w:rPr>
        <w:t>mnohostranném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rozpočtovém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dohledu</w:t>
      </w:r>
      <w:proofErr w:type="spellEnd"/>
      <w:r w:rsidRPr="0076342D">
        <w:rPr>
          <w:sz w:val="24"/>
          <w:szCs w:val="24"/>
          <w:lang w:val="pl-PL"/>
        </w:rPr>
        <w:t>] (</w:t>
      </w:r>
      <w:proofErr w:type="spellStart"/>
      <w:r w:rsidRPr="0076342D">
        <w:rPr>
          <w:sz w:val="24"/>
          <w:szCs w:val="24"/>
          <w:lang w:val="pl-PL"/>
        </w:rPr>
        <w:t>Úř</w:t>
      </w:r>
      <w:proofErr w:type="spellEnd"/>
      <w:r w:rsidRPr="0076342D">
        <w:rPr>
          <w:sz w:val="24"/>
          <w:szCs w:val="24"/>
          <w:lang w:val="pl-PL"/>
        </w:rPr>
        <w:t>. </w:t>
      </w:r>
      <w:proofErr w:type="spellStart"/>
      <w:proofErr w:type="gramStart"/>
      <w:r w:rsidRPr="0076342D">
        <w:rPr>
          <w:sz w:val="24"/>
          <w:szCs w:val="24"/>
          <w:lang w:val="pl-PL"/>
        </w:rPr>
        <w:t>v</w:t>
      </w:r>
      <w:proofErr w:type="gramEnd"/>
      <w:r w:rsidRPr="0076342D">
        <w:rPr>
          <w:sz w:val="24"/>
          <w:szCs w:val="24"/>
          <w:lang w:val="pl-PL"/>
        </w:rPr>
        <w:t>ěst</w:t>
      </w:r>
      <w:proofErr w:type="spellEnd"/>
      <w:r w:rsidRPr="0076342D">
        <w:rPr>
          <w:sz w:val="24"/>
          <w:szCs w:val="24"/>
          <w:lang w:val="pl-PL"/>
        </w:rPr>
        <w:t xml:space="preserve">. L..., ..., </w:t>
      </w:r>
      <w:proofErr w:type="gramStart"/>
      <w:r w:rsidRPr="0076342D">
        <w:rPr>
          <w:sz w:val="24"/>
          <w:szCs w:val="24"/>
          <w:lang w:val="pl-PL"/>
        </w:rPr>
        <w:t>s</w:t>
      </w:r>
      <w:proofErr w:type="gramEnd"/>
      <w:r w:rsidRPr="0076342D">
        <w:rPr>
          <w:sz w:val="24"/>
          <w:szCs w:val="24"/>
          <w:lang w:val="pl-PL"/>
        </w:rPr>
        <w:t>. ...).</w:t>
      </w:r>
    </w:p>
  </w:footnote>
  <w:footnote w:id="9">
    <w:p w:rsidR="0076342D" w:rsidRPr="0076342D" w:rsidRDefault="0076342D" w:rsidP="00AF3BF3">
      <w:pPr>
        <w:pStyle w:val="FootnoteText"/>
        <w:ind w:left="851" w:hanging="851"/>
        <w:contextualSpacing/>
        <w:rPr>
          <w:sz w:val="24"/>
          <w:szCs w:val="24"/>
          <w:lang w:val="pl-PL"/>
        </w:rPr>
      </w:pPr>
      <w:r w:rsidRPr="00AF3BF3">
        <w:rPr>
          <w:rStyle w:val="FootnoteReference"/>
          <w:sz w:val="24"/>
          <w:szCs w:val="24"/>
        </w:rPr>
        <w:footnoteRef/>
      </w:r>
      <w:r w:rsidRPr="0076342D">
        <w:rPr>
          <w:sz w:val="24"/>
          <w:szCs w:val="24"/>
          <w:lang w:val="pl-PL"/>
        </w:rPr>
        <w:tab/>
      </w:r>
      <w:proofErr w:type="spellStart"/>
      <w:r w:rsidRPr="0076342D">
        <w:rPr>
          <w:sz w:val="24"/>
          <w:szCs w:val="24"/>
          <w:lang w:val="pl-PL"/>
        </w:rPr>
        <w:t>Smlouva</w:t>
      </w:r>
      <w:proofErr w:type="spellEnd"/>
      <w:r w:rsidRPr="0076342D">
        <w:rPr>
          <w:sz w:val="24"/>
          <w:szCs w:val="24"/>
          <w:lang w:val="pl-PL"/>
        </w:rPr>
        <w:t xml:space="preserve"> o </w:t>
      </w:r>
      <w:proofErr w:type="spellStart"/>
      <w:r w:rsidRPr="0076342D">
        <w:rPr>
          <w:sz w:val="24"/>
          <w:szCs w:val="24"/>
          <w:lang w:val="pl-PL"/>
        </w:rPr>
        <w:t>stabilitě</w:t>
      </w:r>
      <w:proofErr w:type="spellEnd"/>
      <w:r w:rsidRPr="0076342D">
        <w:rPr>
          <w:sz w:val="24"/>
          <w:szCs w:val="24"/>
          <w:lang w:val="pl-PL"/>
        </w:rPr>
        <w:t xml:space="preserve">, </w:t>
      </w:r>
      <w:proofErr w:type="spellStart"/>
      <w:r w:rsidRPr="0076342D">
        <w:rPr>
          <w:sz w:val="24"/>
          <w:szCs w:val="24"/>
          <w:lang w:val="pl-PL"/>
        </w:rPr>
        <w:t>koordinaci</w:t>
      </w:r>
      <w:proofErr w:type="spellEnd"/>
      <w:r w:rsidRPr="0076342D">
        <w:rPr>
          <w:sz w:val="24"/>
          <w:szCs w:val="24"/>
          <w:lang w:val="pl-PL"/>
        </w:rPr>
        <w:t xml:space="preserve"> a </w:t>
      </w:r>
      <w:proofErr w:type="spellStart"/>
      <w:r w:rsidRPr="0076342D">
        <w:rPr>
          <w:sz w:val="24"/>
          <w:szCs w:val="24"/>
          <w:lang w:val="pl-PL"/>
        </w:rPr>
        <w:t>správě</w:t>
      </w:r>
      <w:proofErr w:type="spellEnd"/>
      <w:r w:rsidRPr="0076342D">
        <w:rPr>
          <w:sz w:val="24"/>
          <w:szCs w:val="24"/>
          <w:lang w:val="pl-PL"/>
        </w:rPr>
        <w:t xml:space="preserve"> v </w:t>
      </w:r>
      <w:proofErr w:type="spellStart"/>
      <w:r w:rsidRPr="0076342D">
        <w:rPr>
          <w:sz w:val="24"/>
          <w:szCs w:val="24"/>
          <w:lang w:val="pl-PL"/>
        </w:rPr>
        <w:t>hospodářské</w:t>
      </w:r>
      <w:proofErr w:type="spellEnd"/>
      <w:r w:rsidRPr="0076342D">
        <w:rPr>
          <w:sz w:val="24"/>
          <w:szCs w:val="24"/>
          <w:lang w:val="pl-PL"/>
        </w:rPr>
        <w:t xml:space="preserve"> a </w:t>
      </w:r>
      <w:proofErr w:type="spellStart"/>
      <w:r w:rsidRPr="0076342D">
        <w:rPr>
          <w:sz w:val="24"/>
          <w:szCs w:val="24"/>
          <w:lang w:val="pl-PL"/>
        </w:rPr>
        <w:t>měnové</w:t>
      </w:r>
      <w:proofErr w:type="spellEnd"/>
      <w:r w:rsidRPr="0076342D">
        <w:rPr>
          <w:sz w:val="24"/>
          <w:szCs w:val="24"/>
          <w:lang w:val="pl-PL"/>
        </w:rPr>
        <w:t xml:space="preserve"> unii ze </w:t>
      </w:r>
      <w:proofErr w:type="spellStart"/>
      <w:r w:rsidRPr="0076342D">
        <w:rPr>
          <w:sz w:val="24"/>
          <w:szCs w:val="24"/>
          <w:lang w:val="pl-PL"/>
        </w:rPr>
        <w:t>dne</w:t>
      </w:r>
      <w:proofErr w:type="spellEnd"/>
      <w:r w:rsidRPr="0076342D">
        <w:rPr>
          <w:sz w:val="24"/>
          <w:szCs w:val="24"/>
          <w:lang w:val="pl-PL"/>
        </w:rPr>
        <w:t xml:space="preserve"> 2. </w:t>
      </w:r>
      <w:proofErr w:type="spellStart"/>
      <w:proofErr w:type="gramStart"/>
      <w:r w:rsidRPr="0076342D">
        <w:rPr>
          <w:sz w:val="24"/>
          <w:szCs w:val="24"/>
          <w:lang w:val="pl-PL"/>
        </w:rPr>
        <w:t>b</w:t>
      </w:r>
      <w:proofErr w:type="gramEnd"/>
      <w:r w:rsidRPr="0076342D">
        <w:rPr>
          <w:sz w:val="24"/>
          <w:szCs w:val="24"/>
          <w:lang w:val="pl-PL"/>
        </w:rPr>
        <w:t>řezna</w:t>
      </w:r>
      <w:proofErr w:type="spellEnd"/>
      <w:r w:rsidRPr="0076342D">
        <w:rPr>
          <w:sz w:val="24"/>
          <w:szCs w:val="24"/>
          <w:lang w:val="pl-PL"/>
        </w:rPr>
        <w:t xml:space="preserve"> 2012.</w:t>
      </w:r>
    </w:p>
  </w:footnote>
  <w:footnote w:id="10">
    <w:p w:rsidR="0076342D" w:rsidRPr="0076342D" w:rsidRDefault="0076342D" w:rsidP="00AF3BF3">
      <w:pPr>
        <w:pStyle w:val="FootnoteText"/>
        <w:ind w:left="851" w:hanging="851"/>
        <w:rPr>
          <w:sz w:val="24"/>
          <w:szCs w:val="24"/>
          <w:lang w:val="pl-PL"/>
        </w:rPr>
      </w:pPr>
      <w:r w:rsidRPr="00AF3BF3">
        <w:rPr>
          <w:rStyle w:val="FootnoteReference"/>
          <w:sz w:val="24"/>
          <w:szCs w:val="24"/>
        </w:rPr>
        <w:footnoteRef/>
      </w:r>
      <w:r w:rsidRPr="0076342D">
        <w:rPr>
          <w:sz w:val="24"/>
          <w:szCs w:val="24"/>
          <w:lang w:val="pl-PL"/>
        </w:rPr>
        <w:tab/>
      </w:r>
      <w:proofErr w:type="spellStart"/>
      <w:r w:rsidRPr="0076342D">
        <w:rPr>
          <w:sz w:val="24"/>
          <w:szCs w:val="24"/>
          <w:lang w:val="pl-PL"/>
        </w:rPr>
        <w:t>Sdělení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Komise</w:t>
      </w:r>
      <w:proofErr w:type="spellEnd"/>
      <w:r w:rsidRPr="0076342D">
        <w:rPr>
          <w:sz w:val="24"/>
          <w:szCs w:val="24"/>
          <w:lang w:val="pl-PL"/>
        </w:rPr>
        <w:t xml:space="preserve"> COM</w:t>
      </w:r>
      <w:proofErr w:type="gramStart"/>
      <w:r w:rsidRPr="0076342D">
        <w:rPr>
          <w:sz w:val="24"/>
          <w:szCs w:val="24"/>
          <w:lang w:val="pl-PL"/>
        </w:rPr>
        <w:t xml:space="preserve">(2012)0342 </w:t>
      </w:r>
      <w:proofErr w:type="spellStart"/>
      <w:r w:rsidRPr="0076342D">
        <w:rPr>
          <w:sz w:val="24"/>
          <w:szCs w:val="24"/>
          <w:lang w:val="pl-PL"/>
        </w:rPr>
        <w:t>final</w:t>
      </w:r>
      <w:proofErr w:type="spellEnd"/>
      <w:proofErr w:type="gramEnd"/>
      <w:r w:rsidRPr="0076342D">
        <w:rPr>
          <w:sz w:val="24"/>
          <w:szCs w:val="24"/>
          <w:lang w:val="pl-PL"/>
        </w:rPr>
        <w:t xml:space="preserve"> ze </w:t>
      </w:r>
      <w:proofErr w:type="spellStart"/>
      <w:r w:rsidRPr="0076342D">
        <w:rPr>
          <w:sz w:val="24"/>
          <w:szCs w:val="24"/>
          <w:lang w:val="pl-PL"/>
        </w:rPr>
        <w:t>dne</w:t>
      </w:r>
      <w:proofErr w:type="spellEnd"/>
      <w:r w:rsidRPr="0076342D">
        <w:rPr>
          <w:sz w:val="24"/>
          <w:szCs w:val="24"/>
          <w:lang w:val="pl-PL"/>
        </w:rPr>
        <w:t xml:space="preserve"> 20. </w:t>
      </w:r>
      <w:proofErr w:type="spellStart"/>
      <w:r w:rsidRPr="0076342D">
        <w:rPr>
          <w:sz w:val="24"/>
          <w:szCs w:val="24"/>
          <w:lang w:val="pl-PL"/>
        </w:rPr>
        <w:t>června</w:t>
      </w:r>
      <w:proofErr w:type="spellEnd"/>
      <w:r w:rsidRPr="0076342D">
        <w:rPr>
          <w:sz w:val="24"/>
          <w:szCs w:val="24"/>
          <w:lang w:val="pl-PL"/>
        </w:rPr>
        <w:t xml:space="preserve"> 2012 „</w:t>
      </w:r>
      <w:proofErr w:type="spellStart"/>
      <w:r w:rsidRPr="0076342D">
        <w:rPr>
          <w:sz w:val="24"/>
          <w:szCs w:val="24"/>
          <w:lang w:val="pl-PL"/>
        </w:rPr>
        <w:t>Společné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zásady</w:t>
      </w:r>
      <w:proofErr w:type="spellEnd"/>
      <w:r w:rsidRPr="0076342D">
        <w:rPr>
          <w:sz w:val="24"/>
          <w:szCs w:val="24"/>
          <w:lang w:val="pl-PL"/>
        </w:rPr>
        <w:t xml:space="preserve"> pro </w:t>
      </w:r>
      <w:proofErr w:type="spellStart"/>
      <w:r w:rsidRPr="0076342D">
        <w:rPr>
          <w:sz w:val="24"/>
          <w:szCs w:val="24"/>
          <w:lang w:val="pl-PL"/>
        </w:rPr>
        <w:t>vnitrostátní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rozpočtové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mechanismy</w:t>
      </w:r>
      <w:proofErr w:type="spellEnd"/>
      <w:r w:rsidRPr="0076342D">
        <w:rPr>
          <w:sz w:val="24"/>
          <w:szCs w:val="24"/>
          <w:lang w:val="pl-PL"/>
        </w:rPr>
        <w:t xml:space="preserve"> </w:t>
      </w:r>
      <w:proofErr w:type="spellStart"/>
      <w:r w:rsidRPr="0076342D">
        <w:rPr>
          <w:sz w:val="24"/>
          <w:szCs w:val="24"/>
          <w:lang w:val="pl-PL"/>
        </w:rPr>
        <w:t>nápravy</w:t>
      </w:r>
      <w:proofErr w:type="spellEnd"/>
      <w:r w:rsidRPr="0076342D">
        <w:rPr>
          <w:sz w:val="24"/>
          <w:szCs w:val="24"/>
          <w:lang w:val="pl-PL"/>
        </w:rPr>
        <w:t>“.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3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3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03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13"/>
  </w:num>
  <w:num w:numId="7">
    <w:abstractNumId w:val="6"/>
  </w:num>
  <w:num w:numId="8">
    <w:abstractNumId w:val="15"/>
  </w:num>
  <w:num w:numId="9">
    <w:abstractNumId w:val="4"/>
  </w:num>
  <w:num w:numId="10">
    <w:abstractNumId w:val="7"/>
  </w:num>
  <w:num w:numId="11">
    <w:abstractNumId w:val="8"/>
  </w:num>
  <w:num w:numId="12">
    <w:abstractNumId w:val="2"/>
  </w:num>
  <w:num w:numId="13">
    <w:abstractNumId w:val="11"/>
  </w:num>
  <w:num w:numId="14">
    <w:abstractNumId w:val="12"/>
  </w:num>
  <w:num w:numId="15">
    <w:abstractNumId w:val="3"/>
  </w:num>
  <w:num w:numId="16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4/2023"/>
    <w:docVar w:name="dvlangue" w:val="CS"/>
    <w:docVar w:name="dvnumam" w:val="0"/>
    <w:docVar w:name="dvpe" w:val="757.279"/>
    <w:docVar w:name="dvrapporteur" w:val="Zpravodajky: "/>
    <w:docVar w:name="dvstar" w:val="*"/>
    <w:docVar w:name="dvtitre" w:val="Legislativní usnesení Evropského parlamentu ze dne.... 2024 o návrhu nařízení Rady, kterým se mění nařízení (ES) č. 1467/97 o urychlení a vyjasnění postupu při nadměrném schodku(COM(2023)0241 – C9-0172/2023 – 2023/0137(CNS))"/>
  </w:docVars>
  <w:rsids>
    <w:rsidRoot w:val="006B5AC7"/>
    <w:rsid w:val="00002272"/>
    <w:rsid w:val="0005186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D25"/>
    <w:rsid w:val="0044373B"/>
    <w:rsid w:val="00471C19"/>
    <w:rsid w:val="004867E3"/>
    <w:rsid w:val="00494A28"/>
    <w:rsid w:val="004A5F7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6CA9"/>
    <w:rsid w:val="006B5AC7"/>
    <w:rsid w:val="006F74FA"/>
    <w:rsid w:val="00731ADD"/>
    <w:rsid w:val="00734777"/>
    <w:rsid w:val="00747932"/>
    <w:rsid w:val="00751A4A"/>
    <w:rsid w:val="00756632"/>
    <w:rsid w:val="00762C74"/>
    <w:rsid w:val="0076342D"/>
    <w:rsid w:val="007738CA"/>
    <w:rsid w:val="00786EC0"/>
    <w:rsid w:val="007D1690"/>
    <w:rsid w:val="007D23C1"/>
    <w:rsid w:val="007E22AD"/>
    <w:rsid w:val="00817416"/>
    <w:rsid w:val="00821B63"/>
    <w:rsid w:val="00842779"/>
    <w:rsid w:val="00865F67"/>
    <w:rsid w:val="008740FE"/>
    <w:rsid w:val="00881A7B"/>
    <w:rsid w:val="008840E5"/>
    <w:rsid w:val="00887B3E"/>
    <w:rsid w:val="008C2AC6"/>
    <w:rsid w:val="009108C4"/>
    <w:rsid w:val="009201E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316"/>
    <w:rsid w:val="00B12E95"/>
    <w:rsid w:val="00B22876"/>
    <w:rsid w:val="00B558F0"/>
    <w:rsid w:val="00B803A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96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8A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1F127-50EE-46B6-A4DA-20F1F4ED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738C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8C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8C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8C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8C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8C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8C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7738C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7738C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7738C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738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738CA"/>
    <w:pPr>
      <w:spacing w:before="480" w:after="240"/>
    </w:pPr>
  </w:style>
  <w:style w:type="paragraph" w:customStyle="1" w:styleId="TOCPage">
    <w:name w:val="TOC Page"/>
    <w:basedOn w:val="Normal"/>
    <w:next w:val="TOC1"/>
    <w:rsid w:val="007738C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738CA"/>
    <w:pPr>
      <w:spacing w:after="120"/>
    </w:pPr>
  </w:style>
  <w:style w:type="paragraph" w:customStyle="1" w:styleId="PageHeading">
    <w:name w:val="PageHeading"/>
    <w:basedOn w:val="Normal"/>
    <w:link w:val="PageHeadingChar"/>
    <w:rsid w:val="007738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738CA"/>
    <w:rPr>
      <w:b/>
    </w:rPr>
  </w:style>
  <w:style w:type="paragraph" w:customStyle="1" w:styleId="NormalBold12a">
    <w:name w:val="NormalBold12a"/>
    <w:basedOn w:val="Normal"/>
    <w:rsid w:val="007738CA"/>
    <w:pPr>
      <w:spacing w:after="240"/>
    </w:pPr>
    <w:rPr>
      <w:b/>
    </w:rPr>
  </w:style>
  <w:style w:type="paragraph" w:customStyle="1" w:styleId="AmJustText">
    <w:name w:val="AmJustText"/>
    <w:basedOn w:val="Normal"/>
    <w:rsid w:val="007738C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738C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738CA"/>
    <w:pPr>
      <w:spacing w:after="480"/>
      <w:ind w:left="1417"/>
    </w:pPr>
  </w:style>
  <w:style w:type="paragraph" w:customStyle="1" w:styleId="CoverNormal">
    <w:name w:val="CoverNormal"/>
    <w:basedOn w:val="Normal"/>
    <w:rsid w:val="007738CA"/>
    <w:pPr>
      <w:ind w:left="1418"/>
    </w:pPr>
  </w:style>
  <w:style w:type="paragraph" w:customStyle="1" w:styleId="AmCrossRef">
    <w:name w:val="AmCrossRef"/>
    <w:basedOn w:val="Normal"/>
    <w:rsid w:val="007738C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738C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738C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738C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738C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738C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738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8CA"/>
    <w:rPr>
      <w:sz w:val="24"/>
      <w:lang w:val="cs-CZ"/>
    </w:rPr>
  </w:style>
  <w:style w:type="paragraph" w:customStyle="1" w:styleId="AmOrLang">
    <w:name w:val="AmOrLang"/>
    <w:basedOn w:val="Normal"/>
    <w:rsid w:val="007738C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738C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38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738CA"/>
    <w:pPr>
      <w:spacing w:before="240"/>
    </w:pPr>
    <w:rPr>
      <w:b/>
    </w:rPr>
  </w:style>
  <w:style w:type="paragraph" w:customStyle="1" w:styleId="EPBody">
    <w:name w:val="EPBody"/>
    <w:basedOn w:val="Normal"/>
    <w:rsid w:val="007738C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738C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738C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738C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738CA"/>
    <w:rPr>
      <w:sz w:val="18"/>
    </w:rPr>
  </w:style>
  <w:style w:type="paragraph" w:customStyle="1" w:styleId="NormalCenter12a">
    <w:name w:val="NormalCenter12a"/>
    <w:basedOn w:val="Normal"/>
    <w:rsid w:val="007738C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738CA"/>
    <w:pPr>
      <w:spacing w:before="720" w:after="240"/>
      <w:jc w:val="center"/>
    </w:pPr>
  </w:style>
  <w:style w:type="paragraph" w:customStyle="1" w:styleId="Statut">
    <w:name w:val="Statut"/>
    <w:basedOn w:val="Normal"/>
    <w:next w:val="Normal"/>
    <w:rsid w:val="007738C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738C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7738C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boldface">
    <w:name w:val="boldface"/>
    <w:basedOn w:val="DefaultParagraphFont"/>
    <w:rsid w:val="007738CA"/>
  </w:style>
  <w:style w:type="paragraph" w:customStyle="1" w:styleId="Text1">
    <w:name w:val="Text 1"/>
    <w:basedOn w:val="Normal"/>
    <w:rsid w:val="007738C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738C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738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738C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738C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7738C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738C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738C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738C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738C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738C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738C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738C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738C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Normal12a">
    <w:name w:val="Normal12a"/>
    <w:basedOn w:val="Normal"/>
    <w:rsid w:val="007738CA"/>
    <w:pPr>
      <w:spacing w:after="240"/>
    </w:pPr>
  </w:style>
  <w:style w:type="character" w:customStyle="1" w:styleId="erpldocument-subtitle-author">
    <w:name w:val="erpl_document-subtitle-author"/>
    <w:basedOn w:val="DefaultParagraphFont"/>
    <w:rsid w:val="007738CA"/>
  </w:style>
  <w:style w:type="paragraph" w:customStyle="1" w:styleId="LetterSalutation">
    <w:name w:val="LetterSalutation"/>
    <w:basedOn w:val="Normal"/>
    <w:rsid w:val="007738CA"/>
    <w:pPr>
      <w:spacing w:before="600" w:after="360"/>
    </w:pPr>
  </w:style>
  <w:style w:type="paragraph" w:customStyle="1" w:styleId="LetterSubject">
    <w:name w:val="LetterSubject"/>
    <w:basedOn w:val="Normal"/>
    <w:rsid w:val="007738C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7738CA"/>
    <w:pPr>
      <w:spacing w:before="1320"/>
    </w:pPr>
  </w:style>
  <w:style w:type="character" w:customStyle="1" w:styleId="tab">
    <w:name w:val="tab"/>
    <w:basedOn w:val="DefaultParagraphFont"/>
    <w:rsid w:val="007738CA"/>
  </w:style>
  <w:style w:type="character" w:customStyle="1" w:styleId="Emphasis1">
    <w:name w:val="Emphasis1"/>
    <w:basedOn w:val="DefaultParagraphFont"/>
    <w:rsid w:val="007738CA"/>
  </w:style>
  <w:style w:type="paragraph" w:customStyle="1" w:styleId="PageHeadingNotTOC">
    <w:name w:val="PageHeadingNotTOC"/>
    <w:basedOn w:val="Normal"/>
    <w:rsid w:val="007738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24a">
    <w:name w:val="Normal24a"/>
    <w:basedOn w:val="Normal"/>
    <w:link w:val="Normal24aChar"/>
    <w:rsid w:val="007738CA"/>
    <w:pPr>
      <w:spacing w:after="480"/>
    </w:pPr>
  </w:style>
  <w:style w:type="paragraph" w:customStyle="1" w:styleId="NormalBoldCenter">
    <w:name w:val="NormalBoldCenter"/>
    <w:basedOn w:val="Normal"/>
    <w:rsid w:val="007738CA"/>
    <w:pPr>
      <w:jc w:val="center"/>
    </w:pPr>
    <w:rPr>
      <w:b/>
    </w:rPr>
  </w:style>
  <w:style w:type="character" w:customStyle="1" w:styleId="Normal24aChar">
    <w:name w:val="Normal24a Char"/>
    <w:basedOn w:val="DefaultParagraphFont"/>
    <w:link w:val="Normal24a"/>
    <w:rsid w:val="007738CA"/>
    <w:rPr>
      <w:sz w:val="24"/>
      <w:lang w:val="cs-CZ"/>
    </w:rPr>
  </w:style>
  <w:style w:type="paragraph" w:customStyle="1" w:styleId="Normal12">
    <w:name w:val="Normal12"/>
    <w:basedOn w:val="Normal"/>
    <w:link w:val="Normal12Char"/>
    <w:rsid w:val="007738CA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7738CA"/>
    <w:rPr>
      <w:rFonts w:ascii="Arial" w:hAnsi="Arial" w:cs="Arial"/>
      <w:b/>
      <w:sz w:val="24"/>
      <w:lang w:val="cs-CZ"/>
    </w:rPr>
  </w:style>
  <w:style w:type="character" w:customStyle="1" w:styleId="Normal12Char">
    <w:name w:val="Normal12 Char"/>
    <w:basedOn w:val="PageHeadingChar"/>
    <w:link w:val="Normal12"/>
    <w:rsid w:val="007738CA"/>
    <w:rPr>
      <w:rFonts w:ascii="Arial" w:hAnsi="Arial" w:cs="Arial"/>
      <w:b w:val="0"/>
      <w:sz w:val="24"/>
      <w:lang w:val="cs-CZ"/>
    </w:rPr>
  </w:style>
  <w:style w:type="paragraph" w:customStyle="1" w:styleId="RollCallVotes">
    <w:name w:val="RollCallVotes"/>
    <w:basedOn w:val="Normal"/>
    <w:rsid w:val="007738C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738C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738C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738CA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7738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8CA"/>
    <w:rPr>
      <w:sz w:val="24"/>
      <w:lang w:val="cs-CZ"/>
    </w:rPr>
  </w:style>
  <w:style w:type="paragraph" w:styleId="BalloonText">
    <w:name w:val="Balloon Text"/>
    <w:basedOn w:val="Normal"/>
    <w:link w:val="BalloonTextChar"/>
    <w:uiPriority w:val="99"/>
    <w:rsid w:val="007D23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D23C1"/>
    <w:rPr>
      <w:rFonts w:ascii="Segoe UI" w:hAnsi="Segoe UI" w:cs="Segoe UI"/>
      <w:sz w:val="18"/>
      <w:szCs w:val="18"/>
      <w:lang w:val="cs-CZ"/>
    </w:rPr>
  </w:style>
  <w:style w:type="paragraph" w:customStyle="1" w:styleId="AmDocTypeTab">
    <w:name w:val="AmDocTypeTab"/>
    <w:basedOn w:val="Normal"/>
    <w:rsid w:val="0076342D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6342D"/>
    <w:pPr>
      <w:tabs>
        <w:tab w:val="right" w:pos="9072"/>
      </w:tabs>
    </w:pPr>
  </w:style>
  <w:style w:type="paragraph" w:styleId="ListParagraph">
    <w:name w:val="List Paragraph"/>
    <w:aliases w:val="1st level - Bullet List Paragraph,List Paragraph1,Lettre d'introduction,Paragrafo elenco,Medium Grid 1 - Accent 21,Dot pt,F5 List Paragraph,No Spacing1,List Paragraph Char Char Char,Indicator Text,Colorful List - Accent 11"/>
    <w:basedOn w:val="Normal"/>
    <w:link w:val="ListParagraphChar"/>
    <w:uiPriority w:val="34"/>
    <w:qFormat/>
    <w:rsid w:val="0076342D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76342D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76342D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6342D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6342D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meti">
    <w:name w:val="meti"/>
    <w:basedOn w:val="DefaultParagraphFont"/>
    <w:rsid w:val="0076342D"/>
  </w:style>
  <w:style w:type="character" w:customStyle="1" w:styleId="lnksmeti">
    <w:name w:val="lnksmeti"/>
    <w:basedOn w:val="DefaultParagraphFont"/>
    <w:rsid w:val="0076342D"/>
  </w:style>
  <w:style w:type="character" w:styleId="CommentReference">
    <w:name w:val="annotation reference"/>
    <w:basedOn w:val="DefaultParagraphFont"/>
    <w:uiPriority w:val="99"/>
    <w:unhideWhenUsed/>
    <w:rsid w:val="00763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342D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342D"/>
    <w:rPr>
      <w:rFonts w:asciiTheme="minorHAnsi" w:eastAsiaTheme="minorHAnsi" w:hAnsiTheme="minorHAnsi" w:cstheme="minorBidi"/>
      <w:lang w:val="cs-CZ" w:eastAsia="en-US"/>
    </w:rPr>
  </w:style>
  <w:style w:type="character" w:customStyle="1" w:styleId="ListParagraphChar">
    <w:name w:val="List Paragraph Char"/>
    <w:aliases w:val="1st level - Bullet List Paragraph Char,List Paragraph1 Char,Lettre d'introduction Char,Paragrafo elenco Char,Medium Grid 1 - Accent 21 Char,Dot pt Char,F5 List Paragraph Char,No Spacing1 Char,List Paragraph Char Char Char Char"/>
    <w:basedOn w:val="DefaultParagraphFont"/>
    <w:link w:val="ListParagraph"/>
    <w:uiPriority w:val="34"/>
    <w:qFormat/>
    <w:locked/>
    <w:rsid w:val="0076342D"/>
    <w:rPr>
      <w:rFonts w:eastAsiaTheme="minorHAnsi"/>
      <w:sz w:val="24"/>
      <w:szCs w:val="22"/>
      <w:lang w:val="cs-CZ" w:eastAsia="en-US"/>
    </w:rPr>
  </w:style>
  <w:style w:type="paragraph" w:customStyle="1" w:styleId="norm">
    <w:name w:val="norm"/>
    <w:basedOn w:val="Normal"/>
    <w:rsid w:val="0076342D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76342D"/>
    <w:rPr>
      <w:color w:val="0000FF"/>
      <w:u w:val="single"/>
    </w:rPr>
  </w:style>
  <w:style w:type="paragraph" w:customStyle="1" w:styleId="modref">
    <w:name w:val="modref"/>
    <w:basedOn w:val="Normal"/>
    <w:rsid w:val="0076342D"/>
    <w:pPr>
      <w:widowControl/>
      <w:spacing w:before="100" w:beforeAutospacing="1" w:after="100" w:afterAutospacing="1"/>
    </w:pPr>
    <w:rPr>
      <w:szCs w:val="24"/>
    </w:rPr>
  </w:style>
  <w:style w:type="character" w:customStyle="1" w:styleId="superscript">
    <w:name w:val="superscript"/>
    <w:basedOn w:val="DefaultParagraphFont"/>
    <w:rsid w:val="0076342D"/>
  </w:style>
  <w:style w:type="character" w:styleId="FollowedHyperlink">
    <w:name w:val="FollowedHyperlink"/>
    <w:basedOn w:val="DefaultParagraphFont"/>
    <w:uiPriority w:val="99"/>
    <w:unhideWhenUsed/>
    <w:rsid w:val="0076342D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6342D"/>
    <w:rPr>
      <w:i/>
      <w:iCs/>
    </w:rPr>
  </w:style>
  <w:style w:type="paragraph" w:customStyle="1" w:styleId="title-division-1">
    <w:name w:val="title-division-1"/>
    <w:basedOn w:val="Normal"/>
    <w:rsid w:val="0076342D"/>
    <w:pPr>
      <w:widowControl/>
      <w:spacing w:before="100" w:beforeAutospacing="1" w:after="100" w:afterAutospacing="1"/>
    </w:pPr>
    <w:rPr>
      <w:szCs w:val="24"/>
    </w:rPr>
  </w:style>
  <w:style w:type="paragraph" w:customStyle="1" w:styleId="title-division-2">
    <w:name w:val="title-division-2"/>
    <w:basedOn w:val="Normal"/>
    <w:rsid w:val="0076342D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6342D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6342D"/>
    <w:rPr>
      <w:rFonts w:asciiTheme="minorHAnsi" w:eastAsiaTheme="minorHAnsi" w:hAnsiTheme="minorHAnsi" w:cstheme="minorBidi"/>
      <w:b/>
      <w:bCs/>
      <w:lang w:val="cs-CZ" w:eastAsia="en-US"/>
    </w:rPr>
  </w:style>
  <w:style w:type="paragraph" w:styleId="Revision">
    <w:name w:val="Revision"/>
    <w:hidden/>
    <w:uiPriority w:val="99"/>
    <w:semiHidden/>
    <w:rsid w:val="0076342D"/>
    <w:rPr>
      <w:rFonts w:eastAsiaTheme="minorHAnsi"/>
      <w:sz w:val="24"/>
      <w:szCs w:val="22"/>
      <w:lang w:val="cs-CZ" w:eastAsia="en-US"/>
    </w:rPr>
  </w:style>
  <w:style w:type="character" w:styleId="Strong">
    <w:name w:val="Strong"/>
    <w:basedOn w:val="DefaultParagraphFont"/>
    <w:uiPriority w:val="22"/>
    <w:qFormat/>
    <w:rsid w:val="0076342D"/>
    <w:rPr>
      <w:b/>
      <w:bCs/>
    </w:rPr>
  </w:style>
  <w:style w:type="paragraph" w:customStyle="1" w:styleId="title-bold">
    <w:name w:val="title-bold"/>
    <w:basedOn w:val="Normal"/>
    <w:rsid w:val="0076342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NormalWeb">
    <w:name w:val="Normal (Web)"/>
    <w:basedOn w:val="Normal"/>
    <w:uiPriority w:val="99"/>
    <w:unhideWhenUsed/>
    <w:rsid w:val="0076342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TOC4">
    <w:name w:val="toc 4"/>
    <w:basedOn w:val="Normal"/>
    <w:next w:val="Normal"/>
    <w:uiPriority w:val="39"/>
    <w:unhideWhenUsed/>
    <w:rsid w:val="0076342D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6342D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6342D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6342D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6342D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6342D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6342D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6342D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76342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6342D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6342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76342D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6342D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76342D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76342D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6342D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6342D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6342D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6342D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6342D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6342D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76342D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76342D"/>
    <w:pPr>
      <w:numPr>
        <w:numId w:val="6"/>
      </w:numPr>
    </w:pPr>
  </w:style>
  <w:style w:type="paragraph" w:customStyle="1" w:styleId="Tiret1">
    <w:name w:val="Tiret 1"/>
    <w:basedOn w:val="Point1"/>
    <w:rsid w:val="0076342D"/>
    <w:pPr>
      <w:numPr>
        <w:numId w:val="7"/>
      </w:numPr>
    </w:pPr>
  </w:style>
  <w:style w:type="paragraph" w:customStyle="1" w:styleId="Tiret2">
    <w:name w:val="Tiret 2"/>
    <w:basedOn w:val="Point2"/>
    <w:rsid w:val="0076342D"/>
    <w:pPr>
      <w:numPr>
        <w:numId w:val="8"/>
      </w:numPr>
    </w:pPr>
  </w:style>
  <w:style w:type="paragraph" w:customStyle="1" w:styleId="Tiret3">
    <w:name w:val="Tiret 3"/>
    <w:basedOn w:val="Point3"/>
    <w:rsid w:val="0076342D"/>
    <w:pPr>
      <w:numPr>
        <w:numId w:val="9"/>
      </w:numPr>
    </w:pPr>
  </w:style>
  <w:style w:type="paragraph" w:customStyle="1" w:styleId="Tiret4">
    <w:name w:val="Tiret 4"/>
    <w:basedOn w:val="Point4"/>
    <w:rsid w:val="0076342D"/>
    <w:pPr>
      <w:numPr>
        <w:numId w:val="10"/>
      </w:numPr>
    </w:pPr>
  </w:style>
  <w:style w:type="paragraph" w:customStyle="1" w:styleId="Tiret5">
    <w:name w:val="Tiret 5"/>
    <w:basedOn w:val="Point5"/>
    <w:rsid w:val="0076342D"/>
    <w:pPr>
      <w:numPr>
        <w:numId w:val="11"/>
      </w:numPr>
    </w:pPr>
  </w:style>
  <w:style w:type="paragraph" w:customStyle="1" w:styleId="PointDouble0">
    <w:name w:val="PointDouble 0"/>
    <w:basedOn w:val="Normal"/>
    <w:rsid w:val="0076342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6342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6342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6342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6342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6342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6342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6342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6342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6342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76342D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6342D"/>
    <w:pPr>
      <w:widowControl/>
      <w:numPr>
        <w:ilvl w:val="1"/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6342D"/>
    <w:pPr>
      <w:widowControl/>
      <w:numPr>
        <w:ilvl w:val="2"/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6342D"/>
    <w:pPr>
      <w:widowControl/>
      <w:numPr>
        <w:ilvl w:val="3"/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76342D"/>
    <w:pPr>
      <w:widowControl/>
      <w:numPr>
        <w:ilvl w:val="4"/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76342D"/>
    <w:pPr>
      <w:widowControl/>
      <w:numPr>
        <w:ilvl w:val="5"/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76342D"/>
    <w:pPr>
      <w:widowControl/>
      <w:numPr>
        <w:ilvl w:val="6"/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6342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6342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6342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6342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6342D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6342D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6342D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6342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6342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6342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6342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6342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6342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6342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6342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6342D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6342D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6342D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6342D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76342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6342D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6342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6342D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6342D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6342D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6342D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6342D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6342D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6342D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6342D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6342D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6342D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6342D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6342D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6342D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6342D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6342D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6342D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6342D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6342D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6342D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6342D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76342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76342D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76342D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6342D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6342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6342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6342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76342D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6342D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6342D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6342D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6342D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6342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6342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6342D"/>
    <w:pPr>
      <w:widowControl/>
      <w:ind w:left="5103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76342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6342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6342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6342D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6342D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6342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76342D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6342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6342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6342D"/>
  </w:style>
  <w:style w:type="paragraph" w:customStyle="1" w:styleId="StatutPagedecouverture">
    <w:name w:val="Statut (Page de couverture)"/>
    <w:basedOn w:val="Statut"/>
    <w:next w:val="TypedudocumentPagedecouverture"/>
    <w:rsid w:val="0076342D"/>
  </w:style>
  <w:style w:type="paragraph" w:customStyle="1" w:styleId="TitreobjetPagedecouverture">
    <w:name w:val="Titre objet (Page de couverture)"/>
    <w:basedOn w:val="Titreobjet"/>
    <w:next w:val="IntrtEEEPagedecouverture"/>
    <w:rsid w:val="0076342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6342D"/>
  </w:style>
  <w:style w:type="paragraph" w:customStyle="1" w:styleId="Volume">
    <w:name w:val="Volume"/>
    <w:basedOn w:val="Normal"/>
    <w:next w:val="Confidentialit"/>
    <w:rsid w:val="0076342D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6342D"/>
    <w:pPr>
      <w:spacing w:after="240"/>
    </w:pPr>
  </w:style>
  <w:style w:type="paragraph" w:customStyle="1" w:styleId="Accompagnant">
    <w:name w:val="Accompagnant"/>
    <w:basedOn w:val="Normal"/>
    <w:next w:val="Typeacteprincipal"/>
    <w:rsid w:val="0076342D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6342D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6342D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6342D"/>
  </w:style>
  <w:style w:type="paragraph" w:customStyle="1" w:styleId="AccompagnantPagedecouverture">
    <w:name w:val="Accompagnant (Page de couverture)"/>
    <w:basedOn w:val="Accompagnant"/>
    <w:next w:val="TypeacteprincipalPagedecouverture"/>
    <w:rsid w:val="0076342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6342D"/>
  </w:style>
  <w:style w:type="paragraph" w:customStyle="1" w:styleId="ObjetacteprincipalPagedecouverture">
    <w:name w:val="Objet acte principal (Page de couverture)"/>
    <w:basedOn w:val="Objetacteprincipal"/>
    <w:next w:val="Rfrencecroise"/>
    <w:rsid w:val="0076342D"/>
  </w:style>
  <w:style w:type="paragraph" w:customStyle="1" w:styleId="LanguesfaisantfoiPagedecouverture">
    <w:name w:val="Langues faisant foi (Page de couverture)"/>
    <w:basedOn w:val="Normal"/>
    <w:next w:val="Normal"/>
    <w:rsid w:val="0076342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echnicalBlock">
    <w:name w:val="Technical Block"/>
    <w:basedOn w:val="Normal"/>
    <w:link w:val="TechnicalBlockChar"/>
    <w:rsid w:val="0076342D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6342D"/>
    <w:rPr>
      <w:rFonts w:eastAsiaTheme="minorHAnsi"/>
      <w:sz w:val="24"/>
      <w:szCs w:val="22"/>
      <w:lang w:val="cs-CZ" w:eastAsia="en-US"/>
    </w:rPr>
  </w:style>
  <w:style w:type="paragraph" w:customStyle="1" w:styleId="EntText">
    <w:name w:val="EntText"/>
    <w:basedOn w:val="Normal"/>
    <w:rsid w:val="0076342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6342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pj">
    <w:name w:val="p.j."/>
    <w:basedOn w:val="Normal"/>
    <w:link w:val="pjChar"/>
    <w:rsid w:val="0076342D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76342D"/>
    <w:rPr>
      <w:rFonts w:eastAsiaTheme="minorHAnsi"/>
      <w:sz w:val="24"/>
      <w:szCs w:val="22"/>
      <w:lang w:val="cs-CZ" w:eastAsia="en-US"/>
    </w:rPr>
  </w:style>
  <w:style w:type="paragraph" w:customStyle="1" w:styleId="nbbordered">
    <w:name w:val="nb bordered"/>
    <w:basedOn w:val="Normal"/>
    <w:link w:val="nbborderedChar"/>
    <w:rsid w:val="0076342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76342D"/>
    <w:rPr>
      <w:rFonts w:eastAsiaTheme="minorHAnsi"/>
      <w:b/>
      <w:sz w:val="24"/>
      <w:szCs w:val="22"/>
      <w:lang w:val="cs-CZ" w:eastAsia="en-US"/>
    </w:rPr>
  </w:style>
  <w:style w:type="paragraph" w:customStyle="1" w:styleId="HeaderCouncil">
    <w:name w:val="Header Council"/>
    <w:basedOn w:val="Normal"/>
    <w:link w:val="HeaderCouncilChar"/>
    <w:rsid w:val="0076342D"/>
    <w:pPr>
      <w:widowControl/>
      <w:jc w:val="both"/>
    </w:pPr>
    <w:rPr>
      <w:rFonts w:eastAsiaTheme="minorHAnsi"/>
      <w:noProof/>
      <w:sz w:val="2"/>
      <w:szCs w:val="22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76342D"/>
    <w:rPr>
      <w:rFonts w:eastAsiaTheme="minorHAnsi"/>
      <w:noProof/>
      <w:sz w:val="2"/>
      <w:szCs w:val="22"/>
      <w:lang w:val="cs-CZ" w:eastAsia="en-US"/>
    </w:rPr>
  </w:style>
  <w:style w:type="paragraph" w:customStyle="1" w:styleId="HeaderCouncilLarge">
    <w:name w:val="Header Council Large"/>
    <w:basedOn w:val="Normal"/>
    <w:link w:val="HeaderCouncilLargeChar"/>
    <w:rsid w:val="0076342D"/>
    <w:pPr>
      <w:widowControl/>
      <w:spacing w:after="440"/>
      <w:jc w:val="both"/>
    </w:pPr>
    <w:rPr>
      <w:rFonts w:eastAsiaTheme="minorHAnsi"/>
      <w:noProof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76342D"/>
    <w:rPr>
      <w:rFonts w:eastAsiaTheme="minorHAnsi"/>
      <w:noProof/>
      <w:sz w:val="2"/>
      <w:szCs w:val="22"/>
      <w:lang w:val="cs-CZ" w:eastAsia="en-US"/>
    </w:rPr>
  </w:style>
  <w:style w:type="paragraph" w:customStyle="1" w:styleId="FooterCouncil">
    <w:name w:val="Footer Council"/>
    <w:basedOn w:val="Normal"/>
    <w:link w:val="FooterCouncilChar"/>
    <w:rsid w:val="0076342D"/>
    <w:pPr>
      <w:widowControl/>
      <w:jc w:val="both"/>
    </w:pPr>
    <w:rPr>
      <w:rFonts w:eastAsiaTheme="minorHAnsi"/>
      <w:noProof/>
      <w:sz w:val="2"/>
      <w:szCs w:val="22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76342D"/>
    <w:rPr>
      <w:rFonts w:eastAsiaTheme="minorHAnsi"/>
      <w:noProof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76342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6342D"/>
    <w:rPr>
      <w:color w:val="808080"/>
    </w:rPr>
  </w:style>
  <w:style w:type="paragraph" w:customStyle="1" w:styleId="Propuestadecompromiso">
    <w:name w:val="Propuesta de compromiso"/>
    <w:basedOn w:val="Normal"/>
    <w:qFormat/>
    <w:rsid w:val="0076342D"/>
    <w:pPr>
      <w:widowControl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xmsonormal">
    <w:name w:val="x_msonormal"/>
    <w:basedOn w:val="Normal"/>
    <w:rsid w:val="0076342D"/>
    <w:pPr>
      <w:widowControl/>
    </w:pPr>
    <w:rPr>
      <w:rFonts w:ascii="Calibri" w:eastAsiaTheme="minorHAnsi" w:hAnsi="Calibri" w:cs="Calibri"/>
      <w:sz w:val="22"/>
      <w:szCs w:val="22"/>
      <w:lang w:eastAsia="en-I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6342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6342D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763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56B0A-2CC9-4941-86DE-4D76A705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5158</Words>
  <Characters>29170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BINKEVICIUTE Aurelija</cp:lastModifiedBy>
  <cp:revision>3</cp:revision>
  <cp:lastPrinted>2004-11-19T15:42:00Z</cp:lastPrinted>
  <dcterms:created xsi:type="dcterms:W3CDTF">2024-09-05T13:47:00Z</dcterms:created>
  <dcterms:modified xsi:type="dcterms:W3CDTF">2024-10-16T08:13:00Z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P9_TA(2024)0312_</vt:lpwstr>
  </property>
  <property fmtid="{D5CDD505-2E9C-101B-9397-08002B2CF9AE}" pid="4" name="&lt;Type&gt;">
    <vt:lpwstr>RR</vt:lpwstr>
  </property>
</Properties>
</file>