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E7CC5" w:rsidTr="0010095E">
        <w:trPr>
          <w:trHeight w:hRule="exact" w:val="1418"/>
        </w:trPr>
        <w:tc>
          <w:tcPr>
            <w:tcW w:w="6804" w:type="dxa"/>
            <w:shd w:val="clear" w:color="auto" w:fill="auto"/>
            <w:vAlign w:val="center"/>
          </w:tcPr>
          <w:p w:rsidR="00751A4A" w:rsidRPr="009E7CC5" w:rsidRDefault="00160174" w:rsidP="0010095E">
            <w:pPr>
              <w:pStyle w:val="EPName"/>
            </w:pPr>
            <w:r w:rsidRPr="009E7CC5">
              <w:t>Europos Parlamentas</w:t>
            </w:r>
          </w:p>
          <w:p w:rsidR="00751A4A" w:rsidRPr="009E7CC5" w:rsidRDefault="00817416" w:rsidP="00756632">
            <w:pPr>
              <w:pStyle w:val="EPTerm"/>
              <w:rPr>
                <w:rStyle w:val="HideTWBExt"/>
                <w:noProof w:val="0"/>
                <w:vanish w:val="0"/>
                <w:color w:val="auto"/>
              </w:rPr>
            </w:pPr>
            <w:r w:rsidRPr="009E7CC5">
              <w:t>2019-2024</w:t>
            </w:r>
          </w:p>
        </w:tc>
        <w:tc>
          <w:tcPr>
            <w:tcW w:w="2268" w:type="dxa"/>
            <w:shd w:val="clear" w:color="auto" w:fill="auto"/>
          </w:tcPr>
          <w:p w:rsidR="00751A4A" w:rsidRPr="009E7CC5" w:rsidRDefault="00187494" w:rsidP="0010095E">
            <w:pPr>
              <w:pStyle w:val="EPLogo"/>
            </w:pPr>
            <w:r w:rsidRPr="009E7CC5">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E7CC5" w:rsidRDefault="00D058B8" w:rsidP="004C5D52">
      <w:pPr>
        <w:pStyle w:val="LineTop"/>
      </w:pPr>
    </w:p>
    <w:p w:rsidR="00680577" w:rsidRPr="009E7CC5" w:rsidRDefault="00160174" w:rsidP="00680577">
      <w:pPr>
        <w:pStyle w:val="EPBodyTA1"/>
      </w:pPr>
      <w:r w:rsidRPr="009E7CC5">
        <w:t>PRIIMTI TEKSTAI</w:t>
      </w:r>
    </w:p>
    <w:p w:rsidR="00D058B8" w:rsidRPr="009E7CC5" w:rsidRDefault="00D058B8" w:rsidP="00D058B8">
      <w:pPr>
        <w:pStyle w:val="LineBottom"/>
      </w:pPr>
    </w:p>
    <w:p w:rsidR="00160174" w:rsidRPr="009E7CC5" w:rsidRDefault="00160174" w:rsidP="00160174">
      <w:pPr>
        <w:pStyle w:val="ATHeading1"/>
      </w:pPr>
      <w:bookmarkStart w:id="0" w:name="TANumber"/>
      <w:r w:rsidRPr="009E7CC5">
        <w:t>P9_TA(2024)0</w:t>
      </w:r>
      <w:r w:rsidR="00E63F8B">
        <w:t>312</w:t>
      </w:r>
      <w:bookmarkEnd w:id="0"/>
    </w:p>
    <w:p w:rsidR="00160174" w:rsidRPr="009E7CC5" w:rsidRDefault="005533CB" w:rsidP="005533CB">
      <w:pPr>
        <w:pStyle w:val="ATHeading2"/>
      </w:pPr>
      <w:bookmarkStart w:id="1" w:name="title"/>
      <w:r w:rsidRPr="005533CB">
        <w:t>Pervir</w:t>
      </w:r>
      <w:r w:rsidRPr="005533CB">
        <w:rPr>
          <w:rFonts w:hint="eastAsia"/>
        </w:rPr>
        <w:t>š</w:t>
      </w:r>
      <w:r w:rsidRPr="005533CB">
        <w:t>inio deficito proced</w:t>
      </w:r>
      <w:r w:rsidRPr="005533CB">
        <w:rPr>
          <w:rFonts w:hint="eastAsia"/>
        </w:rPr>
        <w:t>ū</w:t>
      </w:r>
      <w:r w:rsidRPr="005533CB">
        <w:t xml:space="preserve">ros </w:t>
      </w:r>
      <w:r w:rsidRPr="005533CB">
        <w:rPr>
          <w:rFonts w:hint="eastAsia"/>
        </w:rPr>
        <w:t>į</w:t>
      </w:r>
      <w:r w:rsidRPr="005533CB">
        <w:t>gyvendinimo paspartinim</w:t>
      </w:r>
      <w:r w:rsidR="004D5D42">
        <w:t>as</w:t>
      </w:r>
      <w:r w:rsidRPr="005533CB">
        <w:t xml:space="preserve"> ir paai</w:t>
      </w:r>
      <w:r w:rsidRPr="005533CB">
        <w:rPr>
          <w:rFonts w:hint="eastAsia"/>
        </w:rPr>
        <w:t>š</w:t>
      </w:r>
      <w:r w:rsidRPr="005533CB">
        <w:t>kinim</w:t>
      </w:r>
      <w:r w:rsidR="004D5D42">
        <w:t>as</w:t>
      </w:r>
      <w:r w:rsidRPr="005533CB">
        <w:t>. I</w:t>
      </w:r>
      <w:r w:rsidRPr="005533CB">
        <w:rPr>
          <w:rFonts w:hint="eastAsia"/>
        </w:rPr>
        <w:t>š</w:t>
      </w:r>
      <w:r w:rsidRPr="005533CB">
        <w:t xml:space="preserve"> dalies kei</w:t>
      </w:r>
      <w:r w:rsidRPr="005533CB">
        <w:rPr>
          <w:rFonts w:hint="eastAsia"/>
        </w:rPr>
        <w:t>č</w:t>
      </w:r>
      <w:r w:rsidRPr="005533CB">
        <w:t>iantis reglamentas</w:t>
      </w:r>
      <w:bookmarkEnd w:id="1"/>
    </w:p>
    <w:p w:rsidR="00160174" w:rsidRPr="009E7CC5" w:rsidRDefault="00160174" w:rsidP="00160174">
      <w:pPr>
        <w:rPr>
          <w:i/>
          <w:vanish/>
        </w:rPr>
      </w:pPr>
      <w:r w:rsidRPr="009E7CC5">
        <w:rPr>
          <w:i/>
        </w:rPr>
        <w:fldChar w:fldCharType="begin"/>
      </w:r>
      <w:r w:rsidRPr="009E7CC5">
        <w:rPr>
          <w:i/>
        </w:rPr>
        <w:instrText xml:space="preserve"> TC"(</w:instrText>
      </w:r>
      <w:bookmarkStart w:id="2" w:name="DocNumber"/>
      <w:r w:rsidRPr="009E7CC5">
        <w:rPr>
          <w:i/>
        </w:rPr>
        <w:instrText>A9-0444/2023</w:instrText>
      </w:r>
      <w:bookmarkEnd w:id="2"/>
      <w:r w:rsidRPr="009E7CC5">
        <w:rPr>
          <w:i/>
        </w:rPr>
        <w:instrText xml:space="preserve"> - Pranešėjos: </w:instrText>
      </w:r>
      <w:r w:rsidR="00BD6A30" w:rsidRPr="00036FCB">
        <w:rPr>
          <w:i/>
        </w:rPr>
        <w:instrText>Markus Ferber</w:instrText>
      </w:r>
      <w:r w:rsidRPr="009E7CC5">
        <w:rPr>
          <w:i/>
        </w:rPr>
        <w:instrText xml:space="preserve">, Margarida Marques)"\l3 \n&gt; \* MERGEFORMAT </w:instrText>
      </w:r>
      <w:r w:rsidRPr="009E7CC5">
        <w:rPr>
          <w:i/>
        </w:rPr>
        <w:fldChar w:fldCharType="end"/>
      </w:r>
    </w:p>
    <w:p w:rsidR="00160174" w:rsidRPr="009E7CC5" w:rsidRDefault="00160174" w:rsidP="00160174">
      <w:pPr>
        <w:rPr>
          <w:vanish/>
        </w:rPr>
      </w:pPr>
      <w:bookmarkStart w:id="3" w:name="Commission"/>
      <w:r w:rsidRPr="009E7CC5">
        <w:rPr>
          <w:vanish/>
        </w:rPr>
        <w:t>Ekonomikos ir pinigų politikos komitetas</w:t>
      </w:r>
      <w:bookmarkEnd w:id="3"/>
    </w:p>
    <w:p w:rsidR="00160174" w:rsidRPr="009E7CC5" w:rsidRDefault="00160174" w:rsidP="00160174">
      <w:pPr>
        <w:rPr>
          <w:vanish/>
        </w:rPr>
      </w:pPr>
      <w:bookmarkStart w:id="4" w:name="PE"/>
      <w:r w:rsidRPr="009E7CC5">
        <w:rPr>
          <w:vanish/>
        </w:rPr>
        <w:t>PE757.279</w:t>
      </w:r>
      <w:bookmarkEnd w:id="4"/>
    </w:p>
    <w:p w:rsidR="00160174" w:rsidRPr="009E7CC5" w:rsidRDefault="00160174" w:rsidP="00160174">
      <w:pPr>
        <w:pStyle w:val="ATHeading3"/>
      </w:pPr>
      <w:bookmarkStart w:id="5" w:name="Sujet"/>
      <w:r w:rsidRPr="009E7CC5">
        <w:t xml:space="preserve">2024 m. </w:t>
      </w:r>
      <w:r w:rsidR="00E445F4" w:rsidRPr="009E7CC5">
        <w:t>balandžio</w:t>
      </w:r>
      <w:r w:rsidRPr="009E7CC5">
        <w:t xml:space="preserve"> </w:t>
      </w:r>
      <w:r w:rsidR="005533CB">
        <w:t>23</w:t>
      </w:r>
      <w:r w:rsidRPr="009E7CC5">
        <w:t xml:space="preserve"> d. Europos Parlamento teisėkūros rezoliucija dėl pasiūlymo dėl Tarybos reglamento, kuriuo iš dalies keičiamas Reglamentas (EB) Nr. 1467/97 dėl perviršinio deficito procedūros įgyvendinimo paspartinimo ir paaiškinimo</w:t>
      </w:r>
      <w:bookmarkEnd w:id="5"/>
      <w:r w:rsidRPr="009E7CC5">
        <w:t xml:space="preserve"> </w:t>
      </w:r>
      <w:bookmarkStart w:id="6" w:name="References"/>
      <w:r w:rsidRPr="009E7CC5">
        <w:t>(</w:t>
      </w:r>
      <w:r w:rsidR="00E445F4">
        <w:t>15876/2023</w:t>
      </w:r>
      <w:r w:rsidRPr="009E7CC5">
        <w:t xml:space="preserve"> – C9-</w:t>
      </w:r>
      <w:r w:rsidR="00E445F4" w:rsidRPr="009E7CC5">
        <w:t>0</w:t>
      </w:r>
      <w:r w:rsidR="00E445F4">
        <w:t>005</w:t>
      </w:r>
      <w:r w:rsidRPr="009E7CC5">
        <w:t>/202</w:t>
      </w:r>
      <w:r w:rsidR="00E445F4">
        <w:t>4</w:t>
      </w:r>
      <w:r w:rsidRPr="009E7CC5">
        <w:t xml:space="preserve"> – 2023/0137(CNS))</w:t>
      </w:r>
      <w:bookmarkEnd w:id="6"/>
    </w:p>
    <w:p w:rsidR="00160174" w:rsidRPr="009E7CC5" w:rsidRDefault="00160174" w:rsidP="00160174"/>
    <w:p w:rsidR="001421F4" w:rsidRPr="009E7CC5" w:rsidRDefault="001421F4" w:rsidP="001421F4">
      <w:pPr>
        <w:pStyle w:val="NormalBold"/>
      </w:pPr>
      <w:bookmarkStart w:id="7" w:name="TextBodyBegin"/>
      <w:bookmarkEnd w:id="7"/>
      <w:r w:rsidRPr="009E7CC5">
        <w:t>(Speciali teisėkūros procedūra: konsultavimasis)</w:t>
      </w:r>
    </w:p>
    <w:p w:rsidR="001421F4" w:rsidRPr="009E7CC5" w:rsidRDefault="001421F4" w:rsidP="001421F4">
      <w:pPr>
        <w:pStyle w:val="EPComma"/>
      </w:pPr>
      <w:r w:rsidRPr="009E7CC5">
        <w:rPr>
          <w:i/>
        </w:rPr>
        <w:t>Europos Parlamentas</w:t>
      </w:r>
      <w:r w:rsidRPr="009E7CC5">
        <w:t>,</w:t>
      </w:r>
    </w:p>
    <w:p w:rsidR="001421F4" w:rsidRPr="009E7CC5" w:rsidRDefault="001421F4" w:rsidP="001421F4">
      <w:pPr>
        <w:pStyle w:val="NormalHanging12a"/>
      </w:pPr>
      <w:r w:rsidRPr="009E7CC5">
        <w:t>–</w:t>
      </w:r>
      <w:r w:rsidRPr="009E7CC5">
        <w:tab/>
      </w:r>
      <w:r w:rsidR="002A4359" w:rsidRPr="002A4359">
        <w:t xml:space="preserve">atsižvelgdamas į </w:t>
      </w:r>
      <w:r w:rsidR="002A4359">
        <w:t xml:space="preserve">Tarybos </w:t>
      </w:r>
      <w:r w:rsidR="002A4359" w:rsidRPr="002A4359">
        <w:t>projektą</w:t>
      </w:r>
      <w:r w:rsidRPr="009E7CC5">
        <w:t xml:space="preserve"> (</w:t>
      </w:r>
      <w:r w:rsidR="00E00BCE" w:rsidRPr="00E63F8B">
        <w:t>15876/2023</w:t>
      </w:r>
      <w:r w:rsidRPr="009E7CC5">
        <w:t>),</w:t>
      </w:r>
    </w:p>
    <w:p w:rsidR="001421F4" w:rsidRPr="009E7CC5" w:rsidRDefault="001421F4" w:rsidP="001421F4">
      <w:pPr>
        <w:pStyle w:val="NormalHanging12a"/>
      </w:pPr>
      <w:r w:rsidRPr="009E7CC5">
        <w:t>–</w:t>
      </w:r>
      <w:r w:rsidRPr="009E7CC5">
        <w:tab/>
        <w:t>atsižvelgdamas į Sutarties dėl Europos Sąjungos veikimo 126 straipsnio 14 dalies antrą pastraipą, pagal kurią Taryba kreipėsi į Parlamentą dėl konsultacijos (C9</w:t>
      </w:r>
      <w:r w:rsidRPr="009E7CC5">
        <w:noBreakHyphen/>
        <w:t>0</w:t>
      </w:r>
      <w:r w:rsidR="002A4359">
        <w:t>005</w:t>
      </w:r>
      <w:r w:rsidRPr="009E7CC5">
        <w:t>/202</w:t>
      </w:r>
      <w:r w:rsidR="002A4359">
        <w:t>4</w:t>
      </w:r>
      <w:r w:rsidRPr="009E7CC5">
        <w:t>),</w:t>
      </w:r>
    </w:p>
    <w:p w:rsidR="001421F4" w:rsidRPr="009E7CC5" w:rsidRDefault="001421F4" w:rsidP="001421F4">
      <w:pPr>
        <w:pStyle w:val="NormalHanging12a"/>
      </w:pPr>
      <w:r w:rsidRPr="009E7CC5">
        <w:t>–</w:t>
      </w:r>
      <w:r w:rsidRPr="009E7CC5">
        <w:tab/>
        <w:t>atsižvelgdamas į Darbo tvarkos taisyklių 82 straipsnį,</w:t>
      </w:r>
    </w:p>
    <w:p w:rsidR="001421F4" w:rsidRPr="009E7CC5" w:rsidRDefault="001421F4" w:rsidP="001421F4">
      <w:pPr>
        <w:pStyle w:val="NormalHanging12a"/>
      </w:pPr>
      <w:r w:rsidRPr="009E7CC5">
        <w:t>–</w:t>
      </w:r>
      <w:r w:rsidRPr="009E7CC5">
        <w:tab/>
        <w:t>atsižvelgdamas į Biudžeto komiteto laišką,</w:t>
      </w:r>
    </w:p>
    <w:p w:rsidR="001421F4" w:rsidRPr="009E7CC5" w:rsidRDefault="001421F4" w:rsidP="001421F4">
      <w:pPr>
        <w:pStyle w:val="NormalHanging12a"/>
      </w:pPr>
      <w:r w:rsidRPr="009E7CC5">
        <w:t>–</w:t>
      </w:r>
      <w:r w:rsidRPr="009E7CC5">
        <w:tab/>
        <w:t>atsižvelgdamas į Ekonomikos ir pinigų politikos komiteto pranešimą (A9-0444/2023),</w:t>
      </w:r>
    </w:p>
    <w:p w:rsidR="001421F4" w:rsidRPr="009E7CC5" w:rsidRDefault="001421F4" w:rsidP="001421F4">
      <w:pPr>
        <w:pStyle w:val="NormalHanging12a"/>
      </w:pPr>
      <w:r w:rsidRPr="009E7CC5">
        <w:t>1.</w:t>
      </w:r>
      <w:r w:rsidRPr="009E7CC5">
        <w:tab/>
        <w:t xml:space="preserve">pritaria </w:t>
      </w:r>
      <w:r w:rsidR="002A4359" w:rsidRPr="002A4359">
        <w:t xml:space="preserve">Tarybos </w:t>
      </w:r>
      <w:r w:rsidR="002A4359">
        <w:t>projektui</w:t>
      </w:r>
      <w:r w:rsidR="002A4359" w:rsidRPr="002A4359">
        <w:t xml:space="preserve"> </w:t>
      </w:r>
      <w:r w:rsidRPr="009E7CC5">
        <w:t>su pakeitimais;</w:t>
      </w:r>
    </w:p>
    <w:p w:rsidR="001421F4" w:rsidRPr="009E7CC5" w:rsidRDefault="002A4359" w:rsidP="001421F4">
      <w:pPr>
        <w:pStyle w:val="NormalHanging12a"/>
      </w:pPr>
      <w:r>
        <w:t>2</w:t>
      </w:r>
      <w:r w:rsidR="001421F4" w:rsidRPr="009E7CC5">
        <w:t>.</w:t>
      </w:r>
      <w:r w:rsidR="001421F4" w:rsidRPr="009E7CC5">
        <w:tab/>
        <w:t>ragina Tarybą pranešti Parlamentui, jei ji ketina nukrypti nuo teksto, kuriam pritarė Parlamentas;</w:t>
      </w:r>
    </w:p>
    <w:p w:rsidR="001421F4" w:rsidRPr="009E7CC5" w:rsidRDefault="002A4359" w:rsidP="001421F4">
      <w:pPr>
        <w:pStyle w:val="NormalHanging12a"/>
      </w:pPr>
      <w:r>
        <w:t>3</w:t>
      </w:r>
      <w:r w:rsidR="001421F4" w:rsidRPr="009E7CC5">
        <w:t>.</w:t>
      </w:r>
      <w:r w:rsidR="001421F4" w:rsidRPr="009E7CC5">
        <w:tab/>
        <w:t xml:space="preserve">ragina Tarybą dar kartą konsultuotis su Parlamentu, jei ji ketina iš esmės keisti </w:t>
      </w:r>
      <w:r w:rsidR="000939B1">
        <w:t xml:space="preserve">savo </w:t>
      </w:r>
      <w:r w:rsidR="000939B1" w:rsidRPr="000939B1">
        <w:t>projektą</w:t>
      </w:r>
      <w:r w:rsidR="001421F4" w:rsidRPr="009E7CC5">
        <w:t>;</w:t>
      </w:r>
    </w:p>
    <w:p w:rsidR="001421F4" w:rsidRPr="009E7CC5" w:rsidRDefault="002A4359" w:rsidP="001421F4">
      <w:pPr>
        <w:pStyle w:val="NormalHanging12a"/>
      </w:pPr>
      <w:r>
        <w:t>4</w:t>
      </w:r>
      <w:r w:rsidR="001421F4" w:rsidRPr="009E7CC5">
        <w:t>.</w:t>
      </w:r>
      <w:r w:rsidR="001421F4" w:rsidRPr="009E7CC5">
        <w:tab/>
        <w:t>paveda Pirminink</w:t>
      </w:r>
      <w:r>
        <w:t>ei</w:t>
      </w:r>
      <w:r w:rsidR="001421F4" w:rsidRPr="009E7CC5">
        <w:t xml:space="preserve"> perduoti Parlamento poziciją Tarybai, Komisijai ir nacionaliniams parlamentams.</w:t>
      </w:r>
    </w:p>
    <w:p w:rsidR="001421F4" w:rsidRPr="009E7CC5" w:rsidRDefault="001421F4" w:rsidP="001421F4">
      <w:pPr>
        <w:widowControl/>
      </w:pPr>
      <w:r w:rsidRPr="009E7CC5">
        <w:br w:type="page"/>
      </w:r>
    </w:p>
    <w:p w:rsidR="001421F4" w:rsidRPr="009E7CC5" w:rsidRDefault="001421F4" w:rsidP="001421F4">
      <w:pPr>
        <w:pStyle w:val="AmNumberTabs"/>
        <w:keepNext/>
      </w:pPr>
      <w:r w:rsidRPr="009E7CC5">
        <w:lastRenderedPageBreak/>
        <w:t>Pakeitimas</w:t>
      </w:r>
      <w:r w:rsidRPr="009E7CC5">
        <w:tab/>
      </w:r>
      <w:r w:rsidRPr="009E7CC5">
        <w:tab/>
      </w:r>
      <w:r w:rsidR="005533CB">
        <w:t>2</w:t>
      </w:r>
    </w:p>
    <w:p w:rsidR="001421F4" w:rsidRPr="009E7CC5" w:rsidRDefault="001421F4" w:rsidP="001421F4">
      <w:pPr>
        <w:pStyle w:val="AmHeadingConsam"/>
      </w:pPr>
      <w:r w:rsidRPr="009E7CC5">
        <w:t>EUROPOS PARLAMENTO PAKEITIMAI</w:t>
      </w:r>
      <w:r w:rsidRPr="009E7CC5">
        <w:rPr>
          <w:rStyle w:val="FootnoteReference"/>
        </w:rPr>
        <w:footnoteReference w:customMarkFollows="1" w:id="1"/>
        <w:t>*</w:t>
      </w:r>
    </w:p>
    <w:p w:rsidR="001421F4" w:rsidRPr="009E7CC5" w:rsidRDefault="001421F4" w:rsidP="001421F4">
      <w:pPr>
        <w:pStyle w:val="NormalCenter12a"/>
      </w:pPr>
      <w:r w:rsidRPr="009E7CC5">
        <w:t>Komisijos pasiūlymas</w:t>
      </w:r>
    </w:p>
    <w:p w:rsidR="001421F4" w:rsidRPr="009E7CC5" w:rsidRDefault="001421F4" w:rsidP="00E63F8B">
      <w:pPr>
        <w:pStyle w:val="NormalCenter12a"/>
        <w:spacing w:after="0"/>
      </w:pPr>
      <w:r w:rsidRPr="009E7CC5">
        <w:t>---------------------------------------------------------</w:t>
      </w:r>
    </w:p>
    <w:p w:rsidR="00733FC2" w:rsidRPr="00733FC2" w:rsidRDefault="00733FC2" w:rsidP="00E63F8B">
      <w:pPr>
        <w:widowControl/>
        <w:spacing w:before="600" w:line="360" w:lineRule="auto"/>
        <w:jc w:val="center"/>
        <w:rPr>
          <w:rFonts w:eastAsia="Calibri"/>
          <w:b/>
          <w:noProof/>
          <w:szCs w:val="22"/>
          <w:lang w:eastAsia="en-US"/>
        </w:rPr>
      </w:pPr>
      <w:r w:rsidRPr="00733FC2">
        <w:rPr>
          <w:rFonts w:eastAsia="Calibri"/>
          <w:b/>
          <w:szCs w:val="22"/>
          <w:lang w:eastAsia="en-US"/>
        </w:rPr>
        <w:t>TARYBOS REGLAMENTAS</w:t>
      </w:r>
    </w:p>
    <w:p w:rsidR="00733FC2" w:rsidRPr="00733FC2" w:rsidRDefault="00733FC2" w:rsidP="00733FC2">
      <w:pPr>
        <w:widowControl/>
        <w:spacing w:before="360" w:after="360" w:line="360" w:lineRule="auto"/>
        <w:jc w:val="center"/>
        <w:rPr>
          <w:rFonts w:eastAsia="Calibri"/>
          <w:b/>
          <w:noProof/>
          <w:szCs w:val="22"/>
          <w:lang w:eastAsia="en-US"/>
        </w:rPr>
      </w:pPr>
      <w:r w:rsidRPr="00733FC2">
        <w:rPr>
          <w:rFonts w:eastAsia="Calibri"/>
          <w:b/>
          <w:szCs w:val="22"/>
          <w:lang w:eastAsia="en-US"/>
        </w:rPr>
        <w:t>kuriuo iš dalies keičiamas Reglamentas (EB) Nr. 1467/97 dėl perviršinio deficito procedūros įgyvendinimo paspartinimo ir paaiškinimo</w:t>
      </w:r>
    </w:p>
    <w:p w:rsidR="00733FC2" w:rsidRPr="00733FC2" w:rsidRDefault="00733FC2" w:rsidP="00733FC2">
      <w:pPr>
        <w:keepNext/>
        <w:widowControl/>
        <w:spacing w:before="600" w:after="120" w:line="360" w:lineRule="auto"/>
        <w:rPr>
          <w:rFonts w:eastAsia="Calibri"/>
          <w:noProof/>
          <w:szCs w:val="22"/>
          <w:lang w:eastAsia="en-US"/>
        </w:rPr>
      </w:pPr>
      <w:r w:rsidRPr="00733FC2">
        <w:rPr>
          <w:rFonts w:eastAsia="Calibri"/>
          <w:szCs w:val="22"/>
          <w:lang w:eastAsia="en-US"/>
        </w:rPr>
        <w:t>EUROPOS SĄJUNGOS TARYBA,</w:t>
      </w:r>
    </w:p>
    <w:p w:rsidR="00733FC2" w:rsidRPr="00733FC2" w:rsidRDefault="00733FC2" w:rsidP="00733FC2">
      <w:pPr>
        <w:widowControl/>
        <w:spacing w:before="120" w:after="120" w:line="360" w:lineRule="auto"/>
        <w:rPr>
          <w:rFonts w:eastAsia="Calibri"/>
          <w:noProof/>
          <w:szCs w:val="22"/>
          <w:lang w:eastAsia="en-US"/>
        </w:rPr>
      </w:pPr>
      <w:r w:rsidRPr="00733FC2">
        <w:rPr>
          <w:rFonts w:eastAsia="Calibri"/>
          <w:szCs w:val="22"/>
          <w:lang w:eastAsia="en-US"/>
        </w:rPr>
        <w:t>atsižvelgdama į Sutartį dėl Europos Sąjungos veikimo, ypač į jos 126 straipsnio 14 dalies antrą pastraipą,</w:t>
      </w:r>
    </w:p>
    <w:p w:rsidR="00733FC2" w:rsidRPr="00733FC2" w:rsidRDefault="00733FC2" w:rsidP="00733FC2">
      <w:pPr>
        <w:widowControl/>
        <w:spacing w:before="120" w:after="120" w:line="360" w:lineRule="auto"/>
        <w:rPr>
          <w:rFonts w:eastAsia="Calibri"/>
          <w:noProof/>
          <w:szCs w:val="22"/>
          <w:lang w:eastAsia="en-US"/>
        </w:rPr>
      </w:pPr>
      <w:r w:rsidRPr="00733FC2">
        <w:rPr>
          <w:rFonts w:eastAsia="Calibri"/>
          <w:szCs w:val="22"/>
          <w:lang w:eastAsia="en-US"/>
        </w:rPr>
        <w:t>atsižvelgdama į Europos Komisijos pasiūlymą,</w:t>
      </w:r>
    </w:p>
    <w:p w:rsidR="00733FC2" w:rsidRPr="00733FC2" w:rsidRDefault="00733FC2" w:rsidP="00733FC2">
      <w:pPr>
        <w:widowControl/>
        <w:spacing w:before="120" w:after="120" w:line="360" w:lineRule="auto"/>
        <w:rPr>
          <w:rFonts w:eastAsia="Calibri"/>
          <w:noProof/>
          <w:szCs w:val="22"/>
          <w:lang w:eastAsia="en-US"/>
        </w:rPr>
      </w:pPr>
      <w:r w:rsidRPr="00733FC2">
        <w:rPr>
          <w:rFonts w:eastAsia="Calibri"/>
          <w:szCs w:val="22"/>
          <w:lang w:eastAsia="en-US"/>
        </w:rPr>
        <w:t>teisėkūros procedūra priimamo akto projektą perdavus nacionaliniams parlamentams,</w:t>
      </w:r>
    </w:p>
    <w:p w:rsidR="00733FC2" w:rsidRPr="00733FC2" w:rsidRDefault="00733FC2" w:rsidP="00733FC2">
      <w:pPr>
        <w:widowControl/>
        <w:spacing w:before="120" w:after="120" w:line="360" w:lineRule="auto"/>
        <w:rPr>
          <w:rFonts w:eastAsia="Calibri"/>
          <w:noProof/>
          <w:szCs w:val="22"/>
          <w:lang w:eastAsia="en-US"/>
        </w:rPr>
      </w:pPr>
      <w:r w:rsidRPr="00733FC2">
        <w:rPr>
          <w:rFonts w:eastAsia="Calibri"/>
          <w:szCs w:val="22"/>
          <w:lang w:eastAsia="en-US"/>
        </w:rPr>
        <w:t>atsižvelgdama į Europos Parlamento nuomonę</w:t>
      </w:r>
      <w:r w:rsidRPr="00733FC2">
        <w:rPr>
          <w:rFonts w:eastAsia="Calibri"/>
          <w:noProof/>
          <w:szCs w:val="22"/>
          <w:vertAlign w:val="superscript"/>
          <w:lang w:eastAsia="en-US"/>
        </w:rPr>
        <w:footnoteReference w:id="2"/>
      </w:r>
      <w:r w:rsidRPr="00733FC2">
        <w:rPr>
          <w:rFonts w:eastAsia="Calibri"/>
          <w:szCs w:val="22"/>
          <w:lang w:eastAsia="en-US"/>
        </w:rPr>
        <w:t>,</w:t>
      </w:r>
    </w:p>
    <w:p w:rsidR="00733FC2" w:rsidRPr="00733FC2" w:rsidRDefault="00733FC2" w:rsidP="00733FC2">
      <w:pPr>
        <w:widowControl/>
        <w:spacing w:before="120" w:after="120" w:line="360" w:lineRule="auto"/>
        <w:rPr>
          <w:rFonts w:eastAsia="Calibri"/>
          <w:noProof/>
          <w:szCs w:val="22"/>
          <w:lang w:eastAsia="en-US"/>
        </w:rPr>
      </w:pPr>
      <w:r w:rsidRPr="00733FC2">
        <w:rPr>
          <w:rFonts w:eastAsia="Calibri"/>
          <w:szCs w:val="22"/>
          <w:lang w:eastAsia="en-US"/>
        </w:rPr>
        <w:t>atsižvelgdama į Europos Centrinio Banko nuomonę</w:t>
      </w:r>
      <w:r w:rsidRPr="00733FC2">
        <w:rPr>
          <w:rFonts w:eastAsia="Calibri"/>
          <w:noProof/>
          <w:szCs w:val="22"/>
          <w:vertAlign w:val="superscript"/>
          <w:lang w:eastAsia="en-US"/>
        </w:rPr>
        <w:footnoteReference w:id="3"/>
      </w:r>
      <w:r w:rsidRPr="00733FC2">
        <w:rPr>
          <w:rFonts w:eastAsia="Calibri"/>
          <w:szCs w:val="22"/>
          <w:lang w:eastAsia="en-US"/>
        </w:rPr>
        <w:t>,</w:t>
      </w:r>
    </w:p>
    <w:p w:rsidR="00733FC2" w:rsidRPr="00733FC2" w:rsidRDefault="00733FC2" w:rsidP="00733FC2">
      <w:pPr>
        <w:widowControl/>
        <w:spacing w:before="120" w:after="120" w:line="360" w:lineRule="auto"/>
        <w:rPr>
          <w:rFonts w:eastAsia="Calibri"/>
          <w:szCs w:val="22"/>
          <w:lang w:eastAsia="en-US"/>
        </w:rPr>
      </w:pPr>
      <w:r w:rsidRPr="00733FC2">
        <w:rPr>
          <w:rFonts w:eastAsia="Calibri"/>
          <w:szCs w:val="22"/>
          <w:lang w:eastAsia="en-US"/>
        </w:rPr>
        <w:t>laikydamasi specialios teisėkūros procedūros,</w:t>
      </w:r>
    </w:p>
    <w:p w:rsidR="00733FC2" w:rsidRPr="00733FC2" w:rsidRDefault="00733FC2" w:rsidP="00733FC2">
      <w:pPr>
        <w:widowControl/>
        <w:spacing w:before="120" w:after="120" w:line="360" w:lineRule="auto"/>
        <w:rPr>
          <w:rFonts w:eastAsia="Calibri"/>
          <w:noProof/>
          <w:szCs w:val="22"/>
          <w:lang w:eastAsia="en-US"/>
        </w:rPr>
      </w:pPr>
      <w:r w:rsidRPr="00733FC2">
        <w:rPr>
          <w:rFonts w:eastAsia="Calibri"/>
          <w:szCs w:val="22"/>
          <w:lang w:eastAsia="en-US"/>
        </w:rPr>
        <w:t>kadangi:</w:t>
      </w:r>
    </w:p>
    <w:p w:rsidR="00733FC2" w:rsidRPr="00733FC2" w:rsidRDefault="00733FC2" w:rsidP="00733FC2">
      <w:pPr>
        <w:widowControl/>
        <w:spacing w:before="120" w:after="120" w:line="360" w:lineRule="auto"/>
        <w:ind w:left="709" w:hanging="709"/>
        <w:rPr>
          <w:rFonts w:eastAsia="Calibri"/>
          <w:noProof/>
          <w:szCs w:val="22"/>
          <w:lang w:eastAsia="en-US"/>
        </w:rPr>
      </w:pPr>
      <w:r w:rsidRPr="00733FC2">
        <w:rPr>
          <w:rFonts w:eastAsia="Calibri"/>
          <w:szCs w:val="22"/>
          <w:lang w:eastAsia="en-US"/>
        </w:rPr>
        <w:t>(1)</w:t>
      </w:r>
      <w:r w:rsidRPr="00733FC2">
        <w:rPr>
          <w:rFonts w:eastAsia="Calibri"/>
          <w:szCs w:val="22"/>
          <w:lang w:eastAsia="en-US"/>
        </w:rPr>
        <w:tab/>
        <w:t>Sutartyje dėl Europos Sąjungos veikimo (toliau – SESV) numatytas valstybių narių ekonominės politikos koordinavimas reiškia, kad laikomasi pagrindinių principų, o tai yra stabilios kainos, patikimi viešieji finansai, pinigų politikos sąlygos ir tvarus mokėjimų balansas;</w:t>
      </w:r>
    </w:p>
    <w:p w:rsidR="00733FC2" w:rsidRPr="00733FC2" w:rsidRDefault="00733FC2" w:rsidP="00733FC2">
      <w:pPr>
        <w:widowControl/>
        <w:spacing w:before="120" w:after="120" w:line="360" w:lineRule="auto"/>
        <w:ind w:left="709" w:hanging="709"/>
        <w:rPr>
          <w:rFonts w:eastAsia="Calibri"/>
          <w:szCs w:val="22"/>
          <w:lang w:eastAsia="en-US"/>
        </w:rPr>
      </w:pPr>
      <w:r w:rsidRPr="00733FC2">
        <w:rPr>
          <w:rFonts w:eastAsia="Calibri"/>
          <w:szCs w:val="22"/>
          <w:lang w:eastAsia="en-US"/>
        </w:rPr>
        <w:t>(2)</w:t>
      </w:r>
      <w:r w:rsidRPr="00733FC2">
        <w:rPr>
          <w:rFonts w:eastAsia="Calibri"/>
          <w:szCs w:val="22"/>
          <w:lang w:eastAsia="en-US"/>
        </w:rPr>
        <w:tab/>
        <w:t xml:space="preserve">Sąjungos ekonomikos valdymo sistema, kurią sudaro išsami politikos koordinavimo ir valstybių narių ekonominės politikos priežiūros sistema, padeda valstybėms narėms siekti savo ekonominės ir fiskalinės politikos tikslų. Nuo tada, kai 1992 m. buvo </w:t>
      </w:r>
      <w:r w:rsidRPr="00733FC2">
        <w:rPr>
          <w:rFonts w:eastAsia="Calibri"/>
          <w:szCs w:val="22"/>
          <w:lang w:eastAsia="en-US"/>
        </w:rPr>
        <w:lastRenderedPageBreak/>
        <w:t>sudaryta Mastrichto sutartis, ši sistema padėjo pasiekti makroekonominę konvergenciją, apsaugoti patikimus viešuosius finansus ir spręsti makroekonominio disbalanso problemą. Ši sistema kartu su bendra pinigų politika ir bendra valiuta euro zonoje sudarė sąlygas Sąjungos piliečiams užtikrinti ekonominį stabilumą, tvarų ir integracinį ekonomikos augimą ir didesnį užimtumą;</w:t>
      </w:r>
    </w:p>
    <w:p w:rsidR="00733FC2" w:rsidRPr="00733FC2" w:rsidRDefault="00733FC2" w:rsidP="00733FC2">
      <w:pPr>
        <w:widowControl/>
        <w:spacing w:before="120" w:after="120" w:line="360" w:lineRule="auto"/>
        <w:ind w:left="709" w:hanging="709"/>
        <w:rPr>
          <w:rFonts w:eastAsia="Calibri"/>
          <w:noProof/>
          <w:szCs w:val="22"/>
          <w:lang w:eastAsia="en-US"/>
        </w:rPr>
      </w:pPr>
      <w:r w:rsidRPr="00733FC2">
        <w:rPr>
          <w:rFonts w:eastAsia="Calibri"/>
          <w:szCs w:val="22"/>
          <w:lang w:eastAsia="en-US"/>
        </w:rPr>
        <w:t>(3)</w:t>
      </w:r>
      <w:r w:rsidRPr="00733FC2">
        <w:rPr>
          <w:rFonts w:eastAsia="Calibri"/>
          <w:szCs w:val="22"/>
          <w:lang w:eastAsia="en-US"/>
        </w:rPr>
        <w:tab/>
        <w:t>Stabilumo ir augimo paktas, kurį iš pradžių sudarė 1997 m. liepos 7 d. Tarybos reglamentas (EB) Nr. 1466/97</w:t>
      </w:r>
      <w:r w:rsidRPr="00733FC2">
        <w:rPr>
          <w:rFonts w:eastAsia="Calibri"/>
          <w:noProof/>
          <w:szCs w:val="22"/>
          <w:vertAlign w:val="superscript"/>
          <w:lang w:eastAsia="en-US"/>
        </w:rPr>
        <w:footnoteReference w:id="4"/>
      </w:r>
      <w:r w:rsidRPr="00733FC2">
        <w:rPr>
          <w:rFonts w:eastAsia="Calibri"/>
          <w:szCs w:val="22"/>
          <w:lang w:eastAsia="en-US"/>
        </w:rPr>
        <w:t>, Tarybos reglamentas (EB) Nr. 1467/97</w:t>
      </w:r>
      <w:r w:rsidRPr="00733FC2">
        <w:rPr>
          <w:rFonts w:eastAsia="Calibri"/>
          <w:noProof/>
          <w:szCs w:val="22"/>
          <w:vertAlign w:val="superscript"/>
          <w:lang w:eastAsia="en-US"/>
        </w:rPr>
        <w:footnoteReference w:id="5"/>
      </w:r>
      <w:r w:rsidRPr="00733FC2">
        <w:rPr>
          <w:rFonts w:eastAsia="Calibri"/>
          <w:szCs w:val="22"/>
          <w:lang w:eastAsia="en-US"/>
        </w:rPr>
        <w:t xml:space="preserve"> ir 1997 m. birželio 17 d. Europos Vadovų Tarybos rezoliucija dėl Stabilumo ir augimo pakto</w:t>
      </w:r>
      <w:r w:rsidRPr="00733FC2">
        <w:rPr>
          <w:rFonts w:eastAsia="Calibri"/>
          <w:noProof/>
          <w:szCs w:val="22"/>
          <w:vertAlign w:val="superscript"/>
          <w:lang w:eastAsia="en-US"/>
        </w:rPr>
        <w:footnoteReference w:id="6"/>
      </w:r>
      <w:r w:rsidRPr="00733FC2">
        <w:rPr>
          <w:rFonts w:eastAsia="Calibri"/>
          <w:szCs w:val="22"/>
          <w:lang w:eastAsia="en-US"/>
        </w:rPr>
        <w:t>, grindžiamas patikimų ir tvarių valstybės finansų tikslu, kaip priemone sudaryti geresnes sąlygas kainų stabilumui ir tvirtam, tvariam bei integraciniam augimui, grindžiamam finansiniu stabilumu, ir taip padeda siekti Sąjungos tvaraus ir integracinio augimo bei užimtumo tikslų;</w:t>
      </w:r>
    </w:p>
    <w:p w:rsidR="00733FC2" w:rsidRPr="00733FC2" w:rsidRDefault="00733FC2" w:rsidP="00733FC2">
      <w:pPr>
        <w:widowControl/>
        <w:spacing w:before="120" w:after="120" w:line="360" w:lineRule="auto"/>
        <w:ind w:left="709" w:hanging="709"/>
        <w:rPr>
          <w:rFonts w:eastAsia="Calibri"/>
          <w:noProof/>
          <w:szCs w:val="22"/>
          <w:lang w:eastAsia="en-US"/>
        </w:rPr>
      </w:pPr>
      <w:r w:rsidRPr="00733FC2">
        <w:rPr>
          <w:rFonts w:eastAsia="Calibri"/>
          <w:szCs w:val="22"/>
          <w:lang w:eastAsia="en-US"/>
        </w:rPr>
        <w:t>(4)</w:t>
      </w:r>
      <w:r w:rsidRPr="00733FC2">
        <w:rPr>
          <w:rFonts w:eastAsia="Calibri"/>
          <w:szCs w:val="22"/>
          <w:lang w:eastAsia="en-US"/>
        </w:rPr>
        <w:tab/>
        <w:t>trečiajame ekonominės ir pinigų sąjungos etape valstybės narės pagal SESV 126 straipsnio 1 dalį privalo vengti perviršinio valdžios sektoriaus deficito;</w:t>
      </w:r>
    </w:p>
    <w:p w:rsidR="00733FC2" w:rsidRPr="007A28AA" w:rsidRDefault="00733FC2" w:rsidP="00733FC2">
      <w:pPr>
        <w:widowControl/>
        <w:spacing w:before="120" w:after="120" w:line="360" w:lineRule="auto"/>
        <w:ind w:left="851" w:hanging="851"/>
        <w:rPr>
          <w:rFonts w:eastAsia="Calibri"/>
          <w:noProof/>
          <w:szCs w:val="22"/>
          <w:lang w:eastAsia="en-US"/>
        </w:rPr>
      </w:pPr>
      <w:r w:rsidRPr="00733FC2">
        <w:rPr>
          <w:rFonts w:eastAsia="Calibri"/>
          <w:szCs w:val="22"/>
          <w:lang w:eastAsia="en-US"/>
        </w:rPr>
        <w:t>(5)</w:t>
      </w:r>
      <w:r w:rsidRPr="00733FC2">
        <w:rPr>
          <w:rFonts w:eastAsia="Calibri"/>
          <w:szCs w:val="22"/>
          <w:lang w:eastAsia="en-US"/>
        </w:rPr>
        <w:tab/>
      </w:r>
      <w:r w:rsidRPr="007A28AA">
        <w:rPr>
          <w:rFonts w:eastAsia="Calibri"/>
          <w:szCs w:val="22"/>
          <w:lang w:eastAsia="en-US"/>
        </w:rPr>
        <w:t xml:space="preserve">Sąjungos ekonomikos valdymo sistema turėtų būti pritaikyta taip, kad būtų tinkamiau atsižvelgta į </w:t>
      </w:r>
      <w:r w:rsidRPr="00E63F8B">
        <w:rPr>
          <w:rFonts w:eastAsia="Calibri"/>
          <w:szCs w:val="22"/>
          <w:lang w:eastAsia="en-US"/>
        </w:rPr>
        <w:t>padidėjusį</w:t>
      </w:r>
      <w:r w:rsidRPr="007A28AA">
        <w:rPr>
          <w:rFonts w:eastAsia="Calibri"/>
          <w:szCs w:val="22"/>
          <w:lang w:eastAsia="en-US"/>
        </w:rPr>
        <w:t xml:space="preserve"> fiskalinės būklės nevienalytiškumą</w:t>
      </w:r>
      <w:r w:rsidRPr="00E63F8B">
        <w:rPr>
          <w:rFonts w:eastAsia="Calibri"/>
          <w:szCs w:val="22"/>
          <w:lang w:eastAsia="en-US"/>
        </w:rPr>
        <w:t>, valstybės skolą, ekonominius sunkumus</w:t>
      </w:r>
      <w:r w:rsidRPr="007A28AA">
        <w:rPr>
          <w:rFonts w:eastAsia="Calibri"/>
          <w:szCs w:val="22"/>
          <w:lang w:eastAsia="en-US"/>
        </w:rPr>
        <w:t xml:space="preserve"> ir kitus pažeidžiamumo veiksnius valstybėse narėse. Tvirtas politinis atsakas į COVID-19 pandemiją pasirodė esąs </w:t>
      </w:r>
      <w:r w:rsidRPr="00E63F8B">
        <w:rPr>
          <w:rFonts w:eastAsia="Calibri"/>
          <w:szCs w:val="22"/>
          <w:lang w:eastAsia="en-US"/>
        </w:rPr>
        <w:t>itin</w:t>
      </w:r>
      <w:r w:rsidRPr="007A28AA">
        <w:rPr>
          <w:rFonts w:eastAsia="Calibri"/>
          <w:szCs w:val="22"/>
          <w:lang w:eastAsia="en-US"/>
        </w:rPr>
        <w:t xml:space="preserve"> veiksmingas mažinant </w:t>
      </w:r>
      <w:r w:rsidRPr="00E63F8B">
        <w:rPr>
          <w:rFonts w:eastAsia="Calibri"/>
          <w:szCs w:val="22"/>
          <w:lang w:eastAsia="en-US"/>
        </w:rPr>
        <w:t>ekonomines</w:t>
      </w:r>
      <w:r w:rsidRPr="007A28AA">
        <w:rPr>
          <w:rFonts w:eastAsia="Calibri"/>
          <w:szCs w:val="22"/>
          <w:lang w:eastAsia="en-US"/>
        </w:rPr>
        <w:t xml:space="preserve"> ir </w:t>
      </w:r>
      <w:r w:rsidRPr="00E63F8B">
        <w:rPr>
          <w:rFonts w:eastAsia="Calibri"/>
          <w:szCs w:val="22"/>
          <w:lang w:eastAsia="en-US"/>
        </w:rPr>
        <w:t xml:space="preserve">socialines </w:t>
      </w:r>
      <w:r w:rsidRPr="007A28AA">
        <w:rPr>
          <w:rFonts w:eastAsia="Calibri"/>
          <w:szCs w:val="22"/>
          <w:lang w:eastAsia="en-US"/>
        </w:rPr>
        <w:t xml:space="preserve">krizės </w:t>
      </w:r>
      <w:r w:rsidRPr="00E63F8B">
        <w:rPr>
          <w:rFonts w:eastAsia="Calibri"/>
          <w:szCs w:val="22"/>
          <w:lang w:eastAsia="en-US"/>
        </w:rPr>
        <w:t>pasekmes</w:t>
      </w:r>
      <w:r w:rsidRPr="007A28AA">
        <w:rPr>
          <w:rFonts w:eastAsia="Calibri"/>
          <w:szCs w:val="22"/>
          <w:lang w:eastAsia="en-US"/>
        </w:rPr>
        <w:t xml:space="preserve">, tačiau dėl jo labai padidėjo viešojo ir privačiojo sektorių skolos santykis, </w:t>
      </w:r>
      <w:r w:rsidRPr="00E63F8B">
        <w:rPr>
          <w:rFonts w:eastAsia="Calibri"/>
          <w:szCs w:val="22"/>
          <w:lang w:eastAsia="en-US"/>
        </w:rPr>
        <w:t>o tai</w:t>
      </w:r>
      <w:r w:rsidRPr="007A28AA">
        <w:rPr>
          <w:rFonts w:eastAsia="Calibri"/>
          <w:szCs w:val="22"/>
          <w:lang w:eastAsia="en-US"/>
        </w:rPr>
        <w:t xml:space="preserve"> akivaizdžiai parodė, kad svarbu laipsniškai, </w:t>
      </w:r>
      <w:r w:rsidRPr="00E63F8B">
        <w:rPr>
          <w:rFonts w:eastAsia="Calibri"/>
          <w:szCs w:val="22"/>
          <w:lang w:eastAsia="en-US"/>
        </w:rPr>
        <w:t>realistiškai</w:t>
      </w:r>
      <w:r w:rsidRPr="007A28AA">
        <w:rPr>
          <w:rFonts w:eastAsia="Calibri"/>
          <w:szCs w:val="22"/>
          <w:lang w:eastAsia="en-US"/>
        </w:rPr>
        <w:t xml:space="preserve">, tvariai ir ekonomikos augimui palankiu būdu mažinti skolos </w:t>
      </w:r>
      <w:r w:rsidRPr="00E63F8B">
        <w:rPr>
          <w:rFonts w:eastAsia="Calibri"/>
          <w:szCs w:val="22"/>
          <w:lang w:eastAsia="en-US"/>
        </w:rPr>
        <w:t>ir BVP</w:t>
      </w:r>
      <w:r w:rsidRPr="007A28AA">
        <w:rPr>
          <w:rFonts w:eastAsia="Calibri"/>
          <w:szCs w:val="22"/>
          <w:lang w:eastAsia="en-US"/>
        </w:rPr>
        <w:t xml:space="preserve"> santykį </w:t>
      </w:r>
      <w:r w:rsidRPr="00E63F8B">
        <w:rPr>
          <w:rFonts w:eastAsia="Calibri"/>
          <w:szCs w:val="22"/>
          <w:lang w:eastAsia="en-US"/>
        </w:rPr>
        <w:t>ir</w:t>
      </w:r>
      <w:r w:rsidRPr="007A28AA">
        <w:rPr>
          <w:rFonts w:eastAsia="Calibri"/>
          <w:szCs w:val="22"/>
          <w:lang w:eastAsia="en-US"/>
        </w:rPr>
        <w:t xml:space="preserve"> </w:t>
      </w:r>
      <w:r w:rsidRPr="00E63F8B">
        <w:rPr>
          <w:rFonts w:eastAsia="Calibri"/>
          <w:szCs w:val="22"/>
          <w:lang w:eastAsia="en-US"/>
        </w:rPr>
        <w:t>deficitą</w:t>
      </w:r>
      <w:r w:rsidRPr="007A28AA">
        <w:rPr>
          <w:rFonts w:eastAsia="Calibri"/>
          <w:szCs w:val="22"/>
          <w:lang w:eastAsia="en-US"/>
        </w:rPr>
        <w:t xml:space="preserve"> iki apdairaus lygio, </w:t>
      </w:r>
      <w:r w:rsidRPr="00E63F8B">
        <w:rPr>
          <w:rFonts w:eastAsia="Calibri"/>
          <w:szCs w:val="22"/>
          <w:lang w:eastAsia="en-US"/>
        </w:rPr>
        <w:t>suteikiant veiksmų laisvę vykdyti anticiklinę politiką</w:t>
      </w:r>
      <w:r w:rsidRPr="007A28AA">
        <w:rPr>
          <w:rFonts w:eastAsia="Calibri"/>
          <w:szCs w:val="22"/>
          <w:lang w:eastAsia="en-US"/>
        </w:rPr>
        <w:t>, ir spręsti makroekonominio disbalanso problemą, kartu skiriant deramą dėmesį užimtumo ir socialiniams tikslams. Be to, Sąjungos ekonomikos valdymo sistema turėtų būti pritaikyta taip, kad padėtų spręsti vidutinės trukmės laikotarpio ir ilgalaikius Sąjungos uždavinius, be kita ko, įgyvendinti teisingą skaitmeninę ir</w:t>
      </w:r>
      <w:r w:rsidRPr="00733FC2">
        <w:rPr>
          <w:rFonts w:eastAsia="Calibri"/>
          <w:szCs w:val="22"/>
          <w:lang w:eastAsia="en-US"/>
        </w:rPr>
        <w:t xml:space="preserve"> </w:t>
      </w:r>
      <w:r w:rsidRPr="007A28AA">
        <w:rPr>
          <w:rFonts w:eastAsia="Calibri"/>
          <w:szCs w:val="22"/>
          <w:lang w:eastAsia="en-US"/>
        </w:rPr>
        <w:lastRenderedPageBreak/>
        <w:t>žaliąją pertvarką, įskaitant Klimato teisės aktą</w:t>
      </w:r>
      <w:r w:rsidRPr="007A28AA">
        <w:rPr>
          <w:rFonts w:eastAsia="Calibri"/>
          <w:noProof/>
          <w:szCs w:val="22"/>
          <w:vertAlign w:val="superscript"/>
          <w:lang w:eastAsia="en-US"/>
        </w:rPr>
        <w:footnoteReference w:id="7"/>
      </w:r>
      <w:r w:rsidRPr="007A28AA">
        <w:rPr>
          <w:rFonts w:eastAsia="Calibri"/>
          <w:szCs w:val="22"/>
          <w:lang w:eastAsia="en-US"/>
        </w:rPr>
        <w:t xml:space="preserve">, užtikrinti energetinį saugumą, </w:t>
      </w:r>
      <w:r w:rsidRPr="00E63F8B">
        <w:rPr>
          <w:rFonts w:eastAsia="Calibri"/>
          <w:szCs w:val="22"/>
          <w:lang w:eastAsia="en-US"/>
        </w:rPr>
        <w:t>remti</w:t>
      </w:r>
      <w:r w:rsidRPr="007A28AA">
        <w:rPr>
          <w:rFonts w:eastAsia="Calibri"/>
          <w:szCs w:val="22"/>
          <w:lang w:eastAsia="en-US"/>
        </w:rPr>
        <w:t xml:space="preserve"> atvirą strateginį savarankiškumą, spręsti demografinių pokyčių klausimą, didinti socialinį ir ekonominį atsparumą </w:t>
      </w:r>
      <w:r w:rsidRPr="00E63F8B">
        <w:rPr>
          <w:rFonts w:eastAsia="Calibri"/>
          <w:szCs w:val="22"/>
          <w:lang w:eastAsia="en-US"/>
        </w:rPr>
        <w:t>bei tvarią konvergenciją</w:t>
      </w:r>
      <w:r w:rsidRPr="007A28AA">
        <w:rPr>
          <w:rFonts w:eastAsia="Calibri"/>
          <w:szCs w:val="22"/>
          <w:lang w:eastAsia="en-US"/>
        </w:rPr>
        <w:t xml:space="preserve"> ir įgyvendinti saugumo ir gynybos strateginio kelrodžio dokumentą, o visiems šiems uždaviniams įvykdyti ateinančiais metais reikės reformų ir tvarių didelių investicijų;</w:t>
      </w:r>
    </w:p>
    <w:p w:rsidR="00733FC2" w:rsidRPr="007A28AA" w:rsidRDefault="00733FC2" w:rsidP="00733FC2">
      <w:pPr>
        <w:widowControl/>
        <w:spacing w:before="120" w:after="120" w:line="360" w:lineRule="auto"/>
        <w:ind w:left="709" w:hanging="709"/>
        <w:rPr>
          <w:rFonts w:eastAsia="Calibri"/>
          <w:noProof/>
          <w:szCs w:val="22"/>
          <w:lang w:eastAsia="en-US"/>
        </w:rPr>
      </w:pPr>
      <w:r w:rsidRPr="007A28AA">
        <w:rPr>
          <w:rFonts w:eastAsia="Calibri"/>
          <w:szCs w:val="22"/>
          <w:lang w:eastAsia="en-US"/>
        </w:rPr>
        <w:t>(6)</w:t>
      </w:r>
      <w:r w:rsidRPr="007A28AA">
        <w:rPr>
          <w:rFonts w:eastAsia="Calibri"/>
          <w:szCs w:val="22"/>
          <w:lang w:eastAsia="en-US"/>
        </w:rPr>
        <w:tab/>
        <w:t xml:space="preserve">Sąjungos ekonomikos valdymo </w:t>
      </w:r>
      <w:r w:rsidRPr="00E63F8B">
        <w:rPr>
          <w:rFonts w:eastAsia="Calibri"/>
          <w:szCs w:val="22"/>
          <w:lang w:eastAsia="en-US"/>
        </w:rPr>
        <w:t>sistema</w:t>
      </w:r>
      <w:r w:rsidRPr="007A28AA">
        <w:rPr>
          <w:rFonts w:eastAsia="Calibri"/>
          <w:szCs w:val="22"/>
          <w:lang w:eastAsia="en-US"/>
        </w:rPr>
        <w:t xml:space="preserve"> turėtų būti </w:t>
      </w:r>
      <w:r w:rsidRPr="00E63F8B">
        <w:rPr>
          <w:rFonts w:eastAsia="Calibri"/>
          <w:szCs w:val="22"/>
          <w:lang w:eastAsia="en-US"/>
        </w:rPr>
        <w:t>skatinami patikimi</w:t>
      </w:r>
      <w:r w:rsidRPr="007A28AA">
        <w:rPr>
          <w:rFonts w:eastAsia="Calibri"/>
          <w:szCs w:val="22"/>
          <w:lang w:eastAsia="en-US"/>
        </w:rPr>
        <w:t xml:space="preserve"> </w:t>
      </w:r>
      <w:r w:rsidRPr="00E63F8B">
        <w:rPr>
          <w:rFonts w:eastAsia="Calibri"/>
          <w:szCs w:val="22"/>
          <w:lang w:eastAsia="en-US"/>
        </w:rPr>
        <w:t>ir tvarūs</w:t>
      </w:r>
      <w:r w:rsidRPr="007A28AA">
        <w:rPr>
          <w:rFonts w:eastAsia="Calibri"/>
          <w:szCs w:val="22"/>
          <w:lang w:eastAsia="en-US"/>
        </w:rPr>
        <w:t xml:space="preserve"> </w:t>
      </w:r>
      <w:r w:rsidRPr="00E63F8B">
        <w:rPr>
          <w:rFonts w:eastAsia="Calibri"/>
          <w:szCs w:val="22"/>
          <w:lang w:eastAsia="en-US"/>
        </w:rPr>
        <w:t>viešieji finansai ir tvarus bei integracinis augimas</w:t>
      </w:r>
      <w:r w:rsidRPr="007A28AA">
        <w:rPr>
          <w:rFonts w:eastAsia="Calibri"/>
          <w:szCs w:val="22"/>
          <w:lang w:eastAsia="en-US"/>
        </w:rPr>
        <w:t xml:space="preserve">, todėl valstybės narės turėtų būti diferencijuojamos atsižvelgiant į jų valstybės </w:t>
      </w:r>
      <w:r w:rsidRPr="00E63F8B">
        <w:rPr>
          <w:rFonts w:eastAsia="Calibri"/>
          <w:szCs w:val="22"/>
          <w:lang w:eastAsia="en-US"/>
        </w:rPr>
        <w:t>skolą bei ekonominius sunkumus</w:t>
      </w:r>
      <w:r w:rsidRPr="007A28AA">
        <w:rPr>
          <w:rFonts w:eastAsia="Calibri"/>
          <w:szCs w:val="22"/>
          <w:lang w:eastAsia="en-US"/>
        </w:rPr>
        <w:t xml:space="preserve"> ir </w:t>
      </w:r>
      <w:r w:rsidRPr="00E63F8B">
        <w:rPr>
          <w:rFonts w:eastAsia="Calibri"/>
          <w:szCs w:val="22"/>
          <w:lang w:eastAsia="en-US"/>
        </w:rPr>
        <w:t xml:space="preserve">turėtų būti leidžiama </w:t>
      </w:r>
      <w:r w:rsidRPr="007A28AA">
        <w:rPr>
          <w:rFonts w:eastAsia="Calibri"/>
          <w:szCs w:val="22"/>
          <w:lang w:eastAsia="en-US"/>
        </w:rPr>
        <w:t xml:space="preserve">taikyti konkrečioms šalims skirtas </w:t>
      </w:r>
      <w:r w:rsidRPr="00E63F8B">
        <w:rPr>
          <w:rFonts w:eastAsia="Calibri"/>
          <w:szCs w:val="22"/>
          <w:lang w:eastAsia="en-US"/>
        </w:rPr>
        <w:t>daugiametes</w:t>
      </w:r>
      <w:r w:rsidRPr="007A28AA">
        <w:rPr>
          <w:rFonts w:eastAsia="Calibri"/>
          <w:szCs w:val="22"/>
          <w:lang w:eastAsia="en-US"/>
        </w:rPr>
        <w:t xml:space="preserve"> fiskalines trajektorijas, </w:t>
      </w:r>
      <w:r w:rsidRPr="00E63F8B">
        <w:rPr>
          <w:rFonts w:eastAsia="Calibri"/>
          <w:szCs w:val="22"/>
          <w:lang w:eastAsia="en-US"/>
        </w:rPr>
        <w:t>kartu užtikrinant veiksmingą daugiašalę priežiūrą ir laikantis vienodo požiūrio principo</w:t>
      </w:r>
      <w:r w:rsidRPr="007A28AA">
        <w:rPr>
          <w:rFonts w:eastAsia="Calibri"/>
          <w:szCs w:val="22"/>
          <w:lang w:eastAsia="en-US"/>
        </w:rPr>
        <w:t>;</w:t>
      </w:r>
    </w:p>
    <w:p w:rsidR="00733FC2" w:rsidRPr="007A28AA" w:rsidRDefault="00733FC2" w:rsidP="00733FC2">
      <w:pPr>
        <w:widowControl/>
        <w:spacing w:before="120" w:after="120" w:line="360" w:lineRule="auto"/>
        <w:ind w:left="709" w:hanging="709"/>
        <w:rPr>
          <w:rFonts w:eastAsia="Calibri"/>
          <w:szCs w:val="22"/>
          <w:lang w:eastAsia="en-US"/>
        </w:rPr>
      </w:pPr>
      <w:r w:rsidRPr="007A28AA">
        <w:rPr>
          <w:rFonts w:eastAsia="Calibri"/>
          <w:szCs w:val="22"/>
          <w:lang w:eastAsia="en-US"/>
        </w:rPr>
        <w:t>(7)</w:t>
      </w:r>
      <w:r w:rsidRPr="007A28AA">
        <w:rPr>
          <w:rFonts w:eastAsia="Calibri"/>
          <w:szCs w:val="22"/>
          <w:lang w:eastAsia="en-US"/>
        </w:rPr>
        <w:tab/>
        <w:t>be to, siekiant užtikrinti skaidrią ir bendrą Sąjungos sistemą, grindžiamą pamatinėmis vertėmis, nurodytomis SESV 126 straipsnio 2 dalyje ir prie SESV ir Europos Sąjungos sutarties pridėtame Protokole Nr. 12 dėl perviršinio deficito procedūros, griežtesnis vykdymo užtikrinimas, kuriuo grindžiama daugiašalė priežiūra, turėtų būti būtinas rizika grindžiamos priežiūros sistemos, kuria sudaromos sąlygos taikyti konkrečioms šalims skirtas fiskalines trajektorijas, atitikmuo;</w:t>
      </w:r>
    </w:p>
    <w:p w:rsidR="00733FC2" w:rsidRPr="007A28AA" w:rsidRDefault="00733FC2" w:rsidP="00733FC2">
      <w:pPr>
        <w:widowControl/>
        <w:spacing w:before="120" w:after="120" w:line="360" w:lineRule="auto"/>
        <w:ind w:left="709" w:hanging="709"/>
        <w:rPr>
          <w:rFonts w:eastAsia="Calibri"/>
          <w:noProof/>
          <w:szCs w:val="22"/>
          <w:lang w:eastAsia="en-US"/>
        </w:rPr>
      </w:pPr>
      <w:r w:rsidRPr="007A28AA">
        <w:rPr>
          <w:rFonts w:eastAsia="Calibri"/>
          <w:szCs w:val="22"/>
          <w:lang w:eastAsia="en-US"/>
        </w:rPr>
        <w:t>(8)</w:t>
      </w:r>
      <w:r w:rsidRPr="007A28AA">
        <w:rPr>
          <w:rFonts w:eastAsia="Calibri"/>
          <w:szCs w:val="22"/>
          <w:lang w:eastAsia="en-US"/>
        </w:rPr>
        <w:tab/>
        <w:t xml:space="preserve">siekiant supaprastinti Sąjungos fiskalinę sistemą ir padidinti skaidrumą, nustatant kiekvienos valstybės narės </w:t>
      </w:r>
      <w:r w:rsidRPr="00E63F8B">
        <w:rPr>
          <w:rFonts w:eastAsia="Calibri"/>
          <w:szCs w:val="22"/>
          <w:lang w:eastAsia="en-US"/>
        </w:rPr>
        <w:t>grynųjų išlaidų</w:t>
      </w:r>
      <w:r w:rsidRPr="007A28AA">
        <w:rPr>
          <w:rFonts w:eastAsia="Calibri"/>
          <w:szCs w:val="22"/>
          <w:lang w:eastAsia="en-US"/>
        </w:rPr>
        <w:t xml:space="preserve"> planą ir vykdant metinę fiskalinę priežiūrą turėtų būti remiamasi </w:t>
      </w:r>
      <w:r w:rsidRPr="00E63F8B">
        <w:rPr>
          <w:rFonts w:eastAsia="Calibri"/>
          <w:szCs w:val="22"/>
          <w:lang w:eastAsia="en-US"/>
        </w:rPr>
        <w:t>bendru</w:t>
      </w:r>
      <w:r w:rsidRPr="007A28AA">
        <w:rPr>
          <w:rFonts w:eastAsia="Calibri"/>
          <w:szCs w:val="22"/>
          <w:lang w:eastAsia="en-US"/>
        </w:rPr>
        <w:t xml:space="preserve"> skolos tvarumu grindžiamu veiklos rodikliu. Tas bendras rodiklis turėtų būti grindžiamas nacionalinėmis lėšomis finansuojamomis grynosiomis pirminėmis išlaidomis, t. y. </w:t>
      </w:r>
      <w:r w:rsidRPr="00E63F8B">
        <w:rPr>
          <w:rFonts w:eastAsia="Calibri"/>
          <w:szCs w:val="22"/>
          <w:lang w:eastAsia="en-US"/>
        </w:rPr>
        <w:t xml:space="preserve">vyriausybės </w:t>
      </w:r>
      <w:r w:rsidRPr="007A28AA">
        <w:rPr>
          <w:rFonts w:eastAsia="Calibri"/>
          <w:szCs w:val="22"/>
          <w:lang w:eastAsia="en-US"/>
        </w:rPr>
        <w:t xml:space="preserve">išlaidomis, neįskaitant </w:t>
      </w:r>
      <w:r w:rsidRPr="00E63F8B">
        <w:rPr>
          <w:rFonts w:eastAsia="Calibri"/>
          <w:szCs w:val="22"/>
          <w:lang w:eastAsia="en-US"/>
        </w:rPr>
        <w:t>palūkanų išlaidų,</w:t>
      </w:r>
      <w:r w:rsidRPr="007A28AA">
        <w:rPr>
          <w:rFonts w:eastAsia="Calibri"/>
          <w:szCs w:val="22"/>
          <w:lang w:eastAsia="en-US"/>
        </w:rPr>
        <w:t xml:space="preserve"> </w:t>
      </w:r>
      <w:r w:rsidRPr="00E63F8B">
        <w:rPr>
          <w:rFonts w:eastAsia="Calibri"/>
          <w:szCs w:val="22"/>
          <w:lang w:eastAsia="en-US"/>
        </w:rPr>
        <w:t>diskrecinių</w:t>
      </w:r>
      <w:r w:rsidRPr="007A28AA">
        <w:rPr>
          <w:rFonts w:eastAsia="Calibri"/>
          <w:szCs w:val="22"/>
          <w:lang w:eastAsia="en-US"/>
        </w:rPr>
        <w:t xml:space="preserve"> pajamų </w:t>
      </w:r>
      <w:r w:rsidRPr="00E63F8B">
        <w:rPr>
          <w:rFonts w:eastAsia="Calibri"/>
          <w:szCs w:val="22"/>
          <w:lang w:eastAsia="en-US"/>
        </w:rPr>
        <w:t>priemonių</w:t>
      </w:r>
      <w:r w:rsidRPr="007A28AA">
        <w:rPr>
          <w:rFonts w:eastAsia="Calibri"/>
          <w:szCs w:val="22"/>
          <w:lang w:eastAsia="en-US"/>
        </w:rPr>
        <w:t xml:space="preserve">, </w:t>
      </w:r>
      <w:r w:rsidRPr="00E63F8B">
        <w:rPr>
          <w:rFonts w:eastAsia="Calibri"/>
          <w:szCs w:val="22"/>
          <w:lang w:eastAsia="en-US"/>
        </w:rPr>
        <w:t>Sąjungos programų išlaidų,</w:t>
      </w:r>
      <w:r w:rsidRPr="007A28AA">
        <w:rPr>
          <w:rFonts w:eastAsia="Calibri"/>
          <w:szCs w:val="22"/>
          <w:lang w:eastAsia="en-US"/>
        </w:rPr>
        <w:t xml:space="preserve"> visiškai atitinkančių Sąjungos fondų pajamas, ir nacionalinių išlaidų, skirtų Sąjungos finansuojamų programų bendram finansavimui, taip pat ciklinių nedarbo pašalpų išlaidų elementų. </w:t>
      </w:r>
      <w:r w:rsidRPr="00E63F8B">
        <w:rPr>
          <w:rFonts w:eastAsia="Calibri"/>
          <w:szCs w:val="22"/>
          <w:lang w:eastAsia="en-US"/>
        </w:rPr>
        <w:t>Laikantis pagrindinių principų, kuriais Europos Komisija rėmėsi klasifikuodama sandorius kaip vienkartines priemones, vienkartinės ir kitos laikinosios priemonės taip pat neturėtų būti įtraukiamos į grynąsias išlaidas.</w:t>
      </w:r>
      <w:r w:rsidRPr="007A28AA">
        <w:rPr>
          <w:rFonts w:eastAsia="Calibri"/>
          <w:szCs w:val="22"/>
          <w:lang w:eastAsia="en-US"/>
        </w:rPr>
        <w:t xml:space="preserve"> Šis rodiklis sudaro sąlygas makroekonominiam stabilizavimui, nes automatinių stabilizavimo priemonių</w:t>
      </w:r>
      <w:r w:rsidRPr="00733FC2">
        <w:rPr>
          <w:rFonts w:eastAsia="Calibri"/>
          <w:szCs w:val="22"/>
          <w:lang w:eastAsia="en-US"/>
        </w:rPr>
        <w:t xml:space="preserve"> </w:t>
      </w:r>
      <w:r w:rsidRPr="00733FC2">
        <w:rPr>
          <w:rFonts w:eastAsia="Calibri"/>
          <w:szCs w:val="22"/>
          <w:lang w:eastAsia="en-US"/>
        </w:rPr>
        <w:lastRenderedPageBreak/>
        <w:t xml:space="preserve">veikimas, įskaitant pajamų ir išlaidų svyravimus, kurių vyriausybė negali tiesiogiai </w:t>
      </w:r>
      <w:r w:rsidRPr="007A28AA">
        <w:rPr>
          <w:rFonts w:eastAsia="Calibri"/>
          <w:szCs w:val="22"/>
          <w:lang w:eastAsia="en-US"/>
        </w:rPr>
        <w:t>kontroliuoti, jam neturi įtakos;</w:t>
      </w:r>
    </w:p>
    <w:p w:rsidR="00733FC2" w:rsidRPr="007A28AA" w:rsidRDefault="00733FC2" w:rsidP="00733FC2">
      <w:pPr>
        <w:widowControl/>
        <w:spacing w:before="120" w:after="120" w:line="360" w:lineRule="auto"/>
        <w:ind w:left="709" w:hanging="709"/>
        <w:rPr>
          <w:rFonts w:eastAsia="Calibri"/>
          <w:noProof/>
          <w:szCs w:val="22"/>
          <w:lang w:eastAsia="en-US"/>
        </w:rPr>
      </w:pPr>
      <w:r w:rsidRPr="007A28AA">
        <w:rPr>
          <w:rFonts w:eastAsia="Calibri"/>
          <w:szCs w:val="22"/>
          <w:lang w:eastAsia="en-US"/>
        </w:rPr>
        <w:t>(9)</w:t>
      </w:r>
      <w:r w:rsidRPr="007A28AA">
        <w:rPr>
          <w:rFonts w:eastAsia="Calibri"/>
          <w:szCs w:val="22"/>
          <w:lang w:eastAsia="en-US"/>
        </w:rPr>
        <w:tab/>
        <w:t>SESV 126 straipsnio 2 dalyje ir Protokole Nr. 12 nurodyta perviršinio deficito procedūra (PDP) už 3 % bendrojo vidaus produkto (BVP) deficito pamatinės vertės viršijimą (toliau – deficito kriterijumi grindžiama PDP) yra nusistovėjusi Sąjungos fiskalinės priežiūros sistemos dalis, veiksmingai daranti įtaką valstybių narių fiskalinei politikai;</w:t>
      </w:r>
    </w:p>
    <w:p w:rsidR="00733FC2" w:rsidRPr="00BA61E4" w:rsidRDefault="00733FC2" w:rsidP="00733FC2">
      <w:pPr>
        <w:widowControl/>
        <w:spacing w:before="120" w:after="120" w:line="360" w:lineRule="auto"/>
        <w:ind w:left="709" w:hanging="709"/>
        <w:rPr>
          <w:rFonts w:eastAsia="Calibri"/>
          <w:szCs w:val="22"/>
          <w:lang w:eastAsia="en-US"/>
        </w:rPr>
      </w:pPr>
      <w:r w:rsidRPr="007A28AA">
        <w:rPr>
          <w:rFonts w:eastAsia="Calibri"/>
          <w:szCs w:val="22"/>
          <w:lang w:eastAsia="en-US"/>
        </w:rPr>
        <w:t>(10)</w:t>
      </w:r>
      <w:r w:rsidRPr="007A28AA">
        <w:rPr>
          <w:rFonts w:eastAsia="Calibri"/>
          <w:szCs w:val="22"/>
          <w:lang w:eastAsia="en-US"/>
        </w:rPr>
        <w:tab/>
        <w:t>siekiant sustiprinti PDP už SESV 126 straipsnio 2 dalyje ir Protokole Nr. 12 nurodyto 60 % BVP skolos kriterijaus pažeidimus (toliau – skolos kriterijumi grindžiama PDP), daugiausia dėmesio turėtų būti skiriama nukrypimams nuo Tarybos pagal Europos Parlamento ir Tarybos reglamentą (ES) [...]</w:t>
      </w:r>
      <w:r w:rsidRPr="007A28AA">
        <w:rPr>
          <w:rFonts w:eastAsia="Calibri"/>
          <w:noProof/>
          <w:szCs w:val="22"/>
          <w:vertAlign w:val="superscript"/>
          <w:lang w:eastAsia="en-US"/>
        </w:rPr>
        <w:footnoteReference w:id="8"/>
      </w:r>
      <w:r w:rsidRPr="007A28AA">
        <w:rPr>
          <w:rFonts w:eastAsia="Calibri"/>
          <w:szCs w:val="22"/>
          <w:lang w:eastAsia="en-US"/>
        </w:rPr>
        <w:t xml:space="preserve"> nustatyto </w:t>
      </w:r>
      <w:r w:rsidRPr="00E63F8B">
        <w:rPr>
          <w:rFonts w:eastAsia="Calibri"/>
          <w:szCs w:val="22"/>
          <w:lang w:eastAsia="en-US"/>
        </w:rPr>
        <w:t>grynųjų išlaidų</w:t>
      </w:r>
      <w:r w:rsidRPr="007A28AA">
        <w:rPr>
          <w:rFonts w:eastAsia="Calibri"/>
          <w:szCs w:val="22"/>
          <w:lang w:eastAsia="en-US"/>
        </w:rPr>
        <w:t xml:space="preserve"> plano;</w:t>
      </w:r>
    </w:p>
    <w:p w:rsidR="00733FC2" w:rsidRPr="007A28AA" w:rsidRDefault="00733FC2" w:rsidP="00733FC2">
      <w:pPr>
        <w:widowControl/>
        <w:spacing w:before="120" w:after="120" w:line="360" w:lineRule="auto"/>
        <w:ind w:left="709" w:hanging="709"/>
        <w:rPr>
          <w:rFonts w:eastAsia="Calibri"/>
          <w:noProof/>
          <w:szCs w:val="22"/>
          <w:lang w:eastAsia="en-US"/>
        </w:rPr>
      </w:pPr>
      <w:r w:rsidRPr="007A28AA">
        <w:rPr>
          <w:rFonts w:eastAsia="Calibri"/>
          <w:szCs w:val="22"/>
          <w:lang w:eastAsia="en-US"/>
        </w:rPr>
        <w:t>(13)</w:t>
      </w:r>
      <w:r w:rsidRPr="007A28AA">
        <w:rPr>
          <w:rFonts w:eastAsia="Calibri"/>
          <w:szCs w:val="22"/>
          <w:lang w:eastAsia="en-US"/>
        </w:rPr>
        <w:tab/>
        <w:t xml:space="preserve">pagal Reglamento (ES) [dėl prevencinės dalies] 24 ir 25 straipsnius Taryba, remdamasi Komisijos rekomendacija, galėtų leisti valstybėms narėms nukrypti nuo Tarybos pagal tą reglamentą nustatyto grynųjų išlaidų plano esant dideliam ekonomikos nuosmukiui euro zonoje arba visoje Sąjungoje arba išskirtinėmis aplinkybėmis, kurių vyriausybė negali kontroliuoti ir kurios daro didelį poveikį atitinkamos valstybės narės viešiesiems finansams, jeigu tai nekelia pavojaus fiskaliniam tvarumui </w:t>
      </w:r>
      <w:r w:rsidRPr="00E63F8B">
        <w:rPr>
          <w:rFonts w:eastAsia="Calibri"/>
          <w:szCs w:val="22"/>
          <w:lang w:eastAsia="en-US"/>
        </w:rPr>
        <w:t>vidutinės trukmės</w:t>
      </w:r>
      <w:r w:rsidRPr="007A28AA">
        <w:rPr>
          <w:rFonts w:eastAsia="Calibri"/>
          <w:szCs w:val="22"/>
          <w:lang w:eastAsia="en-US"/>
        </w:rPr>
        <w:t xml:space="preserve"> laikotarpiu. Todėl </w:t>
      </w:r>
      <w:r w:rsidRPr="00E63F8B">
        <w:rPr>
          <w:rFonts w:eastAsia="Calibri"/>
          <w:szCs w:val="22"/>
          <w:lang w:eastAsia="en-US"/>
        </w:rPr>
        <w:t>toks nukrypimas</w:t>
      </w:r>
      <w:r w:rsidRPr="007A28AA">
        <w:rPr>
          <w:rFonts w:eastAsia="Calibri"/>
          <w:szCs w:val="22"/>
          <w:lang w:eastAsia="en-US"/>
        </w:rPr>
        <w:t xml:space="preserve"> neturėtų būti </w:t>
      </w:r>
      <w:r w:rsidRPr="00E63F8B">
        <w:rPr>
          <w:rFonts w:eastAsia="Calibri"/>
          <w:szCs w:val="22"/>
          <w:lang w:eastAsia="en-US"/>
        </w:rPr>
        <w:t>registruojamas kontrolės sąskaitoje ir dėl jo</w:t>
      </w:r>
      <w:r w:rsidRPr="007A28AA">
        <w:rPr>
          <w:rFonts w:eastAsia="Calibri"/>
          <w:szCs w:val="22"/>
          <w:lang w:eastAsia="en-US"/>
        </w:rPr>
        <w:t xml:space="preserve"> </w:t>
      </w:r>
      <w:r w:rsidRPr="00E63F8B">
        <w:rPr>
          <w:rFonts w:eastAsia="Calibri"/>
          <w:szCs w:val="22"/>
          <w:lang w:eastAsia="en-US"/>
        </w:rPr>
        <w:t>neturėtų būti pradėta</w:t>
      </w:r>
      <w:r w:rsidRPr="007A28AA">
        <w:rPr>
          <w:rFonts w:eastAsia="Calibri"/>
          <w:szCs w:val="22"/>
          <w:lang w:eastAsia="en-US"/>
        </w:rPr>
        <w:t xml:space="preserve"> skolos kriterijumi grindžiama PDP;</w:t>
      </w:r>
    </w:p>
    <w:p w:rsidR="00733FC2" w:rsidRPr="007A28AA" w:rsidRDefault="00733FC2" w:rsidP="00733FC2">
      <w:pPr>
        <w:widowControl/>
        <w:spacing w:before="120" w:after="120" w:line="360" w:lineRule="auto"/>
        <w:ind w:left="709" w:hanging="709"/>
        <w:rPr>
          <w:rFonts w:eastAsia="Calibri"/>
          <w:noProof/>
          <w:szCs w:val="22"/>
          <w:lang w:eastAsia="en-US"/>
        </w:rPr>
      </w:pPr>
      <w:r w:rsidRPr="007A28AA">
        <w:rPr>
          <w:rFonts w:eastAsia="Calibri"/>
          <w:szCs w:val="22"/>
          <w:lang w:eastAsia="en-US"/>
        </w:rPr>
        <w:t>(14)</w:t>
      </w:r>
      <w:r w:rsidRPr="007A28AA">
        <w:rPr>
          <w:rFonts w:eastAsia="Calibri"/>
          <w:szCs w:val="22"/>
          <w:lang w:eastAsia="en-US"/>
        </w:rPr>
        <w:tab/>
        <w:t xml:space="preserve">pagal SESV 126 straipsnio 3 dalį vertindama, ar yra susidaręs perviršinis deficitas, Komisija turėtų atsižvelgti į </w:t>
      </w:r>
      <w:r w:rsidRPr="00E63F8B">
        <w:rPr>
          <w:rFonts w:eastAsia="Calibri"/>
          <w:szCs w:val="22"/>
          <w:lang w:eastAsia="en-US"/>
        </w:rPr>
        <w:t>visus</w:t>
      </w:r>
      <w:r w:rsidRPr="007A28AA">
        <w:rPr>
          <w:rFonts w:eastAsia="Calibri"/>
          <w:szCs w:val="22"/>
          <w:lang w:eastAsia="en-US"/>
        </w:rPr>
        <w:t xml:space="preserve"> </w:t>
      </w:r>
      <w:r w:rsidRPr="00E63F8B">
        <w:rPr>
          <w:rFonts w:eastAsia="Calibri"/>
          <w:szCs w:val="22"/>
          <w:lang w:eastAsia="en-US"/>
        </w:rPr>
        <w:t>svarbius veiksnius.</w:t>
      </w:r>
      <w:r w:rsidRPr="007A28AA">
        <w:rPr>
          <w:rFonts w:eastAsia="Calibri"/>
          <w:szCs w:val="22"/>
          <w:lang w:eastAsia="en-US"/>
        </w:rPr>
        <w:t xml:space="preserve"> </w:t>
      </w:r>
      <w:r w:rsidRPr="00E63F8B">
        <w:rPr>
          <w:rFonts w:eastAsia="Calibri"/>
          <w:szCs w:val="22"/>
          <w:lang w:eastAsia="en-US"/>
        </w:rPr>
        <w:t>Didelės valstybės skolos problemos</w:t>
      </w:r>
      <w:r w:rsidRPr="007A28AA">
        <w:rPr>
          <w:rFonts w:eastAsia="Calibri"/>
          <w:szCs w:val="22"/>
          <w:lang w:eastAsia="en-US"/>
        </w:rPr>
        <w:t xml:space="preserve"> atitinkamoje valstybėje narėje turėtų būti </w:t>
      </w:r>
      <w:r w:rsidRPr="00E63F8B">
        <w:rPr>
          <w:rFonts w:eastAsia="Calibri"/>
          <w:szCs w:val="22"/>
          <w:lang w:eastAsia="en-US"/>
        </w:rPr>
        <w:t>laikomos itin svarbiu</w:t>
      </w:r>
      <w:r w:rsidRPr="007A28AA">
        <w:rPr>
          <w:rFonts w:eastAsia="Calibri"/>
          <w:szCs w:val="22"/>
          <w:lang w:eastAsia="en-US"/>
        </w:rPr>
        <w:t xml:space="preserve"> </w:t>
      </w:r>
      <w:r w:rsidRPr="00E63F8B">
        <w:rPr>
          <w:rFonts w:eastAsia="Calibri"/>
          <w:szCs w:val="22"/>
          <w:lang w:eastAsia="en-US"/>
        </w:rPr>
        <w:t>sunkinančiu veiksniu</w:t>
      </w:r>
      <w:r w:rsidRPr="007A28AA">
        <w:rPr>
          <w:rFonts w:eastAsia="Calibri"/>
          <w:szCs w:val="22"/>
          <w:lang w:eastAsia="en-US"/>
        </w:rPr>
        <w:t>;</w:t>
      </w:r>
    </w:p>
    <w:p w:rsidR="00733FC2" w:rsidRPr="00E63F8B" w:rsidRDefault="00733FC2" w:rsidP="00733FC2">
      <w:pPr>
        <w:widowControl/>
        <w:spacing w:before="120" w:after="120" w:line="360" w:lineRule="auto"/>
        <w:ind w:left="709" w:hanging="709"/>
        <w:rPr>
          <w:rFonts w:eastAsia="Calibri"/>
          <w:szCs w:val="22"/>
          <w:lang w:eastAsia="en-US"/>
        </w:rPr>
      </w:pPr>
      <w:r w:rsidRPr="00BA61E4">
        <w:rPr>
          <w:rFonts w:eastAsia="Calibri"/>
          <w:b/>
          <w:i/>
          <w:szCs w:val="22"/>
          <w:lang w:eastAsia="en-US"/>
        </w:rPr>
        <w:t>(14a)</w:t>
      </w:r>
      <w:r w:rsidRPr="00E63F8B">
        <w:rPr>
          <w:rFonts w:eastAsia="Calibri"/>
          <w:szCs w:val="22"/>
          <w:lang w:eastAsia="en-US"/>
        </w:rPr>
        <w:tab/>
        <w:t xml:space="preserve">suvokiant, kad geopolitinė įtampa ir saugumo iššūkiai didėja, o valstybėms narėms atitinkamai reikia stiprinti savo pajėgumus, vertinant, ar yra susidaręs perviršinis deficitas pagal SESV 126 straipsnio 3 dalį, svarbiu veiksniu turėtų būti laikomas valdžios sektoriaus investicijų į gynybą padidėjimas (kai taikytina). Šį veiksnį būtų galima įvertinti pagal ES vidurkius, vidutinės trukmės tendencijas ar kitus atitinkamus </w:t>
      </w:r>
      <w:r w:rsidRPr="00E63F8B">
        <w:rPr>
          <w:rFonts w:eastAsia="Calibri"/>
          <w:szCs w:val="22"/>
          <w:lang w:eastAsia="en-US"/>
        </w:rPr>
        <w:lastRenderedPageBreak/>
        <w:t>lyginamuosius dydžius, taip pat atsižvelgiant į statistikos taisykles, susijusias su išlaidų karinei įrangai registravimo laiku;</w:t>
      </w:r>
    </w:p>
    <w:p w:rsidR="00733FC2" w:rsidRPr="007A28AA" w:rsidRDefault="00733FC2" w:rsidP="00733FC2">
      <w:pPr>
        <w:widowControl/>
        <w:spacing w:before="120" w:after="120" w:line="360" w:lineRule="auto"/>
        <w:ind w:left="709" w:hanging="709"/>
        <w:rPr>
          <w:rFonts w:eastAsia="Calibri"/>
          <w:noProof/>
          <w:szCs w:val="22"/>
          <w:lang w:eastAsia="en-US"/>
        </w:rPr>
      </w:pPr>
      <w:r w:rsidRPr="007A28AA">
        <w:rPr>
          <w:rFonts w:eastAsia="Calibri"/>
          <w:szCs w:val="22"/>
          <w:lang w:eastAsia="en-US"/>
        </w:rPr>
        <w:t>(15)</w:t>
      </w:r>
      <w:r w:rsidRPr="007A28AA">
        <w:rPr>
          <w:rFonts w:eastAsia="Calibri"/>
          <w:szCs w:val="22"/>
          <w:lang w:eastAsia="en-US"/>
        </w:rPr>
        <w:tab/>
        <w:t xml:space="preserve">kad būtų galima stebėti faktinius nukrypimus nuo grynųjų išlaidų plano, kaip nustatyta Reglamento (ES) [dėl prevencinės dalies] </w:t>
      </w:r>
      <w:r w:rsidRPr="00E63F8B">
        <w:rPr>
          <w:rFonts w:eastAsia="Calibri"/>
          <w:szCs w:val="22"/>
          <w:lang w:eastAsia="en-US"/>
        </w:rPr>
        <w:t>21 straipsnyje</w:t>
      </w:r>
      <w:r w:rsidRPr="007A28AA">
        <w:rPr>
          <w:rFonts w:eastAsia="Calibri"/>
          <w:szCs w:val="22"/>
          <w:lang w:eastAsia="en-US"/>
        </w:rPr>
        <w:t xml:space="preserve">, Komisija turėtų sukurti kiekvienos valstybės narės kontrolės sąskaitą, kurioje ilgainiui būtų </w:t>
      </w:r>
      <w:r w:rsidRPr="00E63F8B">
        <w:rPr>
          <w:rFonts w:eastAsia="Calibri"/>
          <w:szCs w:val="22"/>
          <w:lang w:eastAsia="en-US"/>
        </w:rPr>
        <w:t>apibendrinami</w:t>
      </w:r>
      <w:r w:rsidRPr="007A28AA">
        <w:rPr>
          <w:rFonts w:eastAsia="Calibri"/>
          <w:szCs w:val="22"/>
          <w:lang w:eastAsia="en-US"/>
        </w:rPr>
        <w:t xml:space="preserve"> </w:t>
      </w:r>
      <w:r w:rsidRPr="00E63F8B">
        <w:rPr>
          <w:rFonts w:eastAsia="Calibri"/>
          <w:szCs w:val="22"/>
          <w:lang w:eastAsia="en-US"/>
        </w:rPr>
        <w:t>metiniai</w:t>
      </w:r>
      <w:r w:rsidRPr="007A28AA">
        <w:rPr>
          <w:rFonts w:eastAsia="Calibri"/>
          <w:szCs w:val="22"/>
          <w:lang w:eastAsia="en-US"/>
        </w:rPr>
        <w:t xml:space="preserve"> </w:t>
      </w:r>
      <w:r w:rsidRPr="00E63F8B">
        <w:rPr>
          <w:rFonts w:eastAsia="Calibri"/>
          <w:szCs w:val="22"/>
          <w:lang w:eastAsia="en-US"/>
        </w:rPr>
        <w:t>nukrypimai</w:t>
      </w:r>
      <w:r w:rsidRPr="007A28AA">
        <w:rPr>
          <w:rFonts w:eastAsia="Calibri"/>
          <w:szCs w:val="22"/>
          <w:lang w:eastAsia="en-US"/>
        </w:rPr>
        <w:t xml:space="preserve">. Kontrolės sąskaitoje </w:t>
      </w:r>
      <w:r w:rsidRPr="00E63F8B">
        <w:rPr>
          <w:rFonts w:eastAsia="Calibri"/>
          <w:szCs w:val="22"/>
          <w:lang w:eastAsia="en-US"/>
        </w:rPr>
        <w:t>esanti</w:t>
      </w:r>
      <w:r w:rsidRPr="007A28AA">
        <w:rPr>
          <w:rFonts w:eastAsia="Calibri"/>
          <w:szCs w:val="22"/>
          <w:lang w:eastAsia="en-US"/>
        </w:rPr>
        <w:t xml:space="preserve"> informacija turėtų būti vykdymo užtikrinimo veiksmų </w:t>
      </w:r>
      <w:r w:rsidRPr="00E63F8B">
        <w:rPr>
          <w:rFonts w:eastAsia="Calibri"/>
          <w:szCs w:val="22"/>
          <w:lang w:eastAsia="en-US"/>
        </w:rPr>
        <w:t>pagrindas</w:t>
      </w:r>
      <w:r w:rsidRPr="007A28AA">
        <w:rPr>
          <w:rFonts w:eastAsia="Calibri"/>
          <w:szCs w:val="22"/>
          <w:lang w:eastAsia="en-US"/>
        </w:rPr>
        <w:t xml:space="preserve">. Visų pirma </w:t>
      </w:r>
      <w:r w:rsidRPr="00E63F8B">
        <w:rPr>
          <w:rFonts w:eastAsia="Calibri"/>
          <w:szCs w:val="22"/>
          <w:lang w:eastAsia="en-US"/>
        </w:rPr>
        <w:t>Komisija parengia pranešimą pagal</w:t>
      </w:r>
      <w:r w:rsidRPr="007A28AA">
        <w:rPr>
          <w:rFonts w:eastAsia="Calibri"/>
          <w:szCs w:val="22"/>
          <w:lang w:eastAsia="en-US"/>
        </w:rPr>
        <w:t xml:space="preserve"> SESV 126 straipsnio 3 dalį, </w:t>
      </w:r>
      <w:r w:rsidRPr="00E63F8B">
        <w:rPr>
          <w:rFonts w:eastAsia="Calibri"/>
          <w:szCs w:val="22"/>
          <w:lang w:eastAsia="en-US"/>
        </w:rPr>
        <w:t>kai valdžios sektoriaus skolos ir BVP santykis viršija pamatinę vertę, biudžetas nėra beveik subalansuotas arba yra biudžeto perteklius ir kai valstybės narės kontrolės sąskaitoje užfiksuoti nuokrypiai viršija nustatytas metines ar sumines ribas. Biudžetas laikomas beveik subalansuotu, jei nominalusis deficitas neviršija 0,5 procentinio punkto BVP;</w:t>
      </w:r>
    </w:p>
    <w:p w:rsidR="00733FC2" w:rsidRPr="00BA61E4" w:rsidRDefault="00733FC2" w:rsidP="00733FC2">
      <w:pPr>
        <w:widowControl/>
        <w:spacing w:before="120" w:after="120" w:line="360" w:lineRule="auto"/>
        <w:ind w:left="709" w:hanging="709"/>
        <w:rPr>
          <w:rFonts w:eastAsia="Calibri"/>
          <w:noProof/>
          <w:szCs w:val="22"/>
          <w:lang w:eastAsia="en-US"/>
        </w:rPr>
      </w:pPr>
      <w:r w:rsidRPr="007A28AA">
        <w:rPr>
          <w:rFonts w:eastAsia="Calibri"/>
          <w:szCs w:val="22"/>
          <w:lang w:eastAsia="en-US"/>
        </w:rPr>
        <w:t>(16)</w:t>
      </w:r>
      <w:r w:rsidRPr="007A28AA">
        <w:rPr>
          <w:rFonts w:eastAsia="Calibri"/>
          <w:szCs w:val="22"/>
          <w:lang w:eastAsia="en-US"/>
        </w:rPr>
        <w:tab/>
        <w:t xml:space="preserve">taikant taisomąjį grynųjų išlaidų planą pagal PDP, iki Tarybos nustatyto termino bendras valdžios sektoriaus deficitas turėtų būti sumažintas arba ir toliau neviršyti 3 % BVP pamatinės vertės, nurodytos SESV 126 straipsnio 2 dalyje ir Protokole Nr. 12. Taisomasis grynųjų išlaidų planas pagal PDP iš esmės būtų toks, kokį iš pradžių nustatė Taryba, </w:t>
      </w:r>
      <w:r w:rsidRPr="00E63F8B">
        <w:rPr>
          <w:rFonts w:eastAsia="Calibri"/>
          <w:szCs w:val="22"/>
          <w:lang w:eastAsia="en-US"/>
        </w:rPr>
        <w:t>kartu atsižvelgiant</w:t>
      </w:r>
      <w:r w:rsidRPr="007A28AA">
        <w:rPr>
          <w:rFonts w:eastAsia="Calibri"/>
          <w:szCs w:val="22"/>
          <w:lang w:eastAsia="en-US"/>
        </w:rPr>
        <w:t xml:space="preserve"> į poreikį </w:t>
      </w:r>
      <w:r w:rsidRPr="00E63F8B">
        <w:rPr>
          <w:rFonts w:eastAsia="Calibri"/>
          <w:szCs w:val="22"/>
          <w:lang w:eastAsia="en-US"/>
        </w:rPr>
        <w:t>užtikrinti minimalų 0,5 % BVP struktūrinį koregavimą, jei būtų pažeistas deficito kriterijus, arba į poreikį</w:t>
      </w:r>
      <w:r w:rsidRPr="007A28AA">
        <w:rPr>
          <w:rFonts w:eastAsia="Calibri"/>
          <w:szCs w:val="22"/>
          <w:lang w:eastAsia="en-US"/>
        </w:rPr>
        <w:t xml:space="preserve"> ištaisyti nukrypimą nuo to plano </w:t>
      </w:r>
      <w:r w:rsidRPr="00E63F8B">
        <w:rPr>
          <w:rFonts w:eastAsia="Calibri"/>
          <w:szCs w:val="22"/>
          <w:lang w:eastAsia="en-US"/>
        </w:rPr>
        <w:t>– tai būtų taisyklė, taikoma skolos kriterijaus pažeidimo atveju</w:t>
      </w:r>
      <w:r w:rsidRPr="007A28AA">
        <w:rPr>
          <w:rFonts w:eastAsia="Calibri"/>
          <w:szCs w:val="22"/>
          <w:lang w:eastAsia="en-US"/>
        </w:rPr>
        <w:t>. Jei dėl objektyvių aplinkybių šio pradinio plano nebebūtų įmanoma įgyvendinti, Taryba turėtų galėti nustatyti kitokį planą pagal PDP;</w:t>
      </w:r>
    </w:p>
    <w:p w:rsidR="00733FC2" w:rsidRPr="007A28AA" w:rsidRDefault="00733FC2" w:rsidP="00733FC2">
      <w:pPr>
        <w:widowControl/>
        <w:spacing w:before="120" w:after="120" w:line="360" w:lineRule="auto"/>
        <w:ind w:left="709" w:hanging="709"/>
        <w:rPr>
          <w:rFonts w:eastAsia="Calibri"/>
          <w:szCs w:val="22"/>
          <w:lang w:eastAsia="en-US"/>
        </w:rPr>
      </w:pPr>
      <w:r w:rsidRPr="007A28AA">
        <w:rPr>
          <w:rFonts w:eastAsia="Calibri"/>
          <w:szCs w:val="22"/>
          <w:lang w:eastAsia="en-US"/>
        </w:rPr>
        <w:t>(17)</w:t>
      </w:r>
      <w:r w:rsidRPr="007A28AA">
        <w:rPr>
          <w:rFonts w:eastAsia="Calibri"/>
          <w:szCs w:val="22"/>
          <w:lang w:eastAsia="en-US"/>
        </w:rPr>
        <w:tab/>
        <w:t xml:space="preserve">valstybių narių, kurioms taikoma PDP, atveju Taryba, remdamasi Komisijos rekomendacija, turėtų ir toliau galėti pratęsti perviršinio deficito ištaisymo terminą, jei nustato, kad euro zonoje arba visoje Sąjungoje yra didelis ekonomikos nuosmukis pagal Reglamento (ES) [dėl prevencinės dalies] 24 straipsnį, arba išskirtinėmis aplinkybėmis, kurių vyriausybė negali kontroliuoti ir kurios daro didelį poveikį atskiros valstybės narės viešiesiems finansams </w:t>
      </w:r>
      <w:r w:rsidRPr="00E63F8B">
        <w:rPr>
          <w:rFonts w:eastAsia="Calibri"/>
          <w:szCs w:val="22"/>
          <w:lang w:eastAsia="en-US"/>
        </w:rPr>
        <w:t>pagal Reglamento (ES) [dėl prevencinės dalies] 25 straipsnį, jei tai nekelia pavojaus fiskaliniam tvarumui vidutiniu laikotarpiu</w:t>
      </w:r>
      <w:r w:rsidRPr="007A28AA">
        <w:rPr>
          <w:rFonts w:eastAsia="Calibri"/>
          <w:szCs w:val="22"/>
          <w:lang w:eastAsia="en-US"/>
        </w:rPr>
        <w:t>;</w:t>
      </w:r>
    </w:p>
    <w:p w:rsidR="00733FC2" w:rsidRPr="007A28AA" w:rsidRDefault="00733FC2" w:rsidP="00733FC2">
      <w:pPr>
        <w:widowControl/>
        <w:spacing w:before="120" w:after="120" w:line="360" w:lineRule="auto"/>
        <w:ind w:left="709" w:hanging="709"/>
        <w:rPr>
          <w:rFonts w:eastAsia="Calibri"/>
          <w:noProof/>
          <w:szCs w:val="22"/>
          <w:lang w:eastAsia="en-US"/>
        </w:rPr>
      </w:pPr>
      <w:r w:rsidRPr="007A28AA">
        <w:rPr>
          <w:rFonts w:eastAsia="Calibri"/>
          <w:szCs w:val="22"/>
          <w:lang w:eastAsia="en-US"/>
        </w:rPr>
        <w:t>(18)</w:t>
      </w:r>
      <w:r w:rsidRPr="007A28AA">
        <w:rPr>
          <w:rFonts w:eastAsia="Calibri"/>
          <w:szCs w:val="22"/>
          <w:lang w:eastAsia="en-US"/>
        </w:rPr>
        <w:tab/>
        <w:t>konkrečios Reglamento (EB) Nr. 1467/97 nuostatos, susijusios su įmokomis į antrosios pakopos pensijų sistemas, turėtų būti išbrauktos, nes Tarybos nustatytame grynųjų išlaidų plane jau turėtų būti atsižvelgta į su tokiomis įmokomis susijusį pajamų praradimą;</w:t>
      </w:r>
    </w:p>
    <w:p w:rsidR="00733FC2" w:rsidRPr="00BA61E4" w:rsidRDefault="00733FC2" w:rsidP="00733FC2">
      <w:pPr>
        <w:widowControl/>
        <w:spacing w:before="120" w:after="120" w:line="360" w:lineRule="auto"/>
        <w:ind w:left="709" w:hanging="709"/>
        <w:rPr>
          <w:rFonts w:eastAsia="Calibri"/>
          <w:noProof/>
          <w:szCs w:val="22"/>
          <w:lang w:eastAsia="en-US"/>
        </w:rPr>
      </w:pPr>
      <w:r w:rsidRPr="007A28AA">
        <w:rPr>
          <w:rFonts w:eastAsia="Calibri"/>
          <w:szCs w:val="22"/>
          <w:lang w:eastAsia="en-US"/>
        </w:rPr>
        <w:lastRenderedPageBreak/>
        <w:t>(19)</w:t>
      </w:r>
      <w:r w:rsidRPr="007A28AA">
        <w:rPr>
          <w:rFonts w:eastAsia="Calibri"/>
          <w:szCs w:val="22"/>
          <w:lang w:eastAsia="en-US"/>
        </w:rPr>
        <w:tab/>
        <w:t xml:space="preserve">nepriklausomos fiskalinės institucijos įrodė, kad yra pajėgios skatinti fiskalinę drausmę ir stiprinti valstybių narių viešųjų finansų patikimumą. Siekiant sustiprinti nacionalinę atsakomybę, nepriklausomų fiskalinių institucijų vaidmuo </w:t>
      </w:r>
      <w:r w:rsidRPr="00E63F8B">
        <w:rPr>
          <w:rFonts w:eastAsia="Calibri"/>
          <w:szCs w:val="22"/>
          <w:lang w:eastAsia="en-US"/>
        </w:rPr>
        <w:t>reformuotoje Sąjungos ekonomikos valdymo sistemoje turėtų būti išlaikytas</w:t>
      </w:r>
      <w:r w:rsidRPr="00BA61E4">
        <w:rPr>
          <w:rFonts w:eastAsia="Calibri"/>
          <w:b/>
          <w:i/>
          <w:szCs w:val="22"/>
          <w:lang w:eastAsia="en-US"/>
        </w:rPr>
        <w:t>, siekiant palaipsniui stiprinti jų pajėgumus.</w:t>
      </w:r>
      <w:r w:rsidRPr="007A28AA">
        <w:rPr>
          <w:rFonts w:eastAsia="Calibri"/>
          <w:szCs w:val="22"/>
          <w:lang w:eastAsia="en-US"/>
        </w:rPr>
        <w:t xml:space="preserve"> </w:t>
      </w:r>
      <w:r w:rsidRPr="00E63F8B">
        <w:rPr>
          <w:rFonts w:eastAsia="Calibri"/>
          <w:szCs w:val="22"/>
          <w:lang w:eastAsia="en-US"/>
        </w:rPr>
        <w:t>Labiau nepriklausomai Europos fiskalinei valdybai</w:t>
      </w:r>
      <w:r w:rsidRPr="00BA61E4">
        <w:rPr>
          <w:rFonts w:eastAsia="Calibri"/>
          <w:szCs w:val="22"/>
          <w:lang w:eastAsia="en-US"/>
        </w:rPr>
        <w:t xml:space="preserve"> turėtų tekti </w:t>
      </w:r>
      <w:r w:rsidRPr="00E63F8B">
        <w:rPr>
          <w:rFonts w:eastAsia="Calibri"/>
          <w:szCs w:val="22"/>
          <w:lang w:eastAsia="en-US"/>
        </w:rPr>
        <w:t>svarbesnis patariamasis vaidmuo</w:t>
      </w:r>
      <w:r w:rsidRPr="00BA61E4">
        <w:rPr>
          <w:rFonts w:eastAsia="Calibri"/>
          <w:szCs w:val="22"/>
          <w:lang w:eastAsia="en-US"/>
        </w:rPr>
        <w:t xml:space="preserve"> Sąjungos ekonomikos valdymo </w:t>
      </w:r>
      <w:r w:rsidRPr="00E63F8B">
        <w:rPr>
          <w:rFonts w:eastAsia="Calibri"/>
          <w:szCs w:val="22"/>
          <w:lang w:eastAsia="en-US"/>
        </w:rPr>
        <w:t>sistemoje</w:t>
      </w:r>
      <w:r w:rsidRPr="00BA61E4">
        <w:rPr>
          <w:rFonts w:eastAsia="Calibri"/>
          <w:szCs w:val="22"/>
          <w:lang w:eastAsia="en-US"/>
        </w:rPr>
        <w:t>;</w:t>
      </w:r>
    </w:p>
    <w:p w:rsidR="00733FC2" w:rsidRPr="007A28AA" w:rsidRDefault="00733FC2" w:rsidP="00733FC2">
      <w:pPr>
        <w:widowControl/>
        <w:spacing w:before="120" w:after="120" w:line="360" w:lineRule="auto"/>
        <w:ind w:left="709" w:hanging="709"/>
        <w:rPr>
          <w:rFonts w:eastAsia="Calibri"/>
          <w:noProof/>
          <w:szCs w:val="22"/>
          <w:lang w:eastAsia="en-US"/>
        </w:rPr>
      </w:pPr>
      <w:r w:rsidRPr="007A28AA">
        <w:rPr>
          <w:rFonts w:eastAsia="Calibri"/>
          <w:szCs w:val="22"/>
          <w:lang w:eastAsia="en-US"/>
        </w:rPr>
        <w:t>(20)</w:t>
      </w:r>
      <w:r w:rsidRPr="007A28AA">
        <w:rPr>
          <w:rFonts w:eastAsia="Calibri"/>
          <w:szCs w:val="22"/>
          <w:lang w:eastAsia="en-US"/>
        </w:rPr>
        <w:tab/>
        <w:t>turėtų būti nustatytos aiškios perviršinio deficito procedūrų panaikinimo sąlygos. Turėtų būti reikalaujama, kad deficitas ir toliau patikimai neviršytų SESV 126 straipsnio 2 dalyje ir Protokole Nr. 12 nurodytos 3 % BVP pamatinės vertės, o skolos kriterijumi grindžiamos PDP atveju – kad valstybė narė įrodytų, jog laikosi grynųjų išlaidų plano pagal PDP;</w:t>
      </w:r>
    </w:p>
    <w:p w:rsidR="00733FC2" w:rsidRPr="007A28AA" w:rsidRDefault="00733FC2" w:rsidP="00733FC2">
      <w:pPr>
        <w:widowControl/>
        <w:spacing w:before="120" w:after="120" w:line="360" w:lineRule="auto"/>
        <w:ind w:left="709" w:hanging="709"/>
        <w:rPr>
          <w:rFonts w:eastAsia="Calibri"/>
          <w:szCs w:val="22"/>
          <w:lang w:eastAsia="en-US"/>
        </w:rPr>
      </w:pPr>
      <w:r w:rsidRPr="007A28AA">
        <w:rPr>
          <w:rFonts w:eastAsia="Calibri"/>
          <w:szCs w:val="22"/>
          <w:lang w:eastAsia="en-US"/>
        </w:rPr>
        <w:t>(21)</w:t>
      </w:r>
      <w:r w:rsidRPr="007A28AA">
        <w:rPr>
          <w:rFonts w:eastAsia="Calibri"/>
          <w:szCs w:val="22"/>
          <w:lang w:eastAsia="en-US"/>
        </w:rPr>
        <w:tab/>
        <w:t>SESV 126 straipsnio 11 dalyje numatytos baudos neturėtų būti minimalaus dydžio, tačiau jos turėtų būti kaupiamos tol, kol bus imtasi veiksmingų priemonių, kad būtų iš tikrųjų skatinama laikytis pagal PDP valstybėms narėms pateiktų įspėjimų pagal SESV 126 straipsnio 9 dalį;</w:t>
      </w:r>
    </w:p>
    <w:p w:rsidR="00733FC2" w:rsidRPr="007A28AA" w:rsidRDefault="00733FC2" w:rsidP="00733FC2">
      <w:pPr>
        <w:widowControl/>
        <w:spacing w:before="120" w:after="120" w:line="360" w:lineRule="auto"/>
        <w:ind w:left="709" w:hanging="709"/>
        <w:rPr>
          <w:rFonts w:eastAsia="Calibri"/>
          <w:noProof/>
          <w:szCs w:val="22"/>
          <w:lang w:eastAsia="en-US"/>
        </w:rPr>
      </w:pPr>
      <w:r w:rsidRPr="007A28AA">
        <w:rPr>
          <w:rFonts w:eastAsia="Calibri"/>
          <w:szCs w:val="22"/>
          <w:lang w:eastAsia="en-US"/>
        </w:rPr>
        <w:t>(22)</w:t>
      </w:r>
      <w:r w:rsidRPr="007A28AA">
        <w:rPr>
          <w:rFonts w:eastAsia="Calibri"/>
          <w:szCs w:val="22"/>
          <w:lang w:eastAsia="en-US"/>
        </w:rPr>
        <w:tab/>
        <w:t>su Jungtine Karalyste susijusios nuostatos turėtų būti išbrauktos;</w:t>
      </w:r>
    </w:p>
    <w:p w:rsidR="00733FC2" w:rsidRPr="007A28AA" w:rsidRDefault="00733FC2" w:rsidP="00733FC2">
      <w:pPr>
        <w:widowControl/>
        <w:spacing w:before="120" w:after="120" w:line="360" w:lineRule="auto"/>
        <w:ind w:left="709" w:hanging="709"/>
        <w:rPr>
          <w:rFonts w:eastAsia="Calibri"/>
          <w:noProof/>
          <w:szCs w:val="22"/>
          <w:lang w:eastAsia="en-US"/>
        </w:rPr>
      </w:pPr>
      <w:r w:rsidRPr="007A28AA">
        <w:rPr>
          <w:rFonts w:eastAsia="Calibri"/>
          <w:szCs w:val="22"/>
          <w:lang w:eastAsia="en-US"/>
        </w:rPr>
        <w:t>(23)</w:t>
      </w:r>
      <w:r w:rsidRPr="007A28AA">
        <w:rPr>
          <w:rFonts w:eastAsia="Calibri"/>
          <w:szCs w:val="22"/>
          <w:lang w:eastAsia="en-US"/>
        </w:rPr>
        <w:tab/>
        <w:t xml:space="preserve">šis reglamentas kartu su Reglamentu (ES) [dėl prevencinės dalies] ir Direktyva (ES) [...], kuria iš dalies keičiama Direktyva 2011/85/ES dėl reikalavimų valstybių narių biudžeto sistemoms, yra teisės aktų rinkinio dalis. </w:t>
      </w:r>
      <w:r w:rsidRPr="00E63F8B">
        <w:rPr>
          <w:rFonts w:eastAsia="Calibri"/>
          <w:szCs w:val="22"/>
          <w:lang w:eastAsia="en-US"/>
        </w:rPr>
        <w:t>Visais jais</w:t>
      </w:r>
      <w:r w:rsidRPr="007A28AA">
        <w:rPr>
          <w:rFonts w:eastAsia="Calibri"/>
          <w:szCs w:val="22"/>
          <w:lang w:eastAsia="en-US"/>
        </w:rPr>
        <w:t xml:space="preserve"> </w:t>
      </w:r>
      <w:r w:rsidRPr="00E63F8B">
        <w:rPr>
          <w:rFonts w:eastAsia="Calibri"/>
          <w:szCs w:val="22"/>
          <w:lang w:eastAsia="en-US"/>
        </w:rPr>
        <w:t>kartu</w:t>
      </w:r>
      <w:r w:rsidRPr="007A28AA">
        <w:rPr>
          <w:rFonts w:eastAsia="Calibri"/>
          <w:szCs w:val="22"/>
          <w:lang w:eastAsia="en-US"/>
        </w:rPr>
        <w:t xml:space="preserve"> nustatoma reformuota Sąjungos ekonomikos valdymo sistema, pagal kurią, vadovaujantis tarpvyriausybinės Sutarties dėl stabilumo, koordinavimo ir valdysenos (SSKV) ekonominėje ir pinigų sąjungoje</w:t>
      </w:r>
      <w:r w:rsidRPr="007A28AA">
        <w:rPr>
          <w:rFonts w:eastAsia="Calibri"/>
          <w:noProof/>
          <w:szCs w:val="22"/>
          <w:vertAlign w:val="superscript"/>
          <w:lang w:eastAsia="en-US"/>
        </w:rPr>
        <w:footnoteReference w:id="9"/>
      </w:r>
      <w:r w:rsidRPr="007A28AA">
        <w:rPr>
          <w:rFonts w:eastAsia="Calibri"/>
          <w:szCs w:val="22"/>
          <w:lang w:eastAsia="en-US"/>
        </w:rPr>
        <w:t xml:space="preserve"> 16 straipsniu, į Sąjungos teisę </w:t>
      </w:r>
      <w:r w:rsidRPr="00E63F8B">
        <w:rPr>
          <w:rFonts w:eastAsia="Calibri"/>
          <w:szCs w:val="22"/>
          <w:lang w:eastAsia="en-US"/>
        </w:rPr>
        <w:t>perkeliama</w:t>
      </w:r>
      <w:r w:rsidRPr="007A28AA">
        <w:rPr>
          <w:rFonts w:eastAsia="Calibri"/>
          <w:szCs w:val="22"/>
          <w:lang w:eastAsia="en-US"/>
        </w:rPr>
        <w:t xml:space="preserve"> šios sutarties III antraštinės dalies „Fiskalinis susitarimas“ </w:t>
      </w:r>
      <w:r w:rsidRPr="00E63F8B">
        <w:rPr>
          <w:rFonts w:eastAsia="Calibri"/>
          <w:szCs w:val="22"/>
          <w:lang w:eastAsia="en-US"/>
        </w:rPr>
        <w:t>esmė</w:t>
      </w:r>
      <w:r w:rsidRPr="007A28AA">
        <w:rPr>
          <w:rFonts w:eastAsia="Calibri"/>
          <w:szCs w:val="22"/>
          <w:lang w:eastAsia="en-US"/>
        </w:rPr>
        <w:t xml:space="preserve">. Remiantis patirtimi, įgyta valstybėms narėms įgyvendinant SSKV, </w:t>
      </w:r>
      <w:r w:rsidRPr="00E63F8B">
        <w:rPr>
          <w:rFonts w:eastAsia="Calibri"/>
          <w:szCs w:val="22"/>
          <w:lang w:eastAsia="en-US"/>
        </w:rPr>
        <w:t>siūlomame</w:t>
      </w:r>
      <w:r w:rsidRPr="007A28AA">
        <w:rPr>
          <w:rFonts w:eastAsia="Calibri"/>
          <w:szCs w:val="22"/>
          <w:lang w:eastAsia="en-US"/>
        </w:rPr>
        <w:t xml:space="preserve"> teisės aktų rinkinyje </w:t>
      </w:r>
      <w:r w:rsidRPr="00E63F8B">
        <w:rPr>
          <w:rFonts w:eastAsia="Calibri"/>
          <w:szCs w:val="22"/>
          <w:lang w:eastAsia="en-US"/>
        </w:rPr>
        <w:t>išlaikoma</w:t>
      </w:r>
      <w:r w:rsidRPr="007A28AA">
        <w:rPr>
          <w:rFonts w:eastAsia="Calibri"/>
          <w:szCs w:val="22"/>
          <w:lang w:eastAsia="en-US"/>
        </w:rPr>
        <w:t xml:space="preserve"> fiskalinio susitarimo nuostata dėl orientavimosi į </w:t>
      </w:r>
      <w:r w:rsidRPr="00E63F8B">
        <w:rPr>
          <w:rFonts w:eastAsia="Calibri"/>
          <w:szCs w:val="22"/>
          <w:lang w:eastAsia="en-US"/>
        </w:rPr>
        <w:t>vidutinės trukmės</w:t>
      </w:r>
      <w:r w:rsidRPr="007A28AA">
        <w:rPr>
          <w:rFonts w:eastAsia="Calibri"/>
          <w:szCs w:val="22"/>
          <w:lang w:eastAsia="en-US"/>
        </w:rPr>
        <w:t xml:space="preserve"> laikotarpį kaip </w:t>
      </w:r>
      <w:r w:rsidRPr="00E63F8B">
        <w:rPr>
          <w:rFonts w:eastAsia="Calibri"/>
          <w:szCs w:val="22"/>
          <w:lang w:eastAsia="en-US"/>
        </w:rPr>
        <w:t xml:space="preserve">biudžetinės drausmės užtikrinimo ir ekonomikos augimo skatinimo </w:t>
      </w:r>
      <w:r w:rsidRPr="007A28AA">
        <w:rPr>
          <w:rFonts w:eastAsia="Calibri"/>
          <w:szCs w:val="22"/>
          <w:lang w:eastAsia="en-US"/>
        </w:rPr>
        <w:t xml:space="preserve">priemonės ▌. Į teisės aktų rinkinį įtrauktas sustiprintas </w:t>
      </w:r>
      <w:r w:rsidRPr="00E63F8B">
        <w:rPr>
          <w:rFonts w:eastAsia="Calibri"/>
          <w:szCs w:val="22"/>
          <w:lang w:eastAsia="en-US"/>
        </w:rPr>
        <w:t>su konkrečiomis šalimis susijęs</w:t>
      </w:r>
      <w:r w:rsidRPr="007A28AA">
        <w:rPr>
          <w:rFonts w:eastAsia="Calibri"/>
          <w:szCs w:val="22"/>
          <w:lang w:eastAsia="en-US"/>
        </w:rPr>
        <w:t xml:space="preserve"> aspektas, kuriuo siekiama stiprinti nacionalinę atsakomybę, be kita ko, </w:t>
      </w:r>
      <w:r w:rsidRPr="00E63F8B">
        <w:rPr>
          <w:rFonts w:eastAsia="Calibri"/>
          <w:szCs w:val="22"/>
          <w:lang w:eastAsia="en-US"/>
        </w:rPr>
        <w:t>išlaikant</w:t>
      </w:r>
      <w:r w:rsidRPr="007A28AA">
        <w:rPr>
          <w:rFonts w:eastAsia="Calibri"/>
          <w:szCs w:val="22"/>
          <w:lang w:eastAsia="en-US"/>
        </w:rPr>
        <w:t xml:space="preserve"> nepriklausomų fiskalinių institucijų vaidmenį, ir kuris grindžiamas Komisijos pagal SSKV 3 straipsnio 2 dalį pasiūlytais fiskalinio susitarimo bendraisiais principais</w:t>
      </w:r>
      <w:r w:rsidRPr="007A28AA">
        <w:rPr>
          <w:rFonts w:eastAsia="Calibri"/>
          <w:noProof/>
          <w:szCs w:val="22"/>
          <w:vertAlign w:val="superscript"/>
          <w:lang w:eastAsia="en-US"/>
        </w:rPr>
        <w:footnoteReference w:id="10"/>
      </w:r>
      <w:r w:rsidRPr="007A28AA">
        <w:rPr>
          <w:rFonts w:eastAsia="Calibri"/>
          <w:szCs w:val="22"/>
          <w:lang w:eastAsia="en-US"/>
        </w:rPr>
        <w:t xml:space="preserve">. </w:t>
      </w:r>
      <w:r w:rsidRPr="007A28AA">
        <w:rPr>
          <w:rFonts w:eastAsia="Calibri"/>
          <w:szCs w:val="22"/>
          <w:lang w:eastAsia="en-US"/>
        </w:rPr>
        <w:lastRenderedPageBreak/>
        <w:t xml:space="preserve">Reglamente (ES) [dėl prevencinės dalies] </w:t>
      </w:r>
      <w:r w:rsidRPr="00E63F8B">
        <w:rPr>
          <w:rFonts w:eastAsia="Calibri"/>
          <w:szCs w:val="22"/>
          <w:lang w:eastAsia="en-US"/>
        </w:rPr>
        <w:t>pateikiama</w:t>
      </w:r>
      <w:r w:rsidRPr="007A28AA">
        <w:rPr>
          <w:rFonts w:eastAsia="Calibri"/>
          <w:szCs w:val="22"/>
          <w:lang w:eastAsia="en-US"/>
        </w:rPr>
        <w:t xml:space="preserve"> išlaidų, atėmus diskrecines pajamų priemones, analizė, kurios reikia siekiant atlikti pagal fiskalinį susitarimą reikalaujamą bendrą atitikties vertinimą. Kaip ir fiskaliniame susitarime, pagal Reglamento (ES) [dėl prevencinės dalies] </w:t>
      </w:r>
      <w:r w:rsidRPr="00E63F8B">
        <w:rPr>
          <w:rFonts w:eastAsia="Calibri"/>
          <w:szCs w:val="22"/>
          <w:lang w:eastAsia="en-US"/>
        </w:rPr>
        <w:t>24 ir 25 straipsnius</w:t>
      </w:r>
      <w:r w:rsidRPr="007A28AA">
        <w:rPr>
          <w:rFonts w:eastAsia="Calibri"/>
          <w:szCs w:val="22"/>
          <w:lang w:eastAsia="en-US"/>
        </w:rPr>
        <w:t xml:space="preserve"> laikini nukrypimai nuo </w:t>
      </w:r>
      <w:r w:rsidRPr="00E63F8B">
        <w:rPr>
          <w:rFonts w:eastAsia="Calibri"/>
          <w:szCs w:val="22"/>
          <w:lang w:eastAsia="en-US"/>
        </w:rPr>
        <w:t>vidutinės trukmės</w:t>
      </w:r>
      <w:r w:rsidRPr="007A28AA">
        <w:rPr>
          <w:rFonts w:eastAsia="Calibri"/>
          <w:szCs w:val="22"/>
          <w:lang w:eastAsia="en-US"/>
        </w:rPr>
        <w:t xml:space="preserve"> laikotarpio plano leidžiami tik išskirtinėmis aplinkybėmis </w:t>
      </w:r>
      <w:r w:rsidRPr="00E63F8B">
        <w:rPr>
          <w:rFonts w:eastAsia="Calibri"/>
          <w:szCs w:val="22"/>
          <w:lang w:eastAsia="en-US"/>
        </w:rPr>
        <w:t xml:space="preserve">ir laikantis nuostatų dėl kontrolės sąskaitos. Panašiai kaip ir pagal fiskalinį susitarimą, </w:t>
      </w:r>
      <w:r w:rsidRPr="007A28AA">
        <w:rPr>
          <w:rFonts w:eastAsia="Calibri"/>
          <w:szCs w:val="22"/>
          <w:lang w:eastAsia="en-US"/>
        </w:rPr>
        <w:t xml:space="preserve">didelių </w:t>
      </w:r>
      <w:r w:rsidRPr="00E63F8B">
        <w:rPr>
          <w:rFonts w:eastAsia="Calibri"/>
          <w:szCs w:val="22"/>
          <w:lang w:eastAsia="en-US"/>
        </w:rPr>
        <w:t>nukrypimų</w:t>
      </w:r>
      <w:r w:rsidRPr="007A28AA">
        <w:rPr>
          <w:rFonts w:eastAsia="Calibri"/>
          <w:szCs w:val="22"/>
          <w:lang w:eastAsia="en-US"/>
        </w:rPr>
        <w:t xml:space="preserve"> nuo </w:t>
      </w:r>
      <w:r w:rsidRPr="00E63F8B">
        <w:rPr>
          <w:rFonts w:eastAsia="Calibri"/>
          <w:szCs w:val="22"/>
          <w:lang w:eastAsia="en-US"/>
        </w:rPr>
        <w:t>vidutinės trukmės</w:t>
      </w:r>
      <w:r w:rsidRPr="007A28AA">
        <w:rPr>
          <w:rFonts w:eastAsia="Calibri"/>
          <w:szCs w:val="22"/>
          <w:lang w:eastAsia="en-US"/>
        </w:rPr>
        <w:t xml:space="preserve"> laikotarpio plano atveju </w:t>
      </w:r>
      <w:r w:rsidRPr="00E63F8B">
        <w:rPr>
          <w:rFonts w:eastAsia="Calibri"/>
          <w:szCs w:val="22"/>
          <w:lang w:eastAsia="en-US"/>
        </w:rPr>
        <w:t>turėtų būti įgyvendinamos</w:t>
      </w:r>
      <w:r w:rsidRPr="007A28AA">
        <w:rPr>
          <w:rFonts w:eastAsia="Calibri"/>
          <w:szCs w:val="22"/>
          <w:lang w:eastAsia="en-US"/>
        </w:rPr>
        <w:t xml:space="preserve"> priemonės </w:t>
      </w:r>
      <w:r w:rsidRPr="00E63F8B">
        <w:rPr>
          <w:rFonts w:eastAsia="Calibri"/>
          <w:szCs w:val="22"/>
          <w:lang w:eastAsia="en-US"/>
        </w:rPr>
        <w:t>nukrypimams per nustatytą laikotarpį</w:t>
      </w:r>
      <w:r w:rsidRPr="007A28AA">
        <w:rPr>
          <w:rFonts w:eastAsia="Calibri"/>
          <w:szCs w:val="22"/>
          <w:lang w:eastAsia="en-US"/>
        </w:rPr>
        <w:t xml:space="preserve"> ištaisyti. Teisės aktų rinkiniu sustiprinamos fiskalinės priežiūros ir vykdymo užtikrinimo procedūros, kad būtų įvykdytas įsipareigojimas skatinti patikimus ir tvarius viešuosius finansus ir tvarų </w:t>
      </w:r>
      <w:r w:rsidRPr="00E63F8B">
        <w:rPr>
          <w:rFonts w:eastAsia="Calibri"/>
          <w:szCs w:val="22"/>
          <w:lang w:eastAsia="en-US"/>
        </w:rPr>
        <w:t>bei integracinį</w:t>
      </w:r>
      <w:r w:rsidRPr="007A28AA">
        <w:rPr>
          <w:rFonts w:eastAsia="Calibri"/>
          <w:szCs w:val="22"/>
          <w:lang w:eastAsia="en-US"/>
        </w:rPr>
        <w:t xml:space="preserve"> augimą. Taigi, vykdant ekonomikos valdymo sistemos reformą išlaikomi SSKV nustatyti pagrindiniai biudžetinės drausmės ir skolos tvarumo tikslai;</w:t>
      </w:r>
    </w:p>
    <w:p w:rsidR="00733FC2" w:rsidRPr="007A28AA" w:rsidRDefault="00733FC2" w:rsidP="00733FC2">
      <w:pPr>
        <w:widowControl/>
        <w:spacing w:before="120" w:after="120" w:line="384" w:lineRule="auto"/>
        <w:ind w:left="709" w:hanging="709"/>
        <w:rPr>
          <w:rFonts w:eastAsia="Calibri"/>
          <w:noProof/>
          <w:szCs w:val="22"/>
          <w:lang w:eastAsia="en-US"/>
        </w:rPr>
      </w:pPr>
      <w:r w:rsidRPr="00BA61E4">
        <w:rPr>
          <w:rFonts w:eastAsia="Calibri"/>
          <w:szCs w:val="22"/>
          <w:lang w:eastAsia="en-US"/>
        </w:rPr>
        <w:t>(24)</w:t>
      </w:r>
      <w:r w:rsidRPr="00BA61E4">
        <w:rPr>
          <w:rFonts w:eastAsia="Calibri"/>
          <w:szCs w:val="22"/>
          <w:lang w:eastAsia="en-US"/>
        </w:rPr>
        <w:tab/>
        <w:t xml:space="preserve">valstybėms narėms, kurioms reformuotos sistemos įsigaliojimo metu taikoma </w:t>
      </w:r>
      <w:r w:rsidRPr="007A28AA">
        <w:rPr>
          <w:rFonts w:eastAsia="Calibri"/>
          <w:szCs w:val="22"/>
          <w:lang w:eastAsia="en-US"/>
        </w:rPr>
        <w:t>perviršinio deficito procedūra, reikalingos pereinamojo laikotarpio nuostatos. Rekomendacijas pagal SESV 126 straipsnio 7 dalį ir įspėjimus pagal SESV 126 straipsnio 9 dalį, kurie buvo priimti prieš įsigaliojant šiam dalinio keitimo reglamentui, reikia peržiūrėti, kad jie būtų suderinti su iš dalies pakeistomis 3 straipsnio 4 dalies ir 5 straipsnio 1 dalies nuostatomis. Taip Taryba galėtų nustatyti su naujomis nuostatomis derantį taisomąjį grynųjų išlaidų planą, skirtą valstybėms narėms, kurios ėmėsi veiksmų, negriežtindama perviršinio deficito procedūros;</w:t>
      </w:r>
    </w:p>
    <w:p w:rsidR="00733FC2" w:rsidRPr="00E63F8B" w:rsidRDefault="00733FC2" w:rsidP="00733FC2">
      <w:pPr>
        <w:widowControl/>
        <w:spacing w:before="120" w:after="120" w:line="384" w:lineRule="auto"/>
        <w:ind w:left="709" w:hanging="709"/>
        <w:rPr>
          <w:rFonts w:eastAsia="Calibri"/>
          <w:noProof/>
          <w:szCs w:val="22"/>
          <w:lang w:eastAsia="en-US"/>
        </w:rPr>
      </w:pPr>
      <w:r w:rsidRPr="00BA61E4">
        <w:rPr>
          <w:rFonts w:eastAsia="Calibri"/>
          <w:b/>
          <w:i/>
          <w:szCs w:val="22"/>
          <w:lang w:eastAsia="en-US"/>
        </w:rPr>
        <w:t>(24a)</w:t>
      </w:r>
      <w:r w:rsidRPr="00E63F8B">
        <w:rPr>
          <w:rFonts w:eastAsia="Calibri"/>
          <w:szCs w:val="22"/>
          <w:lang w:eastAsia="en-US"/>
        </w:rPr>
        <w:tab/>
        <w:t>kadangi deficitu grindžiamos perviršinio deficito procedūros taisyklės lieka nepakitusios (minimalaus metinio struktūrinio pagerėjimo lyginamasis dydis turi būti bent 0,5 % BVP), atsižvelgdama į labai pasikeitusią palūkanų normų aplinką, Komisija pereinamuoju laikotarpiu 2025 m., 2026 m. ir 2027 m. gali pakoreguoti lyginamąjį dydį, kad nebūtų pakenkta teigiamam Ekonomikos gaivinimo ir atsparumo didinimo priemonės poveikiui ir būtų atsižvelgta į palūkanų mokėjimų padidėjimą, kai nustato siūlomą taisomąjį planą, susijusį su pirmuoju vidutinės trukmės fiskaliniu struktūriniu planu 2025 m., 2026 m. ir 2027 m. pagal perviršinio deficito procedūrą, jei atitinkama valstybė narė tenkina Reglamento (ES) dėl prevencinės dalies 11 straipsnio c punkte nustatytas sąlygas, laikantis tikslo įgyvendinti žaliąją ir skaitmeninę pertvarką ir gynybos pajėgumų stiprinimo tikslo;</w:t>
      </w:r>
    </w:p>
    <w:p w:rsidR="00733FC2" w:rsidRPr="007A28AA" w:rsidRDefault="00733FC2" w:rsidP="00733FC2">
      <w:pPr>
        <w:widowControl/>
        <w:spacing w:before="120" w:after="120" w:line="360" w:lineRule="auto"/>
        <w:ind w:left="709" w:hanging="709"/>
        <w:rPr>
          <w:rFonts w:eastAsia="Calibri"/>
          <w:szCs w:val="22"/>
          <w:lang w:eastAsia="en-US"/>
        </w:rPr>
      </w:pPr>
      <w:r w:rsidRPr="007A28AA">
        <w:rPr>
          <w:rFonts w:eastAsia="Calibri"/>
          <w:szCs w:val="22"/>
          <w:lang w:eastAsia="en-US"/>
        </w:rPr>
        <w:t>(25)</w:t>
      </w:r>
      <w:r w:rsidRPr="007A28AA">
        <w:rPr>
          <w:rFonts w:eastAsia="Calibri"/>
          <w:szCs w:val="22"/>
          <w:lang w:eastAsia="en-US"/>
        </w:rPr>
        <w:tab/>
        <w:t>todėl Reglamentas (EB) Nr. 1467/97 turėtų būti atitinkamai iš dalies pakeistas,</w:t>
      </w:r>
    </w:p>
    <w:p w:rsidR="00733FC2" w:rsidRPr="00BA61E4" w:rsidRDefault="00733FC2" w:rsidP="00733FC2">
      <w:pPr>
        <w:widowControl/>
        <w:spacing w:before="120" w:after="120" w:line="360" w:lineRule="auto"/>
        <w:rPr>
          <w:rFonts w:eastAsia="Calibri"/>
          <w:noProof/>
          <w:szCs w:val="22"/>
          <w:lang w:eastAsia="en-US"/>
        </w:rPr>
      </w:pPr>
      <w:r w:rsidRPr="00BA61E4">
        <w:rPr>
          <w:rFonts w:eastAsia="Calibri"/>
          <w:szCs w:val="22"/>
          <w:lang w:eastAsia="en-US"/>
        </w:rPr>
        <w:lastRenderedPageBreak/>
        <w:t>PRIĖMĖ ŠĮ REGLAMENTĄ:</w:t>
      </w:r>
    </w:p>
    <w:p w:rsidR="00733FC2" w:rsidRPr="007A28AA" w:rsidRDefault="00733FC2" w:rsidP="00733FC2">
      <w:pPr>
        <w:keepNext/>
        <w:widowControl/>
        <w:spacing w:before="120" w:after="120" w:line="360" w:lineRule="auto"/>
        <w:jc w:val="center"/>
        <w:rPr>
          <w:rFonts w:eastAsia="Calibri"/>
          <w:noProof/>
          <w:szCs w:val="22"/>
          <w:lang w:eastAsia="en-US"/>
        </w:rPr>
      </w:pPr>
      <w:r w:rsidRPr="007A28AA">
        <w:rPr>
          <w:rFonts w:eastAsia="Calibri"/>
          <w:szCs w:val="22"/>
          <w:lang w:eastAsia="en-US"/>
        </w:rPr>
        <w:t>1 straipsnis</w:t>
      </w:r>
    </w:p>
    <w:p w:rsidR="00733FC2" w:rsidRPr="007A28AA" w:rsidRDefault="00733FC2" w:rsidP="00733FC2">
      <w:pPr>
        <w:widowControl/>
        <w:spacing w:before="120" w:after="120" w:line="360" w:lineRule="auto"/>
        <w:rPr>
          <w:rFonts w:eastAsia="Calibri"/>
          <w:noProof/>
          <w:szCs w:val="22"/>
          <w:lang w:eastAsia="en-US"/>
        </w:rPr>
      </w:pPr>
      <w:r w:rsidRPr="007A28AA">
        <w:rPr>
          <w:rFonts w:eastAsia="Calibri"/>
          <w:szCs w:val="22"/>
          <w:lang w:eastAsia="en-US"/>
        </w:rPr>
        <w:t>Reglamentas (EB) Nr. 1467/97 iš dalies keičiamas taip:</w:t>
      </w:r>
    </w:p>
    <w:p w:rsidR="00733FC2" w:rsidRPr="007A28AA" w:rsidRDefault="00733FC2" w:rsidP="00733FC2">
      <w:pPr>
        <w:widowControl/>
        <w:spacing w:before="120" w:after="120" w:line="360" w:lineRule="auto"/>
        <w:ind w:left="850" w:hanging="850"/>
        <w:rPr>
          <w:rFonts w:eastAsia="Calibri"/>
          <w:noProof/>
          <w:szCs w:val="22"/>
          <w:lang w:eastAsia="en-US"/>
        </w:rPr>
      </w:pPr>
      <w:r w:rsidRPr="007A28AA">
        <w:rPr>
          <w:rFonts w:eastAsia="Calibri"/>
          <w:szCs w:val="22"/>
          <w:lang w:eastAsia="en-US"/>
        </w:rPr>
        <w:t>1)</w:t>
      </w:r>
      <w:r w:rsidRPr="007A28AA">
        <w:rPr>
          <w:rFonts w:eastAsia="Calibri"/>
          <w:szCs w:val="22"/>
          <w:lang w:eastAsia="en-US"/>
        </w:rPr>
        <w:tab/>
        <w:t>1 ir 2 straipsniai pakeičiami taip:</w:t>
      </w:r>
    </w:p>
    <w:p w:rsidR="00733FC2" w:rsidRPr="007A28AA" w:rsidRDefault="00733FC2" w:rsidP="00733FC2">
      <w:pPr>
        <w:keepNext/>
        <w:widowControl/>
        <w:spacing w:before="120" w:after="120" w:line="360" w:lineRule="auto"/>
        <w:ind w:left="851"/>
        <w:rPr>
          <w:rFonts w:eastAsia="Calibri"/>
          <w:noProof/>
          <w:szCs w:val="24"/>
          <w:lang w:eastAsia="en-US"/>
        </w:rPr>
      </w:pPr>
      <w:r w:rsidRPr="007A28AA">
        <w:rPr>
          <w:rFonts w:eastAsia="Calibri"/>
          <w:szCs w:val="22"/>
          <w:lang w:eastAsia="en-US"/>
        </w:rPr>
        <w:t>„1 straipsnis</w:t>
      </w:r>
    </w:p>
    <w:p w:rsidR="00733FC2" w:rsidRPr="007A28AA" w:rsidRDefault="00733FC2" w:rsidP="00733FC2">
      <w:pPr>
        <w:widowControl/>
        <w:spacing w:before="120" w:after="120" w:line="360" w:lineRule="auto"/>
        <w:ind w:left="1418" w:hanging="568"/>
        <w:rPr>
          <w:rFonts w:eastAsia="Calibri"/>
          <w:noProof/>
          <w:szCs w:val="22"/>
          <w:lang w:eastAsia="en-US"/>
        </w:rPr>
      </w:pPr>
      <w:r w:rsidRPr="007A28AA">
        <w:rPr>
          <w:rFonts w:eastAsia="Calibri"/>
          <w:szCs w:val="22"/>
          <w:lang w:eastAsia="en-US"/>
        </w:rPr>
        <w:t>1.</w:t>
      </w:r>
      <w:r w:rsidRPr="007A28AA">
        <w:rPr>
          <w:rFonts w:eastAsia="Calibri"/>
          <w:szCs w:val="22"/>
          <w:lang w:eastAsia="en-US"/>
        </w:rPr>
        <w:tab/>
        <w:t>Šiame reglamente nustatytos nuostatos, kuriomis siekiama paspartinti ir paaiškinti perviršinio deficito procedūros įgyvendinimą. Perviršinio deficito procedūros tikslas – neleisti susidaryti perviršiniam valdžios sektoriaus deficitui, o jam susidarius padėti kuo greičiau jį ištaisyti pagal valdžios sektoriaus deficito ir valdžios sektoriaus skolos kriterijus tikrinant, kaip laikomasi biudžetinės drausmės.</w:t>
      </w:r>
    </w:p>
    <w:p w:rsidR="00733FC2" w:rsidRPr="00BA61E4" w:rsidRDefault="00733FC2" w:rsidP="00733FC2">
      <w:pPr>
        <w:widowControl/>
        <w:spacing w:before="120" w:after="120" w:line="360" w:lineRule="auto"/>
        <w:ind w:left="1418" w:hanging="568"/>
        <w:rPr>
          <w:rFonts w:eastAsia="Calibri"/>
          <w:szCs w:val="22"/>
          <w:lang w:eastAsia="en-US"/>
        </w:rPr>
      </w:pPr>
      <w:r w:rsidRPr="007A28AA">
        <w:rPr>
          <w:rFonts w:eastAsia="Calibri"/>
          <w:color w:val="000000"/>
          <w:szCs w:val="22"/>
          <w:lang w:eastAsia="en-US"/>
        </w:rPr>
        <w:t>2.</w:t>
      </w:r>
      <w:r w:rsidRPr="007A28AA">
        <w:rPr>
          <w:rFonts w:eastAsia="Calibri"/>
          <w:color w:val="000000"/>
          <w:szCs w:val="22"/>
          <w:lang w:eastAsia="en-US"/>
        </w:rPr>
        <w:tab/>
      </w:r>
      <w:r w:rsidRPr="007A28AA">
        <w:rPr>
          <w:rFonts w:eastAsia="Calibri"/>
          <w:szCs w:val="22"/>
          <w:lang w:eastAsia="en-US"/>
        </w:rPr>
        <w:t xml:space="preserve">Šiame reglamente dalyvaujančios valstybės narės </w:t>
      </w:r>
      <w:r w:rsidRPr="00E63F8B">
        <w:rPr>
          <w:rFonts w:eastAsia="Calibri"/>
          <w:szCs w:val="22"/>
          <w:lang w:eastAsia="en-US"/>
        </w:rPr>
        <w:t>yra</w:t>
      </w:r>
      <w:r w:rsidRPr="007A28AA">
        <w:rPr>
          <w:rFonts w:eastAsia="Calibri"/>
          <w:szCs w:val="22"/>
          <w:lang w:eastAsia="en-US"/>
        </w:rPr>
        <w:t xml:space="preserve"> valstybės narės, kurių valiuta yra euro. </w:t>
      </w:r>
      <w:r w:rsidRPr="00E63F8B">
        <w:rPr>
          <w:rFonts w:eastAsia="Calibri"/>
          <w:szCs w:val="22"/>
          <w:lang w:eastAsia="en-US"/>
        </w:rPr>
        <w:t>Vartojamos</w:t>
      </w:r>
      <w:r w:rsidRPr="007A28AA">
        <w:rPr>
          <w:rFonts w:eastAsia="Calibri"/>
          <w:szCs w:val="22"/>
          <w:lang w:eastAsia="en-US"/>
        </w:rPr>
        <w:t xml:space="preserve"> Reglamento (ES) [dėl prevencinės dalies] 2 </w:t>
      </w:r>
      <w:r w:rsidRPr="00E63F8B">
        <w:rPr>
          <w:rFonts w:eastAsia="Calibri"/>
          <w:szCs w:val="22"/>
          <w:lang w:eastAsia="en-US"/>
        </w:rPr>
        <w:t>straipsnyje</w:t>
      </w:r>
      <w:r w:rsidRPr="007A28AA">
        <w:rPr>
          <w:rFonts w:eastAsia="Calibri"/>
          <w:szCs w:val="22"/>
          <w:lang w:eastAsia="en-US"/>
        </w:rPr>
        <w:t xml:space="preserve"> </w:t>
      </w:r>
      <w:r w:rsidRPr="00E63F8B">
        <w:rPr>
          <w:rFonts w:eastAsia="Calibri"/>
          <w:szCs w:val="22"/>
          <w:lang w:eastAsia="en-US"/>
        </w:rPr>
        <w:t>pateikiamos apibrėžtys</w:t>
      </w:r>
      <w:r w:rsidRPr="007A28AA">
        <w:rPr>
          <w:rFonts w:eastAsia="Calibri"/>
          <w:szCs w:val="22"/>
          <w:lang w:eastAsia="en-US"/>
        </w:rPr>
        <w:t>.</w:t>
      </w:r>
    </w:p>
    <w:p w:rsidR="00733FC2" w:rsidRPr="00CE3722" w:rsidRDefault="00733FC2" w:rsidP="00733FC2">
      <w:pPr>
        <w:widowControl/>
        <w:spacing w:before="120" w:after="120" w:line="360" w:lineRule="auto"/>
        <w:ind w:left="850"/>
        <w:rPr>
          <w:rFonts w:eastAsia="Calibri"/>
          <w:noProof/>
          <w:szCs w:val="24"/>
          <w:lang w:eastAsia="en-US"/>
        </w:rPr>
      </w:pPr>
      <w:r w:rsidRPr="00A56532">
        <w:rPr>
          <w:rFonts w:eastAsia="Calibri"/>
          <w:szCs w:val="22"/>
          <w:lang w:eastAsia="en-US"/>
        </w:rPr>
        <w:t>2 straipsnis</w:t>
      </w:r>
    </w:p>
    <w:p w:rsidR="00733FC2" w:rsidRPr="00BA61E4" w:rsidRDefault="00733FC2" w:rsidP="00733FC2">
      <w:pPr>
        <w:widowControl/>
        <w:spacing w:before="120" w:after="120" w:line="360" w:lineRule="auto"/>
        <w:ind w:left="1418" w:hanging="568"/>
        <w:rPr>
          <w:rFonts w:eastAsia="Calibri"/>
          <w:noProof/>
          <w:szCs w:val="22"/>
          <w:lang w:eastAsia="en-US"/>
        </w:rPr>
      </w:pPr>
      <w:r w:rsidRPr="007A28AA">
        <w:rPr>
          <w:rFonts w:eastAsia="Calibri"/>
          <w:szCs w:val="22"/>
          <w:lang w:eastAsia="en-US"/>
        </w:rPr>
        <w:t>1.</w:t>
      </w:r>
      <w:r w:rsidRPr="007A28AA">
        <w:rPr>
          <w:rFonts w:eastAsia="Calibri"/>
          <w:szCs w:val="22"/>
          <w:lang w:eastAsia="en-US"/>
        </w:rPr>
        <w:tab/>
        <w:t xml:space="preserve">Pamatinę vertę viršijantis valdžios sektoriaus deficitas pagal Sutarties dėl Europos Sąjungos veikimo (toliau – SESV) 126 straipsnio 2 dalies antros įtraukos a punktą laikomas išskirtiniu, </w:t>
      </w:r>
      <w:r w:rsidRPr="00E63F8B">
        <w:rPr>
          <w:rFonts w:eastAsia="Calibri"/>
          <w:szCs w:val="22"/>
          <w:lang w:eastAsia="en-US"/>
        </w:rPr>
        <w:t>jei jis susidaro dėl didelio</w:t>
      </w:r>
      <w:r w:rsidRPr="007A28AA">
        <w:rPr>
          <w:rFonts w:eastAsia="Calibri"/>
          <w:szCs w:val="22"/>
          <w:lang w:eastAsia="en-US"/>
        </w:rPr>
        <w:t xml:space="preserve"> ekonomikos </w:t>
      </w:r>
      <w:r w:rsidRPr="00E63F8B">
        <w:rPr>
          <w:rFonts w:eastAsia="Calibri"/>
          <w:szCs w:val="22"/>
          <w:lang w:eastAsia="en-US"/>
        </w:rPr>
        <w:t>nuosmukio</w:t>
      </w:r>
      <w:r w:rsidRPr="007A28AA">
        <w:rPr>
          <w:rFonts w:eastAsia="Calibri"/>
          <w:szCs w:val="22"/>
          <w:lang w:eastAsia="en-US"/>
        </w:rPr>
        <w:t xml:space="preserve"> euro zonoje arba visoje Sąjungoje</w:t>
      </w:r>
      <w:r w:rsidRPr="00E63F8B">
        <w:rPr>
          <w:rFonts w:eastAsia="Calibri"/>
          <w:szCs w:val="22"/>
          <w:lang w:eastAsia="en-US"/>
        </w:rPr>
        <w:t>, kurį nustatė Taryba</w:t>
      </w:r>
      <w:r w:rsidRPr="007A28AA">
        <w:rPr>
          <w:rFonts w:eastAsia="Calibri"/>
          <w:szCs w:val="22"/>
          <w:lang w:eastAsia="en-US"/>
        </w:rPr>
        <w:t xml:space="preserve"> pagal Reglamento (ES) [dėl prevencinės dalies] 24 straipsnį, arba </w:t>
      </w:r>
      <w:r w:rsidRPr="00E63F8B">
        <w:rPr>
          <w:rFonts w:eastAsia="Calibri"/>
          <w:szCs w:val="22"/>
          <w:lang w:eastAsia="en-US"/>
        </w:rPr>
        <w:t>dėl išimtinių aplinkybių</w:t>
      </w:r>
      <w:r w:rsidRPr="007A28AA">
        <w:rPr>
          <w:rFonts w:eastAsia="Calibri"/>
          <w:szCs w:val="22"/>
          <w:lang w:eastAsia="en-US"/>
        </w:rPr>
        <w:t>, kurių vyriausybė negali kontroliuoti ir kurios daro didelį poveikį atitinkamos valstybės narės viešiesiems finansams, pagal Reglamento (ES) [dėl prevencinės dalies] 25 straipsnį.</w:t>
      </w:r>
    </w:p>
    <w:p w:rsidR="00733FC2" w:rsidRPr="007A28AA" w:rsidRDefault="00733FC2" w:rsidP="00733FC2">
      <w:pPr>
        <w:widowControl/>
        <w:spacing w:before="120" w:after="120" w:line="360" w:lineRule="auto"/>
        <w:ind w:left="1418"/>
        <w:rPr>
          <w:rFonts w:eastAsia="Calibri"/>
          <w:noProof/>
          <w:szCs w:val="22"/>
          <w:lang w:eastAsia="en-US"/>
        </w:rPr>
      </w:pPr>
      <w:r w:rsidRPr="00A56532">
        <w:rPr>
          <w:rFonts w:eastAsia="Calibri"/>
          <w:szCs w:val="22"/>
          <w:lang w:eastAsia="en-US"/>
        </w:rPr>
        <w:t>Be to, pamatinės vertės perviršis laikomas laikinu, jeigu Komisijos pateiktos biudžeto prognozės rodo, kad pasibaigus pirmoje pastraipoje nurodytam dideliam ekonomikos nuosmukiui arba išskirtinėmis aplin</w:t>
      </w:r>
      <w:r w:rsidRPr="00CE3722">
        <w:rPr>
          <w:rFonts w:eastAsia="Calibri"/>
          <w:szCs w:val="22"/>
          <w:lang w:eastAsia="en-US"/>
        </w:rPr>
        <w:t>kybėms deficitas bus mažesnis už pamatinę vertę.</w:t>
      </w:r>
    </w:p>
    <w:p w:rsidR="00733FC2" w:rsidRPr="00BA61E4" w:rsidRDefault="00733FC2" w:rsidP="00733FC2">
      <w:pPr>
        <w:widowControl/>
        <w:spacing w:before="120" w:after="120" w:line="360" w:lineRule="auto"/>
        <w:ind w:left="1418" w:hanging="568"/>
        <w:rPr>
          <w:rFonts w:eastAsia="Calibri"/>
          <w:noProof/>
          <w:szCs w:val="22"/>
          <w:lang w:eastAsia="en-US"/>
        </w:rPr>
      </w:pPr>
      <w:r w:rsidRPr="007A28AA">
        <w:rPr>
          <w:rFonts w:eastAsia="Calibri"/>
          <w:szCs w:val="22"/>
          <w:lang w:eastAsia="en-US"/>
        </w:rPr>
        <w:t>1a.</w:t>
      </w:r>
      <w:r w:rsidRPr="007A28AA">
        <w:rPr>
          <w:rFonts w:eastAsia="Calibri"/>
          <w:szCs w:val="22"/>
          <w:lang w:eastAsia="en-US"/>
        </w:rPr>
        <w:tab/>
        <w:t xml:space="preserve">Kai valdžios sektoriaus skolos </w:t>
      </w:r>
      <w:r w:rsidRPr="00E63F8B">
        <w:rPr>
          <w:rFonts w:eastAsia="Calibri"/>
          <w:szCs w:val="22"/>
          <w:lang w:eastAsia="en-US"/>
        </w:rPr>
        <w:t>ir bendrojo vidaus produkto (toliau – BVP)</w:t>
      </w:r>
      <w:r w:rsidRPr="007A28AA">
        <w:rPr>
          <w:rFonts w:eastAsia="Calibri"/>
          <w:szCs w:val="22"/>
          <w:lang w:eastAsia="en-US"/>
        </w:rPr>
        <w:t xml:space="preserve"> santykis viršija pamatinę vertę, laikoma, kad jis pakankamai mažėja ir tinkamu tempu artėja prie pamatinės vertės pagal SESV 126 straipsnio 2 dalies b punktą, jeigu atitinkama valstybė narė laikosi savo grynųjų išlaidų plano.</w:t>
      </w:r>
    </w:p>
    <w:p w:rsidR="00733FC2" w:rsidRPr="007A28AA" w:rsidRDefault="00733FC2" w:rsidP="00733FC2">
      <w:pPr>
        <w:widowControl/>
        <w:spacing w:before="120" w:after="120" w:line="360" w:lineRule="auto"/>
        <w:ind w:left="1418" w:hanging="567"/>
        <w:rPr>
          <w:rFonts w:eastAsia="Calibri"/>
          <w:szCs w:val="22"/>
          <w:lang w:eastAsia="en-US"/>
        </w:rPr>
      </w:pPr>
      <w:r w:rsidRPr="00BA61E4">
        <w:rPr>
          <w:rFonts w:eastAsia="Calibri"/>
          <w:szCs w:val="22"/>
          <w:lang w:eastAsia="en-US"/>
        </w:rPr>
        <w:lastRenderedPageBreak/>
        <w:t>2.</w:t>
      </w:r>
      <w:r w:rsidRPr="00BA61E4">
        <w:rPr>
          <w:rFonts w:eastAsia="Calibri"/>
          <w:szCs w:val="22"/>
          <w:lang w:eastAsia="en-US"/>
        </w:rPr>
        <w:tab/>
        <w:t xml:space="preserve">Komisija </w:t>
      </w:r>
      <w:r w:rsidRPr="00E63F8B">
        <w:rPr>
          <w:rFonts w:eastAsia="Calibri"/>
          <w:szCs w:val="22"/>
          <w:lang w:eastAsia="en-US"/>
        </w:rPr>
        <w:t>parengia pranešimą</w:t>
      </w:r>
      <w:r w:rsidRPr="007A28AA">
        <w:rPr>
          <w:rFonts w:eastAsia="Calibri"/>
          <w:szCs w:val="22"/>
          <w:lang w:eastAsia="en-US"/>
        </w:rPr>
        <w:t xml:space="preserve"> pagal SESV 126 straipsnio 3 </w:t>
      </w:r>
      <w:r w:rsidRPr="00E63F8B">
        <w:rPr>
          <w:rFonts w:eastAsia="Calibri"/>
          <w:szCs w:val="22"/>
          <w:lang w:eastAsia="en-US"/>
        </w:rPr>
        <w:t>dalį</w:t>
      </w:r>
      <w:r w:rsidRPr="007A28AA">
        <w:rPr>
          <w:rFonts w:eastAsia="Calibri"/>
          <w:szCs w:val="22"/>
          <w:lang w:eastAsia="en-US"/>
        </w:rPr>
        <w:t xml:space="preserve">, </w:t>
      </w:r>
      <w:r w:rsidRPr="00E63F8B">
        <w:rPr>
          <w:rFonts w:eastAsia="Calibri"/>
          <w:szCs w:val="22"/>
          <w:lang w:eastAsia="en-US"/>
        </w:rPr>
        <w:t>kai valdžios sektoriaus skolos ir BVP santykis viršija pamatinę vertę, biudžetas nėra beveik subalansuotas arba yra biudžeto perteklius ir kai valstybės narės kontrolės sąskaitoje užfiksuoti nuokrypiai viršija:</w:t>
      </w:r>
    </w:p>
    <w:p w:rsidR="00733FC2" w:rsidRPr="00E63F8B" w:rsidRDefault="00733FC2" w:rsidP="00733FC2">
      <w:pPr>
        <w:widowControl/>
        <w:spacing w:before="120" w:after="120" w:line="360" w:lineRule="auto"/>
        <w:ind w:left="1985" w:hanging="567"/>
        <w:rPr>
          <w:rFonts w:eastAsia="Calibri"/>
          <w:noProof/>
          <w:szCs w:val="22"/>
          <w:lang w:eastAsia="en-US"/>
        </w:rPr>
      </w:pPr>
      <w:r w:rsidRPr="00E63F8B">
        <w:rPr>
          <w:rFonts w:eastAsia="Calibri"/>
          <w:szCs w:val="22"/>
          <w:lang w:eastAsia="en-US"/>
        </w:rPr>
        <w:t>a)</w:t>
      </w:r>
      <w:r w:rsidRPr="00E63F8B">
        <w:rPr>
          <w:rFonts w:eastAsia="Calibri"/>
          <w:szCs w:val="22"/>
          <w:lang w:eastAsia="en-US"/>
        </w:rPr>
        <w:tab/>
        <w:t>0,3 procentinio punkto BVP kasmet arba</w:t>
      </w:r>
    </w:p>
    <w:p w:rsidR="00733FC2" w:rsidRPr="00E63F8B" w:rsidRDefault="00733FC2" w:rsidP="00733FC2">
      <w:pPr>
        <w:widowControl/>
        <w:spacing w:before="120" w:after="120" w:line="360" w:lineRule="auto"/>
        <w:ind w:left="1985" w:hanging="567"/>
        <w:rPr>
          <w:rFonts w:eastAsia="Calibri"/>
          <w:noProof/>
          <w:szCs w:val="22"/>
          <w:lang w:eastAsia="en-US"/>
        </w:rPr>
      </w:pPr>
      <w:r w:rsidRPr="00E63F8B">
        <w:rPr>
          <w:rFonts w:eastAsia="Calibri"/>
          <w:szCs w:val="22"/>
          <w:lang w:eastAsia="en-US"/>
        </w:rPr>
        <w:t>b)</w:t>
      </w:r>
      <w:r w:rsidRPr="00E63F8B">
        <w:rPr>
          <w:rFonts w:eastAsia="Calibri"/>
          <w:szCs w:val="22"/>
          <w:lang w:eastAsia="en-US"/>
        </w:rPr>
        <w:tab/>
        <w:t>0,6 procentinio punkto BVP iš viso.</w:t>
      </w:r>
    </w:p>
    <w:p w:rsidR="00733FC2" w:rsidRPr="007A28AA" w:rsidRDefault="00733FC2" w:rsidP="00733FC2">
      <w:pPr>
        <w:widowControl/>
        <w:spacing w:before="120" w:after="120" w:line="360" w:lineRule="auto"/>
        <w:ind w:left="1418" w:hanging="568"/>
        <w:rPr>
          <w:rFonts w:eastAsia="Calibri"/>
          <w:noProof/>
          <w:szCs w:val="22"/>
          <w:lang w:eastAsia="en-US"/>
        </w:rPr>
      </w:pPr>
      <w:r w:rsidRPr="007A28AA">
        <w:rPr>
          <w:rFonts w:eastAsia="Calibri"/>
          <w:szCs w:val="22"/>
          <w:lang w:eastAsia="en-US"/>
        </w:rPr>
        <w:t>3.</w:t>
      </w:r>
      <w:r w:rsidRPr="007A28AA">
        <w:rPr>
          <w:rFonts w:eastAsia="Calibri"/>
          <w:szCs w:val="22"/>
          <w:lang w:eastAsia="en-US"/>
        </w:rPr>
        <w:tab/>
        <w:t xml:space="preserve">Rengdama pranešimą pagal SESV 126 straipsnio 3 dalį, Komisija atsižvelgia į visus </w:t>
      </w:r>
      <w:r w:rsidRPr="00E63F8B">
        <w:rPr>
          <w:rFonts w:eastAsia="Calibri"/>
          <w:szCs w:val="22"/>
          <w:lang w:eastAsia="en-US"/>
        </w:rPr>
        <w:t>svarbius</w:t>
      </w:r>
      <w:r w:rsidRPr="007A28AA">
        <w:rPr>
          <w:rFonts w:eastAsia="Calibri"/>
          <w:szCs w:val="22"/>
          <w:lang w:eastAsia="en-US"/>
        </w:rPr>
        <w:t xml:space="preserve"> veiksnius, kaip nurodyta </w:t>
      </w:r>
      <w:r w:rsidRPr="00E63F8B">
        <w:rPr>
          <w:rFonts w:eastAsia="Calibri"/>
          <w:szCs w:val="22"/>
          <w:lang w:eastAsia="en-US"/>
        </w:rPr>
        <w:t>tame straipsnyje</w:t>
      </w:r>
      <w:r w:rsidRPr="007A28AA">
        <w:rPr>
          <w:rFonts w:eastAsia="Calibri"/>
          <w:szCs w:val="22"/>
          <w:lang w:eastAsia="en-US"/>
        </w:rPr>
        <w:t xml:space="preserve">, tiek, kiek jie turi didelės įtakos vertinant, </w:t>
      </w:r>
      <w:r w:rsidRPr="00E63F8B">
        <w:rPr>
          <w:rFonts w:eastAsia="Calibri"/>
          <w:szCs w:val="22"/>
          <w:lang w:eastAsia="en-US"/>
        </w:rPr>
        <w:t>ar</w:t>
      </w:r>
      <w:r w:rsidRPr="007A28AA">
        <w:rPr>
          <w:rFonts w:eastAsia="Calibri"/>
          <w:szCs w:val="22"/>
          <w:lang w:eastAsia="en-US"/>
        </w:rPr>
        <w:t xml:space="preserve"> atitinkama valstybė narė laikosi deficito ir skolos kriterijų.</w:t>
      </w:r>
    </w:p>
    <w:p w:rsidR="00733FC2" w:rsidRPr="007A28AA" w:rsidRDefault="00733FC2" w:rsidP="00733FC2">
      <w:pPr>
        <w:widowControl/>
        <w:spacing w:before="120" w:after="120" w:line="360" w:lineRule="auto"/>
        <w:ind w:left="1418"/>
        <w:rPr>
          <w:rFonts w:eastAsia="Calibri"/>
          <w:noProof/>
          <w:szCs w:val="22"/>
          <w:lang w:eastAsia="en-US"/>
        </w:rPr>
      </w:pPr>
      <w:r w:rsidRPr="00701466">
        <w:rPr>
          <w:rFonts w:eastAsia="Calibri"/>
          <w:szCs w:val="22"/>
          <w:lang w:eastAsia="en-US"/>
        </w:rPr>
        <w:t xml:space="preserve">Pranešime </w:t>
      </w:r>
      <w:r w:rsidRPr="00E63F8B">
        <w:rPr>
          <w:rFonts w:eastAsia="Calibri"/>
          <w:szCs w:val="22"/>
          <w:lang w:eastAsia="en-US"/>
        </w:rPr>
        <w:t>atitinkamai</w:t>
      </w:r>
      <w:r w:rsidRPr="007A28AA">
        <w:rPr>
          <w:rFonts w:eastAsia="Calibri"/>
          <w:szCs w:val="22"/>
          <w:lang w:eastAsia="en-US"/>
        </w:rPr>
        <w:t xml:space="preserve"> aprašomi:</w:t>
      </w:r>
    </w:p>
    <w:p w:rsidR="00733FC2" w:rsidRPr="00E63F8B" w:rsidRDefault="00733FC2" w:rsidP="00733FC2">
      <w:pPr>
        <w:widowControl/>
        <w:spacing w:before="120" w:after="120" w:line="360" w:lineRule="auto"/>
        <w:ind w:left="1985" w:hanging="580"/>
        <w:rPr>
          <w:rFonts w:eastAsia="Calibri"/>
          <w:noProof/>
          <w:szCs w:val="22"/>
          <w:lang w:eastAsia="en-US"/>
        </w:rPr>
      </w:pPr>
      <w:r w:rsidRPr="00E63F8B">
        <w:rPr>
          <w:rFonts w:eastAsia="Calibri"/>
          <w:szCs w:val="22"/>
          <w:lang w:eastAsia="en-US"/>
        </w:rPr>
        <w:t>a)</w:t>
      </w:r>
      <w:r w:rsidRPr="00E63F8B">
        <w:rPr>
          <w:rFonts w:eastAsia="Calibri"/>
          <w:szCs w:val="22"/>
          <w:lang w:eastAsia="en-US"/>
        </w:rPr>
        <w:tab/>
        <w:t xml:space="preserve">valstybės skolos iššūkių mastas, remiantis Reglamento [dėl prevencinės dalies] 8 straipsnyje nurodyta metodika, valdžios sektoriaus skolos pozicijos ir jos finansavimo </w:t>
      </w:r>
      <w:r w:rsidRPr="007A28AA">
        <w:rPr>
          <w:rFonts w:eastAsia="Calibri"/>
          <w:szCs w:val="22"/>
          <w:lang w:eastAsia="en-US"/>
        </w:rPr>
        <w:t>pokyčiai</w:t>
      </w:r>
      <w:r w:rsidRPr="00E63F8B">
        <w:rPr>
          <w:rFonts w:eastAsia="Calibri"/>
          <w:szCs w:val="22"/>
          <w:lang w:eastAsia="en-US"/>
        </w:rPr>
        <w:t xml:space="preserve">, taip pat susiję rizikos veiksniai, </w:t>
      </w:r>
      <w:r w:rsidRPr="007A28AA">
        <w:rPr>
          <w:rFonts w:eastAsia="Calibri"/>
          <w:szCs w:val="22"/>
          <w:lang w:eastAsia="en-US"/>
        </w:rPr>
        <w:t>visų pirma</w:t>
      </w:r>
      <w:r w:rsidRPr="00E63F8B">
        <w:rPr>
          <w:rFonts w:eastAsia="Calibri"/>
          <w:szCs w:val="22"/>
          <w:lang w:eastAsia="en-US"/>
        </w:rPr>
        <w:t xml:space="preserve"> skolos grąžinimo termino struktūra, skolos valiuta ir neapibrėžtieji įsipareigojimai, įskaitant visus dėl visuomenės senėjimo ir privačiojo sektoriaus įsiskolinimo atsirandančius numanomus įsipareigojimus;</w:t>
      </w:r>
    </w:p>
    <w:p w:rsidR="00733FC2" w:rsidRPr="007A28AA" w:rsidRDefault="00733FC2" w:rsidP="00733FC2">
      <w:pPr>
        <w:widowControl/>
        <w:spacing w:before="120" w:after="120" w:line="360" w:lineRule="auto"/>
        <w:ind w:left="1985" w:hanging="580"/>
        <w:rPr>
          <w:rFonts w:eastAsia="Calibri"/>
          <w:noProof/>
          <w:szCs w:val="22"/>
          <w:lang w:eastAsia="en-US"/>
        </w:rPr>
      </w:pPr>
      <w:r w:rsidRPr="007A28AA">
        <w:rPr>
          <w:rFonts w:eastAsia="Calibri"/>
          <w:szCs w:val="22"/>
          <w:lang w:eastAsia="en-US"/>
        </w:rPr>
        <w:t>b)</w:t>
      </w:r>
      <w:r w:rsidRPr="007A28AA">
        <w:rPr>
          <w:rFonts w:eastAsia="Calibri"/>
          <w:szCs w:val="22"/>
          <w:lang w:eastAsia="en-US"/>
        </w:rPr>
        <w:tab/>
      </w:r>
      <w:r w:rsidRPr="00E63F8B">
        <w:rPr>
          <w:rFonts w:eastAsia="Calibri"/>
          <w:szCs w:val="22"/>
          <w:lang w:eastAsia="en-US"/>
        </w:rPr>
        <w:t>vidutinės trukmės laikotarpio</w:t>
      </w:r>
      <w:r w:rsidRPr="007A28AA">
        <w:rPr>
          <w:rFonts w:eastAsia="Calibri"/>
          <w:szCs w:val="22"/>
          <w:lang w:eastAsia="en-US"/>
        </w:rPr>
        <w:t xml:space="preserve"> biudžeto būklės pokyčiai, įskaitant visų pirma faktinio nukrypimo nuo grynųjų išlaidų plano dydžio metinę ir sukauptąją vertes, </w:t>
      </w:r>
      <w:r w:rsidRPr="00E63F8B">
        <w:rPr>
          <w:rFonts w:eastAsia="Calibri"/>
          <w:szCs w:val="22"/>
          <w:lang w:eastAsia="en-US"/>
        </w:rPr>
        <w:t>kaip matyti iš kontrolės sąskaitos</w:t>
      </w:r>
      <w:r w:rsidRPr="007A28AA">
        <w:rPr>
          <w:rFonts w:eastAsia="Calibri"/>
          <w:szCs w:val="22"/>
          <w:lang w:eastAsia="en-US"/>
        </w:rPr>
        <w:t>;</w:t>
      </w:r>
    </w:p>
    <w:p w:rsidR="00733FC2" w:rsidRPr="007A28AA" w:rsidRDefault="00733FC2" w:rsidP="00733FC2">
      <w:pPr>
        <w:widowControl/>
        <w:spacing w:before="120" w:after="120" w:line="360" w:lineRule="auto"/>
        <w:ind w:left="1985" w:hanging="580"/>
        <w:rPr>
          <w:rFonts w:eastAsia="Calibri"/>
          <w:noProof/>
          <w:szCs w:val="22"/>
          <w:lang w:eastAsia="en-US"/>
        </w:rPr>
      </w:pPr>
      <w:r w:rsidRPr="00701466">
        <w:rPr>
          <w:rFonts w:eastAsia="Calibri"/>
          <w:szCs w:val="22"/>
          <w:lang w:eastAsia="en-US"/>
        </w:rPr>
        <w:t>c)</w:t>
      </w:r>
      <w:r w:rsidRPr="00701466">
        <w:rPr>
          <w:rFonts w:eastAsia="Calibri"/>
          <w:szCs w:val="22"/>
          <w:lang w:eastAsia="en-US"/>
        </w:rPr>
        <w:tab/>
      </w:r>
      <w:r w:rsidRPr="00E63F8B">
        <w:rPr>
          <w:rFonts w:eastAsia="Calibri"/>
          <w:szCs w:val="22"/>
          <w:lang w:eastAsia="en-US"/>
        </w:rPr>
        <w:t xml:space="preserve">vidutinės trukmės laikotarpio ekonominės būklės </w:t>
      </w:r>
      <w:r w:rsidRPr="007A28AA">
        <w:rPr>
          <w:rFonts w:eastAsia="Calibri"/>
          <w:szCs w:val="22"/>
          <w:lang w:eastAsia="en-US"/>
        </w:rPr>
        <w:t xml:space="preserve">pokyčiai, </w:t>
      </w:r>
      <w:r w:rsidRPr="00E63F8B">
        <w:rPr>
          <w:rFonts w:eastAsia="Calibri"/>
          <w:szCs w:val="22"/>
          <w:lang w:eastAsia="en-US"/>
        </w:rPr>
        <w:t>įskaitant augimo potencialą, infliacijos ir ciklinius pokyčius, palyginti su prielaidomis, kuriomis grindžiamas grynųjų išlaidų planas;</w:t>
      </w:r>
    </w:p>
    <w:p w:rsidR="00733FC2" w:rsidRPr="007A28AA" w:rsidRDefault="00733FC2" w:rsidP="00733FC2">
      <w:pPr>
        <w:widowControl/>
        <w:spacing w:before="120" w:after="120" w:line="360" w:lineRule="auto"/>
        <w:ind w:left="1985" w:hanging="580"/>
        <w:rPr>
          <w:rFonts w:eastAsia="Calibri"/>
          <w:noProof/>
          <w:szCs w:val="22"/>
          <w:lang w:eastAsia="en-US"/>
        </w:rPr>
      </w:pPr>
      <w:r w:rsidRPr="00BA61E4">
        <w:rPr>
          <w:rFonts w:eastAsia="Calibri"/>
          <w:szCs w:val="22"/>
          <w:lang w:eastAsia="en-US"/>
        </w:rPr>
        <w:t>d)</w:t>
      </w:r>
      <w:r w:rsidRPr="00BA61E4">
        <w:rPr>
          <w:rFonts w:eastAsia="Calibri"/>
          <w:szCs w:val="22"/>
          <w:lang w:eastAsia="en-US"/>
        </w:rPr>
        <w:tab/>
        <w:t xml:space="preserve">reformų ir investicijų, įskaitant visų pirma politikos, kuria siekiama užkirsti kelią makroekonominiam disbalansui ir jį panaikinti, ir politikos, kuria siekiama įgyvendinti bendrą Sąjungos ekonomikos augimo ir užimtumo strategiją, be kita ko, kuri remiama pagal priemonę „NextGenerationEU“, </w:t>
      </w:r>
      <w:r w:rsidRPr="00E63F8B">
        <w:rPr>
          <w:rFonts w:eastAsia="Calibri"/>
          <w:szCs w:val="22"/>
          <w:lang w:eastAsia="en-US"/>
        </w:rPr>
        <w:t>įgyvendinimo pažanga</w:t>
      </w:r>
      <w:r w:rsidRPr="007A28AA">
        <w:rPr>
          <w:rFonts w:eastAsia="Calibri"/>
          <w:szCs w:val="22"/>
          <w:lang w:eastAsia="en-US"/>
        </w:rPr>
        <w:t xml:space="preserve"> ir bendra viešųjų finansų kokybė, visų pirma nacionalinių biudžeto sistemų veiksmingumas;</w:t>
      </w:r>
    </w:p>
    <w:p w:rsidR="00733FC2" w:rsidRPr="00E63F8B" w:rsidRDefault="00733FC2" w:rsidP="00733FC2">
      <w:pPr>
        <w:widowControl/>
        <w:spacing w:before="120" w:after="120" w:line="360" w:lineRule="auto"/>
        <w:ind w:left="1985" w:hanging="580"/>
        <w:rPr>
          <w:rFonts w:eastAsia="Calibri"/>
          <w:noProof/>
          <w:szCs w:val="22"/>
          <w:lang w:eastAsia="en-US"/>
        </w:rPr>
      </w:pPr>
      <w:r w:rsidRPr="00BA61E4">
        <w:rPr>
          <w:rFonts w:eastAsia="Calibri"/>
          <w:b/>
          <w:i/>
          <w:szCs w:val="22"/>
          <w:lang w:eastAsia="en-US"/>
        </w:rPr>
        <w:t>da)</w:t>
      </w:r>
      <w:r w:rsidRPr="00E63F8B">
        <w:rPr>
          <w:rFonts w:eastAsia="Calibri"/>
          <w:szCs w:val="22"/>
          <w:lang w:eastAsia="en-US"/>
        </w:rPr>
        <w:tab/>
        <w:t>valdžios sektoriaus investicijų į gynybą padidinimas, kai taikytina, taip pat atsižvelgiant į karinės įrangos išlaidų įrašymo į sąskaitas laiką.</w:t>
      </w:r>
    </w:p>
    <w:p w:rsidR="00733FC2" w:rsidRPr="007A28AA" w:rsidRDefault="00733FC2" w:rsidP="00733FC2">
      <w:pPr>
        <w:widowControl/>
        <w:spacing w:before="120" w:after="120" w:line="360" w:lineRule="auto"/>
        <w:ind w:left="1418" w:hanging="568"/>
        <w:rPr>
          <w:rFonts w:eastAsia="Calibri"/>
          <w:szCs w:val="22"/>
          <w:lang w:eastAsia="en-US"/>
        </w:rPr>
      </w:pPr>
      <w:r w:rsidRPr="00E63F8B">
        <w:rPr>
          <w:rFonts w:eastAsia="Calibri"/>
          <w:szCs w:val="22"/>
          <w:lang w:eastAsia="en-US"/>
        </w:rPr>
        <w:lastRenderedPageBreak/>
        <w:t>4.</w:t>
      </w:r>
      <w:r w:rsidRPr="00E63F8B">
        <w:rPr>
          <w:rFonts w:eastAsia="Calibri"/>
          <w:szCs w:val="22"/>
          <w:lang w:eastAsia="en-US"/>
        </w:rPr>
        <w:tab/>
      </w:r>
      <w:r w:rsidRPr="007A28AA">
        <w:rPr>
          <w:rFonts w:eastAsia="Calibri"/>
          <w:szCs w:val="22"/>
          <w:lang w:eastAsia="en-US"/>
        </w:rPr>
        <w:t xml:space="preserve">Komisija tinkamai ir akivaizdžiai atsižvelgia į visus kitus veiksnius, kurie, atitinkamos valstybės narės nuomone, yra svarbūs siekiant visapusiškai įvertinti, kaip laikomasi deficito ir skolos kriterijų, ir kuriuos valstybė narė nurodė Tarybai ir Komisijai. </w:t>
      </w:r>
      <w:r w:rsidRPr="00E63F8B">
        <w:rPr>
          <w:rFonts w:eastAsia="Calibri"/>
          <w:szCs w:val="22"/>
          <w:lang w:eastAsia="en-US"/>
        </w:rPr>
        <w:t>Tokiu</w:t>
      </w:r>
      <w:r w:rsidRPr="007A28AA">
        <w:rPr>
          <w:rFonts w:eastAsia="Calibri"/>
          <w:szCs w:val="22"/>
          <w:lang w:eastAsia="en-US"/>
        </w:rPr>
        <w:t xml:space="preserve"> atveju ypač atsižvelgiama į finansinius įnašus</w:t>
      </w:r>
      <w:r w:rsidRPr="00E63F8B">
        <w:rPr>
          <w:rFonts w:eastAsia="Calibri"/>
          <w:szCs w:val="22"/>
          <w:lang w:eastAsia="en-US"/>
        </w:rPr>
        <w:t>, skirtus</w:t>
      </w:r>
      <w:r w:rsidRPr="007A28AA">
        <w:rPr>
          <w:rFonts w:eastAsia="Calibri"/>
          <w:szCs w:val="22"/>
          <w:lang w:eastAsia="en-US"/>
        </w:rPr>
        <w:t xml:space="preserve"> tarptautiniam solidarumui </w:t>
      </w:r>
      <w:r w:rsidRPr="00E63F8B">
        <w:rPr>
          <w:rFonts w:eastAsia="Calibri"/>
          <w:szCs w:val="22"/>
          <w:lang w:eastAsia="en-US"/>
        </w:rPr>
        <w:t>skatinti</w:t>
      </w:r>
      <w:r w:rsidRPr="007A28AA">
        <w:rPr>
          <w:rFonts w:eastAsia="Calibri"/>
          <w:szCs w:val="22"/>
          <w:lang w:eastAsia="en-US"/>
        </w:rPr>
        <w:t xml:space="preserve"> ir Sąjungos </w:t>
      </w:r>
      <w:r w:rsidRPr="00E63F8B">
        <w:rPr>
          <w:rFonts w:eastAsia="Calibri"/>
          <w:szCs w:val="22"/>
          <w:lang w:eastAsia="en-US"/>
        </w:rPr>
        <w:t>bendriems prioritetams, nurodytiems Reglamente (ES) [dėl prevencinės dalies] siekti.</w:t>
      </w:r>
    </w:p>
    <w:p w:rsidR="00733FC2" w:rsidRPr="00E63F8B" w:rsidRDefault="00733FC2" w:rsidP="00733FC2">
      <w:pPr>
        <w:widowControl/>
        <w:spacing w:before="120" w:after="120" w:line="360" w:lineRule="auto"/>
        <w:ind w:left="1418"/>
        <w:rPr>
          <w:bCs/>
          <w:noProof/>
          <w:szCs w:val="22"/>
          <w:lang w:eastAsia="en-US"/>
        </w:rPr>
      </w:pPr>
      <w:r w:rsidRPr="00BA61E4">
        <w:rPr>
          <w:rFonts w:eastAsia="Calibri"/>
          <w:szCs w:val="22"/>
          <w:lang w:eastAsia="en-US"/>
        </w:rPr>
        <w:t xml:space="preserve">Taryba ir Komisija atlieka visų svarbių veiksnių suderintą bendrą vertinimą, kuriame konkrečiai nurodoma, kokį poveikį jie, kaip sunkinantieji ar švelninantieji veiksniai, daro vertinant, kaip laikomasi deficito ir (arba) skolos kriterijų. </w:t>
      </w:r>
      <w:r w:rsidRPr="00E63F8B">
        <w:rPr>
          <w:rFonts w:eastAsia="Calibri"/>
          <w:szCs w:val="22"/>
          <w:lang w:eastAsia="en-US"/>
        </w:rPr>
        <w:t>Jeigu valstybė narė susiduria su dideliais valstybės skolos iššūkiais, kaip nurodyta 3 dalies a punkte, tai laikoma itin svarbiu sunkinančiu veiksniu. Palankūs cikliniai ekonominiai, biudžeto ir finansiniai pokyčiai nelaikomi švelninančiais veiksniais, o nepalankūs pokyčiai gali būti laikomi švelninančiais veiksniais.</w:t>
      </w:r>
    </w:p>
    <w:p w:rsidR="00733FC2" w:rsidRPr="00BA61E4" w:rsidRDefault="00733FC2" w:rsidP="00733FC2">
      <w:pPr>
        <w:widowControl/>
        <w:spacing w:before="120" w:after="120" w:line="360" w:lineRule="auto"/>
        <w:ind w:left="1418"/>
        <w:rPr>
          <w:rFonts w:eastAsia="Calibri"/>
          <w:noProof/>
          <w:szCs w:val="22"/>
          <w:shd w:val="clear" w:color="auto" w:fill="FFFFFF"/>
          <w:lang w:eastAsia="en-US"/>
        </w:rPr>
      </w:pPr>
      <w:r w:rsidRPr="007A28AA">
        <w:rPr>
          <w:rFonts w:eastAsia="Calibri"/>
          <w:szCs w:val="22"/>
          <w:lang w:eastAsia="en-US"/>
        </w:rPr>
        <w:t xml:space="preserve">Jeigu vertinant, kaip laikomasi reikalavimų pagal deficito kriterijų, valdžios sektoriaus skolos santykis su BVP viršija pamatinę vertę, sprendimo dėl perviršinio deficito susidarymo priėmimo etapais, kaip numatyta SESV 126 </w:t>
      </w:r>
      <w:r w:rsidRPr="00BA61E4">
        <w:rPr>
          <w:rFonts w:eastAsia="Calibri"/>
          <w:szCs w:val="22"/>
          <w:lang w:eastAsia="en-US"/>
        </w:rPr>
        <w:t>straipsnio 4, 5 ir 6 dalyse, į tuos veiksnius atsižvelgiama tik jeigu visiškai įvykdoma dviguba pagrindinio principo sąlyga: prieš atsižvelgiant į šiuos svarbius veiksnius valdžios sektoriaus deficitas išlieka artimas pamatinei vertei ir pamatinės vertės perviršis yra laikinas.</w:t>
      </w:r>
    </w:p>
    <w:p w:rsidR="00733FC2" w:rsidRPr="007A28AA" w:rsidRDefault="00733FC2" w:rsidP="00733FC2">
      <w:pPr>
        <w:widowControl/>
        <w:spacing w:before="120" w:after="120" w:line="360" w:lineRule="auto"/>
        <w:ind w:left="1418"/>
        <w:rPr>
          <w:rFonts w:eastAsia="Calibri"/>
          <w:szCs w:val="22"/>
          <w:lang w:eastAsia="en-US"/>
        </w:rPr>
      </w:pPr>
      <w:r w:rsidRPr="007A28AA">
        <w:rPr>
          <w:rFonts w:eastAsia="Calibri"/>
          <w:szCs w:val="22"/>
          <w:lang w:eastAsia="en-US"/>
        </w:rPr>
        <w:t>Tačiau į tuos veiksnius atsižvelgiama sprendimo dėl perviršinio deficito susidarymo priėmimo etapais vertinant, kaip laikomasi reikalavimų pagal skolos kriterijų.</w:t>
      </w:r>
    </w:p>
    <w:p w:rsidR="00733FC2" w:rsidRPr="007A28AA" w:rsidRDefault="00733FC2" w:rsidP="00733FC2">
      <w:pPr>
        <w:widowControl/>
        <w:spacing w:before="120" w:after="120" w:line="360" w:lineRule="auto"/>
        <w:ind w:left="1418" w:hanging="567"/>
        <w:rPr>
          <w:rFonts w:eastAsia="Calibri"/>
          <w:noProof/>
          <w:szCs w:val="22"/>
          <w:lang w:eastAsia="en-US"/>
        </w:rPr>
      </w:pPr>
      <w:r w:rsidRPr="007A28AA">
        <w:rPr>
          <w:rFonts w:eastAsia="Calibri"/>
          <w:szCs w:val="22"/>
          <w:lang w:eastAsia="en-US"/>
        </w:rPr>
        <w:t>5.</w:t>
      </w:r>
      <w:r w:rsidRPr="007A28AA">
        <w:rPr>
          <w:rFonts w:eastAsia="Calibri"/>
          <w:szCs w:val="22"/>
          <w:lang w:eastAsia="en-US"/>
        </w:rPr>
        <w:tab/>
        <w:t xml:space="preserve">Jeigu pagal Reglamento (ES) [dėl prevencinės dalies] 24 </w:t>
      </w:r>
      <w:r w:rsidRPr="00E63F8B">
        <w:rPr>
          <w:rFonts w:eastAsia="Calibri"/>
          <w:szCs w:val="22"/>
          <w:lang w:eastAsia="en-US"/>
        </w:rPr>
        <w:t>ir 25 straipsnius</w:t>
      </w:r>
      <w:r w:rsidRPr="007A28AA">
        <w:rPr>
          <w:rFonts w:eastAsia="Calibri"/>
          <w:szCs w:val="22"/>
          <w:lang w:eastAsia="en-US"/>
        </w:rPr>
        <w:t xml:space="preserve"> valstybėms narėms leidžiama nukrypti nuo </w:t>
      </w:r>
      <w:r w:rsidRPr="00E63F8B">
        <w:rPr>
          <w:rFonts w:eastAsia="Calibri"/>
          <w:szCs w:val="22"/>
          <w:lang w:eastAsia="en-US"/>
        </w:rPr>
        <w:t>jų</w:t>
      </w:r>
      <w:r w:rsidRPr="007A28AA">
        <w:rPr>
          <w:rFonts w:eastAsia="Calibri"/>
          <w:szCs w:val="22"/>
          <w:lang w:eastAsia="en-US"/>
        </w:rPr>
        <w:t xml:space="preserve"> grynųjų išlaidų plano, Komisija ir Taryba, atlikdamos savo vertinimą, gali nuspręsti nedaryti išvados</w:t>
      </w:r>
      <w:r w:rsidRPr="00E63F8B">
        <w:rPr>
          <w:rFonts w:eastAsia="Calibri"/>
          <w:szCs w:val="22"/>
          <w:lang w:eastAsia="en-US"/>
        </w:rPr>
        <w:t>, kad susidarė perviršinis deficitas</w:t>
      </w:r>
      <w:r w:rsidRPr="007A28AA">
        <w:rPr>
          <w:rFonts w:eastAsia="Calibri"/>
          <w:szCs w:val="22"/>
          <w:lang w:eastAsia="en-US"/>
        </w:rPr>
        <w:t>.</w:t>
      </w:r>
    </w:p>
    <w:p w:rsidR="00733FC2" w:rsidRPr="007A28AA" w:rsidRDefault="00733FC2" w:rsidP="00733FC2">
      <w:pPr>
        <w:widowControl/>
        <w:spacing w:before="120" w:after="120" w:line="360" w:lineRule="auto"/>
        <w:ind w:left="1418" w:hanging="567"/>
        <w:rPr>
          <w:rFonts w:eastAsia="Calibri"/>
          <w:szCs w:val="22"/>
          <w:lang w:eastAsia="en-US"/>
        </w:rPr>
      </w:pPr>
      <w:r w:rsidRPr="00BA61E4">
        <w:rPr>
          <w:rFonts w:eastAsia="Calibri"/>
          <w:szCs w:val="22"/>
          <w:lang w:eastAsia="en-US"/>
        </w:rPr>
        <w:t>6.</w:t>
      </w:r>
      <w:r w:rsidRPr="00BA61E4">
        <w:rPr>
          <w:rFonts w:eastAsia="Calibri"/>
          <w:szCs w:val="22"/>
          <w:lang w:eastAsia="en-US"/>
        </w:rPr>
        <w:tab/>
        <w:t xml:space="preserve">Jeigu veikdama pagal SESV 126 straipsnio 6 dalį Taryba nusprendžia, kad valstybėje narėje yra susidaręs perviršinis deficitas, Taryba ir Komisija kituose to SESV straipsnio procedūros etapuose atsižvelgia į šio straipsnio 3 dalyje nurodytus svarbius veiksnius, kadangi jie daro įtaką padėčiai atitinkamoje valstybėje </w:t>
      </w:r>
      <w:r w:rsidRPr="007A28AA">
        <w:rPr>
          <w:rFonts w:eastAsia="Calibri"/>
          <w:szCs w:val="22"/>
          <w:lang w:eastAsia="en-US"/>
        </w:rPr>
        <w:t xml:space="preserve">narėje, be kita ko, kaip nurodyta šio reglamento 5 straipsnio 2 </w:t>
      </w:r>
      <w:r w:rsidRPr="007A28AA">
        <w:rPr>
          <w:rFonts w:eastAsia="Calibri"/>
          <w:szCs w:val="22"/>
          <w:lang w:eastAsia="en-US"/>
        </w:rPr>
        <w:lastRenderedPageBreak/>
        <w:t>dalyje, visų pirma nustatydamos perviršinio deficito ištaisymo terminą ir ilgainiui tą terminą pratęsdamos. Tačiau į tuos svarbius veiksnius neatsižvelgiama priimant Tarybos sprendimą pagal SESV 126 straipsnio 12 dalį dėl kai kurių arba visų jos sprendimų pagal SESV 126 straipsnio 6–9 ir 11 dalis panaikinimo.</w:t>
      </w:r>
    </w:p>
    <w:p w:rsidR="00733FC2" w:rsidRPr="007A28AA" w:rsidRDefault="00733FC2" w:rsidP="00733FC2">
      <w:pPr>
        <w:widowControl/>
        <w:spacing w:before="120" w:after="120" w:line="360" w:lineRule="auto"/>
        <w:ind w:left="1418" w:hanging="567"/>
        <w:rPr>
          <w:rFonts w:eastAsia="Calibri"/>
          <w:szCs w:val="22"/>
          <w:lang w:eastAsia="en-US"/>
        </w:rPr>
      </w:pPr>
      <w:r w:rsidRPr="007A28AA">
        <w:rPr>
          <w:rFonts w:eastAsia="Calibri"/>
          <w:szCs w:val="22"/>
          <w:lang w:eastAsia="en-US"/>
        </w:rPr>
        <w:t>______________________</w:t>
      </w:r>
    </w:p>
    <w:p w:rsidR="00733FC2" w:rsidRPr="00E63F8B" w:rsidRDefault="00733FC2" w:rsidP="00733FC2">
      <w:pPr>
        <w:widowControl/>
        <w:spacing w:before="120" w:after="120" w:line="360" w:lineRule="auto"/>
        <w:ind w:left="1418" w:hanging="567"/>
        <w:rPr>
          <w:rFonts w:eastAsia="Calibri"/>
          <w:b/>
          <w:i/>
          <w:noProof/>
          <w:szCs w:val="22"/>
          <w:lang w:eastAsia="en-US"/>
        </w:rPr>
      </w:pPr>
      <w:r w:rsidRPr="00E63F8B">
        <w:rPr>
          <w:b/>
          <w:i/>
          <w:szCs w:val="24"/>
        </w:rPr>
        <w:t>*</w:t>
      </w:r>
      <w:r w:rsidRPr="00E63F8B">
        <w:rPr>
          <w:b/>
          <w:i/>
          <w:szCs w:val="24"/>
        </w:rPr>
        <w:tab/>
      </w:r>
      <w:r w:rsidRPr="00E63F8B">
        <w:rPr>
          <w:rFonts w:eastAsia="Calibri"/>
          <w:b/>
          <w:i/>
          <w:szCs w:val="24"/>
          <w:lang w:eastAsia="en-US"/>
        </w:rPr>
        <w:t>[įrašyti data] Reglamentas (ES) [...] [įrašyti pilną pavadinimą] (OL L...,..., p ...).</w:t>
      </w:r>
    </w:p>
    <w:p w:rsidR="00733FC2" w:rsidRPr="007A28AA" w:rsidRDefault="00733FC2" w:rsidP="00733FC2">
      <w:pPr>
        <w:widowControl/>
        <w:spacing w:before="120" w:after="120" w:line="360" w:lineRule="auto"/>
        <w:ind w:left="850" w:hanging="850"/>
        <w:rPr>
          <w:rFonts w:eastAsia="Calibri"/>
          <w:noProof/>
          <w:szCs w:val="22"/>
          <w:lang w:eastAsia="en-US"/>
        </w:rPr>
      </w:pPr>
      <w:r w:rsidRPr="007A28AA">
        <w:rPr>
          <w:rFonts w:eastAsia="Calibri"/>
          <w:szCs w:val="22"/>
          <w:lang w:eastAsia="en-US"/>
        </w:rPr>
        <w:t>2)</w:t>
      </w:r>
      <w:r w:rsidRPr="007A28AA">
        <w:rPr>
          <w:rFonts w:eastAsia="Calibri"/>
          <w:szCs w:val="22"/>
          <w:lang w:eastAsia="en-US"/>
        </w:rPr>
        <w:tab/>
        <w:t>3 straipsnis pakeičiamas taip:</w:t>
      </w:r>
    </w:p>
    <w:p w:rsidR="00733FC2" w:rsidRPr="007A28AA" w:rsidRDefault="00733FC2" w:rsidP="00733FC2">
      <w:pPr>
        <w:keepNext/>
        <w:widowControl/>
        <w:spacing w:before="120" w:after="120" w:line="360" w:lineRule="auto"/>
        <w:ind w:left="851"/>
        <w:rPr>
          <w:rFonts w:eastAsia="Calibri"/>
          <w:noProof/>
          <w:szCs w:val="24"/>
          <w:lang w:eastAsia="en-US"/>
        </w:rPr>
      </w:pPr>
      <w:r w:rsidRPr="007A28AA">
        <w:rPr>
          <w:rFonts w:eastAsia="Calibri"/>
          <w:szCs w:val="22"/>
          <w:lang w:eastAsia="en-US"/>
        </w:rPr>
        <w:t>„3 straipsnis</w:t>
      </w:r>
    </w:p>
    <w:p w:rsidR="00733FC2" w:rsidRPr="00E63F8B" w:rsidRDefault="00733FC2" w:rsidP="00733FC2">
      <w:pPr>
        <w:widowControl/>
        <w:spacing w:before="120" w:after="120" w:line="360" w:lineRule="auto"/>
        <w:ind w:left="1418" w:hanging="568"/>
        <w:rPr>
          <w:rFonts w:eastAsia="Calibri"/>
          <w:bCs/>
          <w:noProof/>
          <w:szCs w:val="22"/>
          <w:u w:val="single"/>
          <w:lang w:eastAsia="en-US"/>
        </w:rPr>
      </w:pPr>
      <w:r w:rsidRPr="007A28AA">
        <w:rPr>
          <w:rFonts w:eastAsia="Calibri"/>
          <w:szCs w:val="22"/>
          <w:lang w:eastAsia="en-US"/>
        </w:rPr>
        <w:t>1.</w:t>
      </w:r>
      <w:r w:rsidRPr="007A28AA">
        <w:rPr>
          <w:rFonts w:eastAsia="Calibri"/>
          <w:szCs w:val="22"/>
          <w:lang w:eastAsia="en-US"/>
        </w:rPr>
        <w:tab/>
        <w:t>Per dvi savaites nuo tada, kai Komisija priima pranešimą, parengtą pagal SESV 126 straipsnio 3 dalį, Ekonomikos ir finansų komitetas, vadovaudamasis SESV 126 straipsnio 4 dalimi, apie jį parengia nuomonę.</w:t>
      </w:r>
    </w:p>
    <w:p w:rsidR="00733FC2" w:rsidRPr="00BA61E4" w:rsidRDefault="00733FC2" w:rsidP="00733FC2">
      <w:pPr>
        <w:widowControl/>
        <w:spacing w:before="120" w:after="120" w:line="360" w:lineRule="auto"/>
        <w:ind w:left="1418" w:hanging="568"/>
        <w:rPr>
          <w:rFonts w:eastAsia="Calibri"/>
          <w:szCs w:val="22"/>
          <w:lang w:eastAsia="en-US"/>
        </w:rPr>
      </w:pPr>
      <w:r w:rsidRPr="007A28AA">
        <w:rPr>
          <w:rFonts w:eastAsia="Calibri"/>
          <w:szCs w:val="22"/>
          <w:lang w:eastAsia="en-US"/>
        </w:rPr>
        <w:t>2.</w:t>
      </w:r>
      <w:r w:rsidRPr="007A28AA">
        <w:rPr>
          <w:rFonts w:eastAsia="Calibri"/>
          <w:szCs w:val="22"/>
          <w:lang w:eastAsia="en-US"/>
        </w:rPr>
        <w:tab/>
        <w:t>Jeigu Komisija, visapusiškai atsižvelgusi į šio straipsnio 1 dalyje nurodytą nuomonę, mano, kad yra susidaręs perviršinis deficitas, ji pateikia nuomonę ir pasiūlymą Tarybai pagal SESV 126 straipsnio 5 ir 6 dalis ir apie tai informuoja Europos Parlamentą.</w:t>
      </w:r>
    </w:p>
    <w:p w:rsidR="00733FC2" w:rsidRPr="007A28AA" w:rsidRDefault="00733FC2" w:rsidP="00733FC2">
      <w:pPr>
        <w:widowControl/>
        <w:spacing w:before="120" w:after="120" w:line="360" w:lineRule="auto"/>
        <w:ind w:left="1418" w:hanging="568"/>
        <w:rPr>
          <w:rFonts w:eastAsia="Calibri"/>
          <w:noProof/>
          <w:szCs w:val="22"/>
          <w:lang w:eastAsia="en-US"/>
        </w:rPr>
      </w:pPr>
      <w:r w:rsidRPr="007A28AA">
        <w:rPr>
          <w:rFonts w:eastAsia="Calibri"/>
          <w:szCs w:val="22"/>
          <w:lang w:eastAsia="en-US"/>
        </w:rPr>
        <w:t>3.</w:t>
      </w:r>
      <w:r w:rsidRPr="007A28AA">
        <w:rPr>
          <w:rFonts w:eastAsia="Calibri"/>
          <w:szCs w:val="22"/>
          <w:lang w:eastAsia="en-US"/>
        </w:rPr>
        <w:tab/>
        <w:t xml:space="preserve">Taryba paprastai per keturis mėnesius nuo duomenų pateikimo datų, nustatytų Reglamento (EB) Nr. 479/2009 3 straipsnio 2 ir 3 dalyse, pagal SESV 126 straipsnio 6 dalį nusprendžia, ar yra susidaręs perviršinis deficitas. </w:t>
      </w:r>
      <w:r w:rsidRPr="00E63F8B">
        <w:rPr>
          <w:rFonts w:eastAsia="Calibri"/>
          <w:szCs w:val="22"/>
          <w:lang w:eastAsia="en-US"/>
        </w:rPr>
        <w:t>Kai</w:t>
      </w:r>
      <w:r w:rsidRPr="007A28AA">
        <w:rPr>
          <w:rFonts w:eastAsia="Calibri"/>
          <w:szCs w:val="22"/>
          <w:lang w:eastAsia="en-US"/>
        </w:rPr>
        <w:t xml:space="preserve"> Taryba nusprendžia, kad perviršinis deficitas yra susidaręs, ji kartu pateikia rekomendacijas atitinkamai valstybei narei pagal SESV 126 straipsnio 7 dalį. Taryba savo sprendimus </w:t>
      </w:r>
      <w:r w:rsidRPr="00E63F8B">
        <w:rPr>
          <w:rFonts w:eastAsia="Calibri"/>
          <w:szCs w:val="22"/>
          <w:lang w:eastAsia="en-US"/>
        </w:rPr>
        <w:t xml:space="preserve">pagal SESV 126 straipsnio 6 dalį </w:t>
      </w:r>
      <w:r w:rsidRPr="007A28AA">
        <w:rPr>
          <w:rFonts w:eastAsia="Calibri"/>
          <w:szCs w:val="22"/>
          <w:lang w:eastAsia="en-US"/>
        </w:rPr>
        <w:t>skelbia viešai.</w:t>
      </w:r>
    </w:p>
    <w:p w:rsidR="00733FC2" w:rsidRPr="00BA61E4" w:rsidRDefault="00733FC2" w:rsidP="00733FC2">
      <w:pPr>
        <w:widowControl/>
        <w:spacing w:before="120" w:after="120" w:line="360" w:lineRule="auto"/>
        <w:ind w:left="1418" w:hanging="568"/>
        <w:rPr>
          <w:rFonts w:eastAsia="Calibri"/>
          <w:szCs w:val="22"/>
          <w:lang w:eastAsia="en-US"/>
        </w:rPr>
      </w:pPr>
      <w:r w:rsidRPr="00BA61E4">
        <w:rPr>
          <w:rFonts w:eastAsia="Calibri"/>
          <w:szCs w:val="22"/>
          <w:lang w:eastAsia="en-US"/>
        </w:rPr>
        <w:t>4.</w:t>
      </w:r>
      <w:r w:rsidRPr="00BA61E4">
        <w:rPr>
          <w:rFonts w:eastAsia="Calibri"/>
          <w:szCs w:val="22"/>
          <w:lang w:eastAsia="en-US"/>
        </w:rPr>
        <w:tab/>
        <w:t>Pagal SESV 126 straipsnio 7 dalį pateiktoje Tarybos rekomendacijoje nustatomas maksimalus šešių mėnesių laikotarpis, per kurį atitinkama valstybė narė turi imtis veiksmingų priemonių. Atsižvelgiant į padėties rimtumą, gali būti nustat</w:t>
      </w:r>
      <w:bookmarkStart w:id="8" w:name="_GoBack"/>
      <w:bookmarkEnd w:id="8"/>
      <w:r w:rsidRPr="00BA61E4">
        <w:rPr>
          <w:rFonts w:eastAsia="Calibri"/>
          <w:szCs w:val="22"/>
          <w:lang w:eastAsia="en-US"/>
        </w:rPr>
        <w:t>omas trijų mėnesių lai</w:t>
      </w:r>
      <w:r w:rsidRPr="00A56532">
        <w:rPr>
          <w:rFonts w:eastAsia="Calibri"/>
          <w:szCs w:val="22"/>
          <w:lang w:eastAsia="en-US"/>
        </w:rPr>
        <w:t>kotarpis, per kurį turi būti imtasi veiksmingų priemonių. Tarybos rekomendacijoje taip pat nustatomas perviršinio deficito ištaisymo terminas. Be to, rekomendacijoje Taryba prašo valstybės narės įgyvendinti taisomąjį grynųjų išlaidų planą, kuriuo užtikrina</w:t>
      </w:r>
      <w:r w:rsidRPr="00CE3722">
        <w:rPr>
          <w:rFonts w:eastAsia="Calibri"/>
          <w:szCs w:val="22"/>
          <w:lang w:eastAsia="en-US"/>
        </w:rPr>
        <w:t xml:space="preserve">ma, kad iki rekomendacijoje nustatyto termino valdžios sektoriaus deficitas išliktų mažesnis už pamatinę vertę arba būtų sumažintas ir išliktų mažesnis už </w:t>
      </w:r>
      <w:r w:rsidRPr="00CE3722">
        <w:rPr>
          <w:rFonts w:eastAsia="Calibri"/>
          <w:szCs w:val="22"/>
          <w:lang w:eastAsia="en-US"/>
        </w:rPr>
        <w:lastRenderedPageBreak/>
        <w:t xml:space="preserve">pamatinę vertę. </w:t>
      </w:r>
      <w:r w:rsidRPr="00E63F8B">
        <w:rPr>
          <w:rFonts w:eastAsia="Calibri"/>
          <w:szCs w:val="22"/>
          <w:lang w:eastAsia="en-US"/>
        </w:rPr>
        <w:t xml:space="preserve">Jeigu perviršinio deficito procedūra buvo pradėta remiantis deficito kriterijumi, </w:t>
      </w:r>
      <w:r w:rsidRPr="007A28AA">
        <w:rPr>
          <w:rFonts w:eastAsia="Calibri"/>
          <w:szCs w:val="22"/>
          <w:lang w:eastAsia="en-US"/>
        </w:rPr>
        <w:t>tais metais, kuriais numatoma, kad valdžios sektoriaus deficitas viršys pamatinę vertę, taisomasis grynųjų išlaidų planas turi atitikti minimalų metinį struktūrinį koregavimą, kurio lyginamasis dydis būtų bent 0,5 % BVP.</w:t>
      </w:r>
    </w:p>
    <w:p w:rsidR="00733FC2" w:rsidRPr="007A28AA" w:rsidRDefault="00733FC2" w:rsidP="00733FC2">
      <w:pPr>
        <w:widowControl/>
        <w:spacing w:before="120" w:after="120" w:line="360" w:lineRule="auto"/>
        <w:ind w:left="1418"/>
        <w:rPr>
          <w:rFonts w:eastAsia="Calibri"/>
          <w:noProof/>
          <w:szCs w:val="22"/>
          <w:lang w:eastAsia="en-US"/>
        </w:rPr>
      </w:pPr>
      <w:r w:rsidRPr="00E63F8B">
        <w:rPr>
          <w:rFonts w:eastAsia="Calibri"/>
          <w:szCs w:val="22"/>
          <w:lang w:eastAsia="en-US"/>
        </w:rPr>
        <w:t>Jeigu perviršinio deficito procedūra buvo pradėta remiantis skolos kriterijumi, taisomasis</w:t>
      </w:r>
      <w:r w:rsidRPr="007A28AA">
        <w:rPr>
          <w:rFonts w:eastAsia="Calibri"/>
          <w:szCs w:val="22"/>
          <w:lang w:eastAsia="en-US"/>
        </w:rPr>
        <w:t xml:space="preserve"> </w:t>
      </w:r>
      <w:r w:rsidRPr="00E63F8B">
        <w:rPr>
          <w:rFonts w:eastAsia="Calibri"/>
          <w:szCs w:val="22"/>
          <w:lang w:eastAsia="en-US"/>
        </w:rPr>
        <w:t>grynųjų išlaidų planas turi būti bent toks pat griežtas kaip</w:t>
      </w:r>
      <w:r w:rsidRPr="007A28AA">
        <w:rPr>
          <w:rFonts w:eastAsia="Calibri"/>
          <w:szCs w:val="22"/>
          <w:lang w:eastAsia="en-US"/>
        </w:rPr>
        <w:t xml:space="preserve"> grynųjų </w:t>
      </w:r>
      <w:r w:rsidRPr="00E63F8B">
        <w:rPr>
          <w:rFonts w:eastAsia="Calibri"/>
          <w:szCs w:val="22"/>
          <w:lang w:eastAsia="en-US"/>
        </w:rPr>
        <w:t xml:space="preserve">išlaidų planas, Tarybos priimtas pagal </w:t>
      </w:r>
      <w:r w:rsidRPr="007A28AA">
        <w:rPr>
          <w:rFonts w:eastAsia="Calibri"/>
          <w:szCs w:val="22"/>
          <w:lang w:eastAsia="en-US"/>
        </w:rPr>
        <w:t xml:space="preserve">Reglamento (ES) [dėl prevencinės dalies] </w:t>
      </w:r>
      <w:r w:rsidRPr="00E63F8B">
        <w:rPr>
          <w:rFonts w:eastAsia="Calibri"/>
          <w:szCs w:val="22"/>
          <w:lang w:eastAsia="en-US"/>
        </w:rPr>
        <w:t>16 straipsnį, ir juo paprastai turi būti taisomi susikaupę kontrolės sąskaitos nukrypimai iki Tarybos nustatyto termino.</w:t>
      </w:r>
    </w:p>
    <w:p w:rsidR="00733FC2" w:rsidRPr="00E63F8B" w:rsidRDefault="00733FC2" w:rsidP="00733FC2">
      <w:pPr>
        <w:widowControl/>
        <w:spacing w:before="120" w:after="120" w:line="360" w:lineRule="auto"/>
        <w:ind w:left="1418" w:hanging="568"/>
        <w:rPr>
          <w:rFonts w:eastAsia="Calibri"/>
          <w:szCs w:val="22"/>
          <w:lang w:eastAsia="en-US"/>
        </w:rPr>
      </w:pPr>
      <w:r w:rsidRPr="00BA61E4">
        <w:rPr>
          <w:rFonts w:eastAsia="Calibri"/>
          <w:szCs w:val="22"/>
          <w:lang w:eastAsia="en-US"/>
        </w:rPr>
        <w:t>5.</w:t>
      </w:r>
      <w:r w:rsidRPr="00BA61E4">
        <w:rPr>
          <w:rFonts w:eastAsia="Calibri"/>
          <w:szCs w:val="22"/>
          <w:lang w:eastAsia="en-US"/>
        </w:rPr>
        <w:tab/>
        <w:t xml:space="preserve">Iki šio straipsnio 4 dalyje nustatyto termino atitinkama valstybė narė Tarybai ir Komisijai pateikia ataskaitą dėl priemonių, kurių imtasi atsižvelgiant į Tarybos rekomendaciją pagal SESV 126 straipsnio 7 dalį. Ataskaitoje nurodomi valdžios sektoriaus išlaidų bei pajamų ir diskrecinių priemonių tiek išlaidų, tiek pajamų srityje tikslai, atitinkantys Tarybos rekomendaciją, taip pat informacija apie priemones, kurių imtasi tiems tikslams pasiekti, ir tų priemonių pobūdį. Valstybė narė ataskaitą skelbia viešai. </w:t>
      </w:r>
      <w:r w:rsidRPr="00E63F8B">
        <w:rPr>
          <w:rFonts w:eastAsia="Calibri"/>
          <w:szCs w:val="22"/>
          <w:lang w:eastAsia="en-US"/>
        </w:rPr>
        <w:t>Valstybė narė gali paprašyti atitinkamos nepriklausomos fiskalinės institucijos parengti neprivalomą atskirą ataskaitą dėl priemonių, kurių imtasi ir kurios numatytos tikslams pasiekti, pakankamumo.</w:t>
      </w:r>
    </w:p>
    <w:p w:rsidR="00733FC2" w:rsidRPr="007A28AA" w:rsidRDefault="00733FC2" w:rsidP="00733FC2">
      <w:pPr>
        <w:widowControl/>
        <w:spacing w:before="120" w:after="120" w:line="360" w:lineRule="auto"/>
        <w:ind w:left="1418" w:hanging="568"/>
        <w:rPr>
          <w:rFonts w:eastAsia="Calibri"/>
          <w:noProof/>
          <w:szCs w:val="22"/>
          <w:lang w:eastAsia="en-US"/>
        </w:rPr>
      </w:pPr>
      <w:r w:rsidRPr="007A28AA">
        <w:rPr>
          <w:rFonts w:eastAsia="Calibri"/>
          <w:szCs w:val="22"/>
          <w:lang w:eastAsia="en-US"/>
        </w:rPr>
        <w:t>6.</w:t>
      </w:r>
      <w:r w:rsidRPr="007A28AA">
        <w:rPr>
          <w:rFonts w:eastAsia="Calibri"/>
          <w:szCs w:val="22"/>
          <w:lang w:eastAsia="en-US"/>
        </w:rPr>
        <w:tab/>
        <w:t xml:space="preserve">Taryba, remdamasi Komisijos rekomendacija, gali nuspręsti priimti patikslintą rekomendaciją pagal SESV 126 straipsnio 7 dalį, </w:t>
      </w:r>
      <w:r w:rsidRPr="00E63F8B">
        <w:rPr>
          <w:rFonts w:eastAsia="Calibri"/>
          <w:szCs w:val="22"/>
          <w:lang w:eastAsia="en-US"/>
        </w:rPr>
        <w:t>jeigu</w:t>
      </w:r>
      <w:r w:rsidRPr="007A28AA">
        <w:rPr>
          <w:rFonts w:eastAsia="Calibri"/>
          <w:szCs w:val="22"/>
          <w:lang w:eastAsia="en-US"/>
        </w:rPr>
        <w:t>:</w:t>
      </w:r>
    </w:p>
    <w:p w:rsidR="00733FC2" w:rsidRPr="00E63F8B" w:rsidRDefault="00733FC2" w:rsidP="00733FC2">
      <w:pPr>
        <w:widowControl/>
        <w:spacing w:before="120" w:after="120" w:line="360" w:lineRule="auto"/>
        <w:ind w:left="1985" w:hanging="567"/>
        <w:rPr>
          <w:rFonts w:eastAsia="Calibri"/>
          <w:noProof/>
          <w:szCs w:val="22"/>
          <w:lang w:eastAsia="en-US"/>
        </w:rPr>
      </w:pPr>
      <w:r w:rsidRPr="00E63F8B">
        <w:rPr>
          <w:rFonts w:eastAsia="Calibri"/>
          <w:szCs w:val="22"/>
          <w:lang w:eastAsia="en-US"/>
        </w:rPr>
        <w:t>a)</w:t>
      </w:r>
      <w:r w:rsidRPr="00E63F8B">
        <w:rPr>
          <w:rFonts w:eastAsia="Calibri"/>
          <w:szCs w:val="22"/>
          <w:lang w:eastAsia="en-US"/>
        </w:rPr>
        <w:tab/>
        <w:t>atsižvelgiant į tokią rekomendaciją imtasi veiksmingų priemonių ir taikomos Reglamento (ES) [dėl prevencinės dalies] 25 straipsnyje nurodytos sąlygos arba</w:t>
      </w:r>
    </w:p>
    <w:p w:rsidR="00733FC2" w:rsidRPr="00E63F8B" w:rsidRDefault="00733FC2" w:rsidP="00733FC2">
      <w:pPr>
        <w:widowControl/>
        <w:spacing w:before="120" w:after="120" w:line="360" w:lineRule="auto"/>
        <w:ind w:left="1985" w:hanging="567"/>
        <w:rPr>
          <w:rFonts w:eastAsia="Calibri"/>
          <w:noProof/>
          <w:szCs w:val="22"/>
          <w:lang w:eastAsia="en-US"/>
        </w:rPr>
      </w:pPr>
      <w:r w:rsidRPr="00E63F8B">
        <w:rPr>
          <w:rFonts w:eastAsia="Calibri"/>
          <w:szCs w:val="22"/>
          <w:lang w:eastAsia="en-US"/>
        </w:rPr>
        <w:t>b)</w:t>
      </w:r>
      <w:r w:rsidRPr="00E63F8B">
        <w:rPr>
          <w:rFonts w:eastAsia="Calibri"/>
          <w:szCs w:val="22"/>
          <w:lang w:eastAsia="en-US"/>
        </w:rPr>
        <w:tab/>
        <w:t>taikomos Reglamento (ES) [dėl prevencinės dalies] 24 straipsnyje nurodytos sąlygos.</w:t>
      </w:r>
    </w:p>
    <w:p w:rsidR="00733FC2" w:rsidRPr="00E63F8B" w:rsidRDefault="00733FC2" w:rsidP="00733FC2">
      <w:pPr>
        <w:widowControl/>
        <w:spacing w:before="120" w:after="120" w:line="360" w:lineRule="auto"/>
        <w:ind w:left="1418"/>
        <w:rPr>
          <w:rFonts w:eastAsia="Calibri"/>
          <w:noProof/>
          <w:szCs w:val="22"/>
          <w:lang w:eastAsia="en-US"/>
        </w:rPr>
      </w:pPr>
      <w:r w:rsidRPr="00E63F8B">
        <w:rPr>
          <w:rFonts w:eastAsia="Calibri"/>
          <w:szCs w:val="22"/>
          <w:lang w:eastAsia="en-US"/>
        </w:rPr>
        <w:t>Patikslintoje rekomendacijoje perviršinio deficito ištaisymo terminas visų pirma gali būti pratęstas paprastai dar vieniems metams.“;</w:t>
      </w:r>
    </w:p>
    <w:p w:rsidR="00733FC2" w:rsidRPr="007A28AA" w:rsidRDefault="00733FC2" w:rsidP="00733FC2">
      <w:pPr>
        <w:widowControl/>
        <w:spacing w:before="120" w:after="120" w:line="360" w:lineRule="auto"/>
        <w:ind w:left="850" w:hanging="850"/>
        <w:rPr>
          <w:rFonts w:eastAsia="Calibri"/>
          <w:noProof/>
          <w:szCs w:val="22"/>
          <w:lang w:eastAsia="en-US"/>
        </w:rPr>
      </w:pPr>
      <w:r w:rsidRPr="007A28AA">
        <w:rPr>
          <w:rFonts w:eastAsia="Calibri"/>
          <w:szCs w:val="22"/>
          <w:lang w:eastAsia="en-US"/>
        </w:rPr>
        <w:t>3)</w:t>
      </w:r>
      <w:r w:rsidRPr="007A28AA">
        <w:rPr>
          <w:rFonts w:eastAsia="Calibri"/>
          <w:szCs w:val="22"/>
          <w:lang w:eastAsia="en-US"/>
        </w:rPr>
        <w:tab/>
        <w:t>4 straipsnis pakeičiamas taip:</w:t>
      </w:r>
    </w:p>
    <w:p w:rsidR="00733FC2" w:rsidRPr="00BA61E4" w:rsidRDefault="00733FC2" w:rsidP="00733FC2">
      <w:pPr>
        <w:keepNext/>
        <w:widowControl/>
        <w:spacing w:before="120" w:after="120" w:line="360" w:lineRule="auto"/>
        <w:ind w:left="851"/>
        <w:rPr>
          <w:rFonts w:eastAsia="Calibri"/>
          <w:noProof/>
          <w:szCs w:val="24"/>
          <w:lang w:eastAsia="en-US"/>
        </w:rPr>
      </w:pPr>
      <w:r w:rsidRPr="00BA61E4">
        <w:rPr>
          <w:rFonts w:eastAsia="Calibri"/>
          <w:szCs w:val="22"/>
          <w:lang w:eastAsia="en-US"/>
        </w:rPr>
        <w:lastRenderedPageBreak/>
        <w:t>„4 straipsnis</w:t>
      </w:r>
    </w:p>
    <w:p w:rsidR="00733FC2" w:rsidRPr="007A28AA" w:rsidRDefault="00733FC2" w:rsidP="00733FC2">
      <w:pPr>
        <w:widowControl/>
        <w:spacing w:before="120" w:after="120" w:line="360" w:lineRule="auto"/>
        <w:ind w:left="1418" w:hanging="568"/>
        <w:rPr>
          <w:rFonts w:eastAsia="Calibri"/>
          <w:noProof/>
          <w:szCs w:val="22"/>
          <w:lang w:eastAsia="en-US"/>
        </w:rPr>
      </w:pPr>
      <w:r w:rsidRPr="007A28AA">
        <w:rPr>
          <w:rFonts w:eastAsia="Calibri"/>
          <w:szCs w:val="22"/>
          <w:lang w:eastAsia="en-US"/>
        </w:rPr>
        <w:t>1.</w:t>
      </w:r>
      <w:r w:rsidRPr="007A28AA">
        <w:rPr>
          <w:rFonts w:eastAsia="Calibri"/>
          <w:szCs w:val="22"/>
          <w:lang w:eastAsia="en-US"/>
        </w:rPr>
        <w:tab/>
        <w:t>Spręsdama, ar buvo imtasi veiksmingų priemonių atsižvelgiant į jos rekomendacijas, pateiktas pagal SESV 126 straipsnio 7 dalį, Taryba vadovaujasi atitinkamos valstybės narės pagal šio reglamento 3 straipsnio 5 dalį pateikta ataskaita bei jos įgyvendinimu ir kitais atitinkamos valstybės narės vyriausybės viešai paskelbtais ir pakankamai detaliais sprendimais.</w:t>
      </w:r>
    </w:p>
    <w:p w:rsidR="00733FC2" w:rsidRPr="007A28AA" w:rsidRDefault="00733FC2" w:rsidP="00733FC2">
      <w:pPr>
        <w:widowControl/>
        <w:spacing w:before="120" w:after="120" w:line="360" w:lineRule="auto"/>
        <w:ind w:left="1418"/>
        <w:rPr>
          <w:rFonts w:eastAsia="Calibri"/>
          <w:szCs w:val="22"/>
          <w:lang w:eastAsia="en-US"/>
        </w:rPr>
      </w:pPr>
      <w:r w:rsidRPr="00E63F8B">
        <w:rPr>
          <w:rFonts w:eastAsia="Calibri"/>
          <w:szCs w:val="22"/>
          <w:lang w:eastAsia="en-US"/>
        </w:rPr>
        <w:t>Jeigu</w:t>
      </w:r>
      <w:r w:rsidRPr="007A28AA">
        <w:rPr>
          <w:rFonts w:eastAsia="Calibri"/>
          <w:szCs w:val="22"/>
          <w:lang w:eastAsia="en-US"/>
        </w:rPr>
        <w:t xml:space="preserve"> pagal SESV 126 straipsnio 8 dalį </w:t>
      </w:r>
      <w:r w:rsidRPr="00E63F8B">
        <w:rPr>
          <w:rFonts w:eastAsia="Calibri"/>
          <w:szCs w:val="22"/>
          <w:lang w:eastAsia="en-US"/>
        </w:rPr>
        <w:t>Taryba nustato</w:t>
      </w:r>
      <w:r w:rsidRPr="007A28AA">
        <w:rPr>
          <w:rFonts w:eastAsia="Calibri"/>
          <w:szCs w:val="22"/>
          <w:lang w:eastAsia="en-US"/>
        </w:rPr>
        <w:t>, kad atitinkama valstybė</w:t>
      </w:r>
      <w:r w:rsidRPr="00701466">
        <w:rPr>
          <w:rFonts w:eastAsia="Calibri"/>
          <w:szCs w:val="22"/>
          <w:lang w:eastAsia="en-US"/>
        </w:rPr>
        <w:t xml:space="preserve"> narė nesiėmė veiksmingų priemonių, </w:t>
      </w:r>
      <w:r w:rsidRPr="00E63F8B">
        <w:rPr>
          <w:rFonts w:eastAsia="Calibri"/>
          <w:szCs w:val="22"/>
          <w:lang w:eastAsia="en-US"/>
        </w:rPr>
        <w:t>ji</w:t>
      </w:r>
      <w:r w:rsidRPr="007A28AA">
        <w:rPr>
          <w:rFonts w:eastAsia="Calibri"/>
          <w:szCs w:val="22"/>
          <w:lang w:eastAsia="en-US"/>
        </w:rPr>
        <w:t xml:space="preserve"> pateikia atitinkamą ataskaitą </w:t>
      </w:r>
      <w:r w:rsidRPr="00E63F8B">
        <w:rPr>
          <w:rFonts w:eastAsia="Calibri"/>
          <w:szCs w:val="22"/>
          <w:lang w:eastAsia="en-US"/>
        </w:rPr>
        <w:t>Europos Vadovų Tarybai.</w:t>
      </w:r>
    </w:p>
    <w:p w:rsidR="00733FC2" w:rsidRPr="00E63F8B" w:rsidRDefault="00733FC2" w:rsidP="00733FC2">
      <w:pPr>
        <w:widowControl/>
        <w:spacing w:before="120" w:after="120" w:line="360" w:lineRule="auto"/>
        <w:ind w:left="1418" w:hanging="568"/>
        <w:rPr>
          <w:rFonts w:eastAsia="Calibri"/>
          <w:noProof/>
          <w:szCs w:val="22"/>
          <w:lang w:eastAsia="en-US"/>
        </w:rPr>
      </w:pPr>
      <w:r w:rsidRPr="00E63F8B">
        <w:rPr>
          <w:rFonts w:eastAsia="Calibri"/>
          <w:szCs w:val="22"/>
          <w:lang w:eastAsia="en-US"/>
        </w:rPr>
        <w:t>2.</w:t>
      </w:r>
      <w:r w:rsidRPr="00E63F8B">
        <w:rPr>
          <w:rFonts w:eastAsia="Calibri"/>
          <w:szCs w:val="22"/>
          <w:lang w:eastAsia="en-US"/>
        </w:rPr>
        <w:tab/>
        <w:t>Taryba sprendimą pagal SESV 126 straipsnio 8 dalį viešai paskelbti savo rekomendacijas, kuriose nustatyta, kad nebuvo imtasi veiksmingų priemonių, priima iš karto pasibaigus laikotarpiui, nustatytam pagal šio reglamento 3 straipsnio 4 dalį.“;</w:t>
      </w:r>
    </w:p>
    <w:p w:rsidR="00733FC2" w:rsidRPr="00701466" w:rsidRDefault="00733FC2" w:rsidP="00733FC2">
      <w:pPr>
        <w:widowControl/>
        <w:spacing w:before="120" w:after="120" w:line="360" w:lineRule="auto"/>
        <w:ind w:left="850" w:hanging="850"/>
        <w:rPr>
          <w:rFonts w:eastAsia="Calibri"/>
          <w:noProof/>
          <w:szCs w:val="22"/>
          <w:lang w:eastAsia="en-US"/>
        </w:rPr>
      </w:pPr>
      <w:r w:rsidRPr="007A28AA">
        <w:rPr>
          <w:rFonts w:eastAsia="Calibri"/>
          <w:szCs w:val="22"/>
          <w:lang w:eastAsia="en-US"/>
        </w:rPr>
        <w:t>4)</w:t>
      </w:r>
      <w:r w:rsidRPr="007A28AA">
        <w:rPr>
          <w:rFonts w:eastAsia="Calibri"/>
          <w:szCs w:val="22"/>
          <w:lang w:eastAsia="en-US"/>
        </w:rPr>
        <w:tab/>
        <w:t>5 straipsnis iš dalies keičiamas taip:</w:t>
      </w:r>
    </w:p>
    <w:p w:rsidR="00733FC2" w:rsidRPr="00BA61E4" w:rsidRDefault="00733FC2" w:rsidP="00733FC2">
      <w:pPr>
        <w:widowControl/>
        <w:spacing w:before="120" w:after="120" w:line="360" w:lineRule="auto"/>
        <w:ind w:left="1417" w:hanging="567"/>
        <w:rPr>
          <w:rFonts w:eastAsia="Calibri"/>
          <w:noProof/>
          <w:szCs w:val="22"/>
          <w:lang w:eastAsia="en-US"/>
        </w:rPr>
      </w:pPr>
      <w:r w:rsidRPr="00BA61E4">
        <w:rPr>
          <w:rFonts w:eastAsia="Calibri"/>
          <w:szCs w:val="22"/>
          <w:lang w:eastAsia="en-US"/>
        </w:rPr>
        <w:t>a)</w:t>
      </w:r>
      <w:r w:rsidRPr="00BA61E4">
        <w:rPr>
          <w:rFonts w:eastAsia="Calibri"/>
          <w:szCs w:val="22"/>
          <w:lang w:eastAsia="en-US"/>
        </w:rPr>
        <w:tab/>
        <w:t>1 dalis pakeičiama taip:</w:t>
      </w:r>
    </w:p>
    <w:p w:rsidR="00733FC2" w:rsidRPr="00E63F8B" w:rsidRDefault="00733FC2" w:rsidP="00733FC2">
      <w:pPr>
        <w:widowControl/>
        <w:spacing w:before="120" w:after="120" w:line="360" w:lineRule="auto"/>
        <w:ind w:left="1985" w:hanging="568"/>
        <w:rPr>
          <w:rFonts w:eastAsia="Calibri"/>
          <w:szCs w:val="22"/>
          <w:lang w:eastAsia="en-US"/>
        </w:rPr>
      </w:pPr>
      <w:r w:rsidRPr="007A28AA">
        <w:rPr>
          <w:rFonts w:eastAsia="Calibri"/>
          <w:szCs w:val="22"/>
          <w:lang w:eastAsia="en-US"/>
        </w:rPr>
        <w:t>„1.</w:t>
      </w:r>
      <w:r w:rsidRPr="007A28AA">
        <w:rPr>
          <w:rFonts w:eastAsia="Calibri"/>
          <w:szCs w:val="22"/>
          <w:lang w:eastAsia="en-US"/>
        </w:rPr>
        <w:tab/>
        <w:t xml:space="preserve">Visi Tarybos sprendimai pagal SESV 126 straipsnio 9 dalį įspėti atitinkamą dalyvaujančią valstybę narę, kad ji imtųsi priemonių deficitui sumažinti, priimami per du mėnesius nuo tos dienos, kurią Taryba pagal SESV 126 straipsnio 8 dalį priėmė sprendimą, kuriuo nustatoma, kad veiksmingų priemonių imtasi nebuvo. Įspėjime Taryba prašo valstybės narės įgyvendinti taisomąjį grynųjų išlaidų planą </w:t>
      </w:r>
      <w:r w:rsidRPr="00E63F8B">
        <w:rPr>
          <w:rFonts w:eastAsia="Calibri"/>
          <w:szCs w:val="22"/>
          <w:lang w:eastAsia="en-US"/>
        </w:rPr>
        <w:t xml:space="preserve">pagal 3 straipsnio 4 dalyje nustatytus reikalavimus. Taryba taip pat nurodo priemones, kurios padėtų įgyvendinti taisomąjį grynųjų </w:t>
      </w:r>
      <w:r w:rsidRPr="007A28AA">
        <w:rPr>
          <w:rFonts w:eastAsia="Calibri"/>
          <w:szCs w:val="22"/>
          <w:lang w:eastAsia="en-US"/>
        </w:rPr>
        <w:t>išlaidų planą.“;</w:t>
      </w:r>
    </w:p>
    <w:p w:rsidR="00733FC2" w:rsidRPr="00701466" w:rsidRDefault="00733FC2" w:rsidP="00733FC2">
      <w:pPr>
        <w:widowControl/>
        <w:spacing w:before="120" w:after="120" w:line="360" w:lineRule="auto"/>
        <w:ind w:left="1417" w:hanging="567"/>
        <w:rPr>
          <w:rFonts w:eastAsia="Calibri"/>
          <w:noProof/>
          <w:szCs w:val="22"/>
          <w:lang w:eastAsia="en-US"/>
        </w:rPr>
      </w:pPr>
      <w:r w:rsidRPr="007A28AA">
        <w:rPr>
          <w:rFonts w:eastAsia="Calibri"/>
          <w:szCs w:val="22"/>
          <w:lang w:eastAsia="en-US"/>
        </w:rPr>
        <w:t>b)</w:t>
      </w:r>
      <w:r w:rsidRPr="007A28AA">
        <w:rPr>
          <w:rFonts w:eastAsia="Calibri"/>
          <w:szCs w:val="22"/>
          <w:lang w:eastAsia="en-US"/>
        </w:rPr>
        <w:tab/>
        <w:t>2 dalis pakeičiama taip:</w:t>
      </w:r>
    </w:p>
    <w:p w:rsidR="00733FC2" w:rsidRPr="00701466" w:rsidRDefault="00733FC2" w:rsidP="00733FC2">
      <w:pPr>
        <w:widowControl/>
        <w:spacing w:before="120" w:after="120" w:line="360" w:lineRule="auto"/>
        <w:ind w:left="1985" w:hanging="568"/>
        <w:rPr>
          <w:rFonts w:eastAsia="Calibri"/>
          <w:noProof/>
          <w:szCs w:val="22"/>
          <w:lang w:eastAsia="en-US"/>
        </w:rPr>
      </w:pPr>
      <w:r w:rsidRPr="00BA61E4">
        <w:rPr>
          <w:rFonts w:eastAsia="Calibri"/>
          <w:szCs w:val="22"/>
          <w:lang w:eastAsia="en-US"/>
        </w:rPr>
        <w:t>„2.</w:t>
      </w:r>
      <w:r w:rsidRPr="00BA61E4">
        <w:rPr>
          <w:rFonts w:eastAsia="Calibri"/>
          <w:szCs w:val="22"/>
          <w:lang w:eastAsia="en-US"/>
        </w:rPr>
        <w:tab/>
        <w:t>Taryba, remdamasi Komisijos rekomendacija, gali nuspręsti priimti patikslintą įspėjimą pagal SESV 126 straipsnio 9 dalį</w:t>
      </w:r>
      <w:r w:rsidRPr="00E63F8B">
        <w:rPr>
          <w:rFonts w:eastAsia="Calibri"/>
          <w:szCs w:val="22"/>
          <w:lang w:eastAsia="en-US"/>
        </w:rPr>
        <w:t>, jeigu</w:t>
      </w:r>
      <w:r w:rsidRPr="007A28AA">
        <w:rPr>
          <w:rFonts w:eastAsia="Calibri"/>
          <w:szCs w:val="22"/>
          <w:lang w:eastAsia="en-US"/>
        </w:rPr>
        <w:t>:</w:t>
      </w:r>
    </w:p>
    <w:p w:rsidR="00733FC2" w:rsidRPr="00E63F8B" w:rsidRDefault="00733FC2" w:rsidP="00733FC2">
      <w:pPr>
        <w:widowControl/>
        <w:spacing w:before="120" w:after="120" w:line="360" w:lineRule="auto"/>
        <w:ind w:left="2552" w:hanging="567"/>
        <w:rPr>
          <w:rFonts w:eastAsia="Calibri"/>
          <w:noProof/>
          <w:szCs w:val="22"/>
          <w:lang w:eastAsia="en-US"/>
        </w:rPr>
      </w:pPr>
      <w:r w:rsidRPr="00E63F8B">
        <w:rPr>
          <w:rFonts w:eastAsia="Calibri"/>
          <w:szCs w:val="22"/>
          <w:lang w:eastAsia="en-US"/>
        </w:rPr>
        <w:t>a)</w:t>
      </w:r>
      <w:r w:rsidRPr="00E63F8B">
        <w:rPr>
          <w:rFonts w:eastAsia="Calibri"/>
          <w:szCs w:val="22"/>
          <w:lang w:eastAsia="en-US"/>
        </w:rPr>
        <w:tab/>
        <w:t>atsižvelgiant į tokį įspėjimą imtasi veiksmingų priemonių ir taikomos Reglamento (ES) [dėl prevencinės dalies] 25 straipsnyje nurodytos sąlygos arba</w:t>
      </w:r>
    </w:p>
    <w:p w:rsidR="00733FC2" w:rsidRPr="00E63F8B" w:rsidRDefault="00733FC2" w:rsidP="00733FC2">
      <w:pPr>
        <w:widowControl/>
        <w:spacing w:before="120" w:after="120" w:line="360" w:lineRule="auto"/>
        <w:ind w:left="2552" w:hanging="567"/>
        <w:rPr>
          <w:rFonts w:eastAsia="Calibri"/>
          <w:noProof/>
          <w:szCs w:val="22"/>
          <w:lang w:eastAsia="en-US"/>
        </w:rPr>
      </w:pPr>
      <w:r w:rsidRPr="00E63F8B">
        <w:rPr>
          <w:rFonts w:eastAsia="Calibri"/>
          <w:szCs w:val="22"/>
          <w:lang w:eastAsia="en-US"/>
        </w:rPr>
        <w:t>b)</w:t>
      </w:r>
      <w:r w:rsidRPr="00E63F8B">
        <w:rPr>
          <w:rFonts w:eastAsia="Calibri"/>
          <w:szCs w:val="22"/>
          <w:lang w:eastAsia="en-US"/>
        </w:rPr>
        <w:tab/>
        <w:t>taikomos Reglamento (ES) [dėl prevencinės dalies] 24 straipsnyje nurodytos sąlygos.</w:t>
      </w:r>
    </w:p>
    <w:p w:rsidR="00733FC2" w:rsidRPr="00E63F8B" w:rsidRDefault="00733FC2" w:rsidP="00733FC2">
      <w:pPr>
        <w:widowControl/>
        <w:spacing w:before="120" w:after="120" w:line="360" w:lineRule="auto"/>
        <w:ind w:left="1440"/>
        <w:rPr>
          <w:rFonts w:eastAsia="Calibri"/>
          <w:noProof/>
          <w:szCs w:val="22"/>
          <w:lang w:eastAsia="en-US"/>
        </w:rPr>
      </w:pPr>
      <w:r w:rsidRPr="00E63F8B">
        <w:rPr>
          <w:rFonts w:eastAsia="Calibri"/>
          <w:szCs w:val="22"/>
          <w:lang w:eastAsia="en-US"/>
        </w:rPr>
        <w:lastRenderedPageBreak/>
        <w:t>Patikslintame įspėjime perviršinio deficito ištaisymo terminas visų pirma gali būti pratęstas paprastai dar vieniems metams.“;</w:t>
      </w:r>
    </w:p>
    <w:p w:rsidR="00733FC2" w:rsidRPr="00701466" w:rsidRDefault="00733FC2" w:rsidP="00733FC2">
      <w:pPr>
        <w:widowControl/>
        <w:spacing w:before="120" w:after="120" w:line="360" w:lineRule="auto"/>
        <w:ind w:left="850" w:hanging="850"/>
        <w:rPr>
          <w:rFonts w:eastAsia="Calibri"/>
          <w:noProof/>
          <w:szCs w:val="22"/>
          <w:lang w:eastAsia="en-US"/>
        </w:rPr>
      </w:pPr>
      <w:r w:rsidRPr="007A28AA">
        <w:rPr>
          <w:rFonts w:eastAsia="Calibri"/>
          <w:szCs w:val="22"/>
          <w:lang w:eastAsia="en-US"/>
        </w:rPr>
        <w:t>5)</w:t>
      </w:r>
      <w:r w:rsidRPr="007A28AA">
        <w:rPr>
          <w:rFonts w:eastAsia="Calibri"/>
          <w:szCs w:val="22"/>
          <w:lang w:eastAsia="en-US"/>
        </w:rPr>
        <w:tab/>
        <w:t>6 straipsnio 1 dalis pakeičiama taip:</w:t>
      </w:r>
    </w:p>
    <w:p w:rsidR="00733FC2" w:rsidRPr="007A28AA" w:rsidRDefault="00733FC2" w:rsidP="00733FC2">
      <w:pPr>
        <w:widowControl/>
        <w:spacing w:before="120" w:after="120" w:line="360" w:lineRule="auto"/>
        <w:ind w:left="1418" w:hanging="567"/>
        <w:contextualSpacing/>
        <w:rPr>
          <w:rFonts w:eastAsia="Calibri"/>
          <w:szCs w:val="22"/>
          <w:lang w:eastAsia="en-US"/>
        </w:rPr>
      </w:pPr>
      <w:r w:rsidRPr="00BA61E4">
        <w:rPr>
          <w:rFonts w:eastAsia="Calibri"/>
          <w:szCs w:val="22"/>
          <w:lang w:eastAsia="en-US"/>
        </w:rPr>
        <w:t>„1.</w:t>
      </w:r>
      <w:r w:rsidRPr="00BA61E4">
        <w:rPr>
          <w:rFonts w:eastAsia="Calibri"/>
          <w:szCs w:val="22"/>
          <w:lang w:eastAsia="en-US"/>
        </w:rPr>
        <w:tab/>
        <w:t>Spręsdama, ar buvo imtasi veiksmingų priemonių atsižvelgiant į jos įspėjimą, pateiktą pagal SESV 126 straipsnio 9 dalį, Taryba vadovaujasi atitinkamos valstybės narės pagal šio reglamento 5 straipsnio 1a dalį pateikta ataskaita bei jos įgyvendinimu ir kitais atitinkamos valstybės narės vyriausybės viešai paskelbtais ir pakankamai detaliais sprendimais. Atsižvelgiama į Komisijos pagal šio reglamento 10a straipsnį atlik</w:t>
      </w:r>
      <w:r w:rsidRPr="007A28AA">
        <w:rPr>
          <w:rFonts w:eastAsia="Calibri"/>
          <w:szCs w:val="22"/>
          <w:lang w:eastAsia="en-US"/>
        </w:rPr>
        <w:t>to priežiūros vizito rezultatus.“;</w:t>
      </w:r>
    </w:p>
    <w:p w:rsidR="00733FC2" w:rsidRPr="007A28AA" w:rsidRDefault="00733FC2" w:rsidP="00733FC2">
      <w:pPr>
        <w:widowControl/>
        <w:spacing w:before="120" w:after="120" w:line="360" w:lineRule="auto"/>
        <w:ind w:left="850" w:hanging="850"/>
        <w:rPr>
          <w:rFonts w:eastAsia="Calibri"/>
          <w:noProof/>
          <w:szCs w:val="22"/>
          <w:lang w:eastAsia="en-US"/>
        </w:rPr>
      </w:pPr>
      <w:r w:rsidRPr="007A28AA">
        <w:rPr>
          <w:rFonts w:eastAsia="Calibri"/>
          <w:szCs w:val="22"/>
          <w:lang w:eastAsia="en-US"/>
        </w:rPr>
        <w:t>6)</w:t>
      </w:r>
      <w:r w:rsidRPr="007A28AA">
        <w:rPr>
          <w:rFonts w:eastAsia="Calibri"/>
          <w:szCs w:val="22"/>
          <w:lang w:eastAsia="en-US"/>
        </w:rPr>
        <w:tab/>
        <w:t>8 straipsnis pakeičiamas taip:</w:t>
      </w:r>
    </w:p>
    <w:p w:rsidR="00733FC2" w:rsidRPr="007A28AA" w:rsidRDefault="00733FC2" w:rsidP="00733FC2">
      <w:pPr>
        <w:keepNext/>
        <w:widowControl/>
        <w:spacing w:before="120" w:after="120" w:line="360" w:lineRule="auto"/>
        <w:ind w:left="851"/>
        <w:rPr>
          <w:rFonts w:eastAsia="Calibri"/>
          <w:noProof/>
          <w:szCs w:val="24"/>
          <w:lang w:eastAsia="en-US"/>
        </w:rPr>
      </w:pPr>
      <w:r w:rsidRPr="007A28AA">
        <w:rPr>
          <w:rFonts w:eastAsia="Calibri"/>
          <w:szCs w:val="22"/>
          <w:lang w:eastAsia="en-US"/>
        </w:rPr>
        <w:t>„8 straipsnis</w:t>
      </w:r>
    </w:p>
    <w:p w:rsidR="00733FC2" w:rsidRPr="007A28AA" w:rsidRDefault="00733FC2" w:rsidP="00733FC2">
      <w:pPr>
        <w:widowControl/>
        <w:spacing w:before="120" w:after="120" w:line="360" w:lineRule="auto"/>
        <w:ind w:left="1418" w:hanging="568"/>
        <w:rPr>
          <w:rFonts w:eastAsia="Calibri"/>
          <w:noProof/>
          <w:szCs w:val="22"/>
          <w:lang w:eastAsia="en-US"/>
        </w:rPr>
      </w:pPr>
      <w:r w:rsidRPr="007A28AA">
        <w:rPr>
          <w:rFonts w:eastAsia="Calibri"/>
          <w:szCs w:val="22"/>
          <w:lang w:eastAsia="en-US"/>
        </w:rPr>
        <w:t>1.</w:t>
      </w:r>
      <w:r w:rsidRPr="007A28AA">
        <w:rPr>
          <w:rFonts w:eastAsia="Calibri"/>
          <w:szCs w:val="22"/>
          <w:lang w:eastAsia="en-US"/>
        </w:rPr>
        <w:tab/>
        <w:t>Visi Tarybos sprendimai pagal SESV 126 straipsnio 11 dalį dėl poveikio priemonių sugriežtinimo priimami ne vėliau kaip per du mėnesius nuo Reglamente (EB) Nr. 479/2009 nustatytų duomenų pateikimo datų.</w:t>
      </w:r>
    </w:p>
    <w:p w:rsidR="00733FC2" w:rsidRPr="007A28AA" w:rsidRDefault="00733FC2" w:rsidP="00733FC2">
      <w:pPr>
        <w:widowControl/>
        <w:spacing w:before="120" w:after="120" w:line="360" w:lineRule="auto"/>
        <w:ind w:left="1418" w:hanging="568"/>
        <w:rPr>
          <w:rFonts w:eastAsia="Calibri"/>
          <w:noProof/>
          <w:szCs w:val="22"/>
          <w:lang w:eastAsia="en-US"/>
        </w:rPr>
      </w:pPr>
      <w:r w:rsidRPr="007A28AA">
        <w:rPr>
          <w:rFonts w:eastAsia="Calibri"/>
          <w:szCs w:val="22"/>
          <w:lang w:eastAsia="en-US"/>
        </w:rPr>
        <w:t>2.</w:t>
      </w:r>
      <w:r w:rsidRPr="007A28AA">
        <w:rPr>
          <w:rFonts w:eastAsia="Calibri"/>
          <w:szCs w:val="22"/>
          <w:lang w:eastAsia="en-US"/>
        </w:rPr>
        <w:tab/>
        <w:t>Visi Tarybos sprendimai pagal SESV 126 straipsnio 12 dalį panaikinti kai kuriuos ar visus savo sprendimus priimami kuo greičiau, bet kiekvienu atveju ne vėliau kaip per du mėnesius nuo Reglamente (EB) Nr. 479/2009 nustatytų duomenų pateikimo datų.</w:t>
      </w:r>
    </w:p>
    <w:p w:rsidR="00733FC2" w:rsidRPr="00701466" w:rsidRDefault="00733FC2" w:rsidP="00733FC2">
      <w:pPr>
        <w:widowControl/>
        <w:spacing w:before="120" w:after="120" w:line="360" w:lineRule="auto"/>
        <w:ind w:left="1418" w:hanging="568"/>
        <w:rPr>
          <w:rFonts w:eastAsia="Calibri"/>
          <w:szCs w:val="22"/>
          <w:lang w:eastAsia="en-US"/>
        </w:rPr>
      </w:pPr>
      <w:r w:rsidRPr="007A28AA">
        <w:rPr>
          <w:rFonts w:eastAsia="Calibri"/>
          <w:szCs w:val="22"/>
          <w:lang w:eastAsia="en-US"/>
        </w:rPr>
        <w:t>3.</w:t>
      </w:r>
      <w:r w:rsidRPr="007A28AA">
        <w:rPr>
          <w:rFonts w:eastAsia="Calibri"/>
          <w:szCs w:val="22"/>
          <w:lang w:eastAsia="en-US"/>
        </w:rPr>
        <w:tab/>
        <w:t>Tarybos sprendimas pagal SESV 126 straipsnio 12 dalį priimamas tik tuo atveju, jei deficitas</w:t>
      </w:r>
      <w:r w:rsidRPr="00E63F8B">
        <w:rPr>
          <w:rFonts w:eastAsia="Calibri"/>
          <w:szCs w:val="22"/>
          <w:lang w:eastAsia="en-US"/>
        </w:rPr>
        <w:t xml:space="preserve"> sumažėja</w:t>
      </w:r>
      <w:r w:rsidRPr="007A28AA">
        <w:rPr>
          <w:rFonts w:eastAsia="Calibri"/>
          <w:szCs w:val="22"/>
          <w:lang w:eastAsia="en-US"/>
        </w:rPr>
        <w:t xml:space="preserve"> iki mažesnės už pamatinę vertę, o Komisija numato, kad jis toks liks einamaisiais ir kitais metais, ir, kai perviršinio </w:t>
      </w:r>
      <w:r w:rsidRPr="00701466">
        <w:rPr>
          <w:rFonts w:eastAsia="Calibri"/>
          <w:szCs w:val="22"/>
          <w:lang w:eastAsia="en-US"/>
        </w:rPr>
        <w:t xml:space="preserve">deficito procedūra buvo pradėta remiantis skolos kriterijumi, </w:t>
      </w:r>
      <w:r w:rsidRPr="00E63F8B">
        <w:rPr>
          <w:rFonts w:eastAsia="Calibri"/>
          <w:szCs w:val="22"/>
          <w:lang w:eastAsia="en-US"/>
        </w:rPr>
        <w:t>o</w:t>
      </w:r>
      <w:r w:rsidRPr="007A28AA">
        <w:rPr>
          <w:rFonts w:eastAsia="Calibri"/>
          <w:szCs w:val="22"/>
          <w:lang w:eastAsia="en-US"/>
        </w:rPr>
        <w:t xml:space="preserve"> atitinkama valstybė narė laikėsi Tarybos pagal šio reglamento 3 straipsnio 4 dalį arba 5 straipsnio 1 dalį nustatyto taisomojo grynųjų išlaidų plano.“;</w:t>
      </w:r>
    </w:p>
    <w:p w:rsidR="00733FC2" w:rsidRPr="00BA61E4" w:rsidRDefault="00733FC2" w:rsidP="00733FC2">
      <w:pPr>
        <w:widowControl/>
        <w:spacing w:before="120" w:after="120" w:line="360" w:lineRule="auto"/>
        <w:rPr>
          <w:rFonts w:eastAsia="Calibri"/>
          <w:noProof/>
          <w:szCs w:val="22"/>
          <w:lang w:eastAsia="en-US"/>
        </w:rPr>
      </w:pPr>
      <w:r w:rsidRPr="00BA61E4">
        <w:rPr>
          <w:rFonts w:eastAsia="Calibri"/>
          <w:szCs w:val="22"/>
          <w:lang w:eastAsia="en-US"/>
        </w:rPr>
        <w:t>7)</w:t>
      </w:r>
      <w:r w:rsidRPr="00BA61E4">
        <w:rPr>
          <w:rFonts w:eastAsia="Calibri"/>
          <w:szCs w:val="22"/>
          <w:lang w:eastAsia="en-US"/>
        </w:rPr>
        <w:tab/>
        <w:t>9 straipsnio 1 dalis pakeičiama taip:</w:t>
      </w:r>
    </w:p>
    <w:p w:rsidR="00733FC2" w:rsidRPr="007A28AA" w:rsidRDefault="00733FC2" w:rsidP="00733FC2">
      <w:pPr>
        <w:widowControl/>
        <w:spacing w:before="120" w:after="120" w:line="360" w:lineRule="auto"/>
        <w:ind w:left="1418" w:hanging="567"/>
        <w:contextualSpacing/>
        <w:rPr>
          <w:rFonts w:eastAsia="Calibri"/>
          <w:noProof/>
          <w:szCs w:val="22"/>
          <w:lang w:eastAsia="en-US"/>
        </w:rPr>
      </w:pPr>
      <w:r w:rsidRPr="007A28AA">
        <w:rPr>
          <w:rFonts w:eastAsia="Calibri"/>
          <w:szCs w:val="22"/>
          <w:lang w:eastAsia="en-US"/>
        </w:rPr>
        <w:t>„1.</w:t>
      </w:r>
      <w:r w:rsidRPr="007A28AA">
        <w:rPr>
          <w:rFonts w:eastAsia="Calibri"/>
          <w:szCs w:val="22"/>
          <w:lang w:eastAsia="en-US"/>
        </w:rPr>
        <w:tab/>
        <w:t>Perviršinio deficito procedūra sustabdoma, jeigu:</w:t>
      </w:r>
    </w:p>
    <w:p w:rsidR="00733FC2" w:rsidRPr="007A28AA" w:rsidRDefault="00733FC2" w:rsidP="00733FC2">
      <w:pPr>
        <w:widowControl/>
        <w:spacing w:before="120" w:after="120" w:line="360" w:lineRule="auto"/>
        <w:ind w:left="1984" w:hanging="567"/>
        <w:rPr>
          <w:rFonts w:eastAsia="Calibri"/>
          <w:noProof/>
          <w:szCs w:val="22"/>
          <w:lang w:eastAsia="en-US"/>
        </w:rPr>
      </w:pPr>
      <w:r w:rsidRPr="007A28AA">
        <w:rPr>
          <w:rFonts w:eastAsia="Calibri"/>
          <w:szCs w:val="22"/>
          <w:lang w:eastAsia="en-US"/>
        </w:rPr>
        <w:t>a)</w:t>
      </w:r>
      <w:r w:rsidRPr="007A28AA">
        <w:rPr>
          <w:rFonts w:eastAsia="Calibri"/>
          <w:szCs w:val="22"/>
          <w:lang w:eastAsia="en-US"/>
        </w:rPr>
        <w:tab/>
        <w:t>atitinkama valstybė narė veikia laikydamasi rekomendacijų, pateiktų jai pagal SESV 126 straipsnio 7 dalį,</w:t>
      </w:r>
    </w:p>
    <w:p w:rsidR="00733FC2" w:rsidRPr="00E63F8B" w:rsidRDefault="00733FC2" w:rsidP="00733FC2">
      <w:pPr>
        <w:widowControl/>
        <w:spacing w:before="120" w:after="120" w:line="360" w:lineRule="auto"/>
        <w:ind w:left="1984" w:hanging="567"/>
        <w:rPr>
          <w:rFonts w:eastAsia="Calibri"/>
          <w:noProof/>
          <w:color w:val="000000"/>
          <w:szCs w:val="24"/>
          <w:u w:val="single"/>
          <w:lang w:eastAsia="en-US"/>
        </w:rPr>
      </w:pPr>
      <w:r w:rsidRPr="007A28AA">
        <w:rPr>
          <w:rFonts w:eastAsia="Calibri"/>
          <w:szCs w:val="22"/>
          <w:lang w:eastAsia="en-US"/>
        </w:rPr>
        <w:t>b)</w:t>
      </w:r>
      <w:r w:rsidRPr="007A28AA">
        <w:rPr>
          <w:rFonts w:eastAsia="Calibri"/>
          <w:szCs w:val="22"/>
          <w:lang w:eastAsia="en-US"/>
        </w:rPr>
        <w:tab/>
        <w:t>atitinkama dalyvaujanti valstybė narė veikia atsižvelgdama į įspėjimus, pateiktus jai pagal SESV 126 straipsnio 9 dalį.“;</w:t>
      </w:r>
    </w:p>
    <w:p w:rsidR="00733FC2" w:rsidRPr="00701466" w:rsidRDefault="00733FC2" w:rsidP="00733FC2">
      <w:pPr>
        <w:widowControl/>
        <w:spacing w:before="120" w:after="120" w:line="360" w:lineRule="auto"/>
        <w:ind w:left="850" w:hanging="850"/>
        <w:rPr>
          <w:rFonts w:eastAsia="Calibri"/>
          <w:noProof/>
          <w:szCs w:val="22"/>
          <w:lang w:eastAsia="en-US"/>
        </w:rPr>
      </w:pPr>
      <w:r w:rsidRPr="007A28AA">
        <w:rPr>
          <w:rFonts w:eastAsia="Calibri"/>
          <w:szCs w:val="22"/>
          <w:lang w:eastAsia="en-US"/>
        </w:rPr>
        <w:t>8)</w:t>
      </w:r>
      <w:r w:rsidRPr="007A28AA">
        <w:rPr>
          <w:rFonts w:eastAsia="Calibri"/>
          <w:szCs w:val="22"/>
          <w:lang w:eastAsia="en-US"/>
        </w:rPr>
        <w:tab/>
        <w:t>10 straipsnis pakeičiamas taip:</w:t>
      </w:r>
    </w:p>
    <w:p w:rsidR="00733FC2" w:rsidRPr="00BA61E4" w:rsidRDefault="00733FC2" w:rsidP="00733FC2">
      <w:pPr>
        <w:keepNext/>
        <w:widowControl/>
        <w:spacing w:before="120" w:after="120" w:line="360" w:lineRule="auto"/>
        <w:ind w:left="851"/>
        <w:rPr>
          <w:rFonts w:eastAsia="Calibri"/>
          <w:noProof/>
          <w:szCs w:val="24"/>
          <w:lang w:eastAsia="en-US"/>
        </w:rPr>
      </w:pPr>
      <w:r w:rsidRPr="00BA61E4">
        <w:rPr>
          <w:rFonts w:eastAsia="Calibri"/>
          <w:szCs w:val="22"/>
          <w:lang w:eastAsia="en-US"/>
        </w:rPr>
        <w:lastRenderedPageBreak/>
        <w:t>„10 straipsnis</w:t>
      </w:r>
    </w:p>
    <w:p w:rsidR="00733FC2" w:rsidRPr="007A28AA" w:rsidRDefault="00733FC2" w:rsidP="00733FC2">
      <w:pPr>
        <w:widowControl/>
        <w:spacing w:before="120" w:after="120" w:line="360" w:lineRule="auto"/>
        <w:ind w:left="1418" w:hanging="568"/>
        <w:rPr>
          <w:rFonts w:eastAsia="Calibri"/>
          <w:noProof/>
          <w:szCs w:val="22"/>
          <w:lang w:eastAsia="en-US"/>
        </w:rPr>
      </w:pPr>
      <w:r w:rsidRPr="007A28AA">
        <w:rPr>
          <w:rFonts w:eastAsia="Calibri"/>
          <w:szCs w:val="22"/>
          <w:lang w:eastAsia="en-US"/>
        </w:rPr>
        <w:t>1.</w:t>
      </w:r>
      <w:r w:rsidRPr="007A28AA">
        <w:rPr>
          <w:rFonts w:eastAsia="Calibri"/>
          <w:szCs w:val="22"/>
          <w:lang w:eastAsia="en-US"/>
        </w:rPr>
        <w:tab/>
        <w:t>Taryba ir Komisija nuolat stebi, kaip įgyvendinamos priemonės, kurių:</w:t>
      </w:r>
    </w:p>
    <w:p w:rsidR="00733FC2" w:rsidRPr="007A28AA" w:rsidRDefault="00733FC2" w:rsidP="00733FC2">
      <w:pPr>
        <w:widowControl/>
        <w:spacing w:before="120" w:after="120" w:line="360" w:lineRule="auto"/>
        <w:ind w:left="1985" w:hanging="567"/>
        <w:rPr>
          <w:rFonts w:eastAsia="Calibri"/>
          <w:noProof/>
          <w:szCs w:val="22"/>
          <w:lang w:eastAsia="en-US"/>
        </w:rPr>
      </w:pPr>
      <w:r w:rsidRPr="007A28AA">
        <w:rPr>
          <w:rFonts w:eastAsia="Calibri"/>
          <w:szCs w:val="22"/>
          <w:lang w:eastAsia="en-US"/>
        </w:rPr>
        <w:t>–</w:t>
      </w:r>
      <w:r w:rsidRPr="007A28AA">
        <w:rPr>
          <w:rFonts w:eastAsia="Calibri"/>
          <w:szCs w:val="22"/>
          <w:lang w:eastAsia="en-US"/>
        </w:rPr>
        <w:tab/>
        <w:t>imasi atitinkama valstybė narė, atsižvelgdama į rekomendacijas, pateiktas jai pagal SESV 126 straipsnio 7 dalį,</w:t>
      </w:r>
    </w:p>
    <w:p w:rsidR="00733FC2" w:rsidRPr="007A28AA" w:rsidRDefault="00733FC2" w:rsidP="00733FC2">
      <w:pPr>
        <w:widowControl/>
        <w:spacing w:before="120" w:after="120" w:line="360" w:lineRule="auto"/>
        <w:ind w:left="1985" w:hanging="567"/>
        <w:rPr>
          <w:rFonts w:eastAsia="Calibri"/>
          <w:noProof/>
          <w:szCs w:val="22"/>
          <w:lang w:eastAsia="en-US"/>
        </w:rPr>
      </w:pPr>
      <w:r w:rsidRPr="007A28AA">
        <w:rPr>
          <w:rFonts w:eastAsia="Calibri"/>
          <w:szCs w:val="22"/>
          <w:lang w:eastAsia="en-US"/>
        </w:rPr>
        <w:t>–</w:t>
      </w:r>
      <w:r w:rsidRPr="007A28AA">
        <w:rPr>
          <w:rFonts w:eastAsia="Calibri"/>
          <w:szCs w:val="22"/>
          <w:lang w:eastAsia="en-US"/>
        </w:rPr>
        <w:tab/>
        <w:t>imasi atitinkama dalyvaujanti valstybė narė, atsižvelgdama į įspėjimus, pateiktus jai pagal SESV 126 straipsnio 9 dalį.</w:t>
      </w:r>
    </w:p>
    <w:p w:rsidR="00733FC2" w:rsidRPr="007A28AA" w:rsidRDefault="00733FC2" w:rsidP="00733FC2">
      <w:pPr>
        <w:widowControl/>
        <w:spacing w:before="120" w:after="120" w:line="360" w:lineRule="auto"/>
        <w:ind w:left="1418" w:hanging="568"/>
        <w:rPr>
          <w:rFonts w:eastAsia="Calibri"/>
          <w:szCs w:val="22"/>
          <w:lang w:eastAsia="en-US"/>
        </w:rPr>
      </w:pPr>
      <w:r w:rsidRPr="007A28AA">
        <w:rPr>
          <w:rFonts w:eastAsia="Calibri"/>
          <w:szCs w:val="22"/>
          <w:lang w:eastAsia="en-US"/>
        </w:rPr>
        <w:t>2.</w:t>
      </w:r>
      <w:r w:rsidRPr="007A28AA">
        <w:rPr>
          <w:rFonts w:eastAsia="Calibri"/>
          <w:szCs w:val="22"/>
          <w:lang w:eastAsia="en-US"/>
        </w:rPr>
        <w:tab/>
        <w:t>Jeigu dalyvaujanti valstybė narė priemonių neįgyvendina arba jeigu Taryba mano, kad priemonės, kurių buvo imtasi, yra netinkamos, Taryba nedelsdama priima sprendimą atitinkamai pagal SESV 126 straipsnio 9 dalį arba pagal SESV 126 straipsnio 11 dalį.</w:t>
      </w:r>
    </w:p>
    <w:p w:rsidR="00733FC2" w:rsidRPr="007A28AA" w:rsidRDefault="00733FC2" w:rsidP="00733FC2">
      <w:pPr>
        <w:widowControl/>
        <w:spacing w:before="120" w:after="120" w:line="360" w:lineRule="auto"/>
        <w:ind w:left="1418" w:hanging="568"/>
        <w:rPr>
          <w:rFonts w:eastAsia="Calibri"/>
          <w:noProof/>
          <w:szCs w:val="22"/>
          <w:lang w:eastAsia="en-US"/>
        </w:rPr>
      </w:pPr>
      <w:r w:rsidRPr="007A28AA">
        <w:rPr>
          <w:rFonts w:eastAsia="Calibri"/>
          <w:szCs w:val="22"/>
          <w:lang w:eastAsia="en-US"/>
        </w:rPr>
        <w:t>3.</w:t>
      </w:r>
      <w:r w:rsidRPr="007A28AA">
        <w:rPr>
          <w:rFonts w:eastAsia="Calibri"/>
          <w:szCs w:val="22"/>
          <w:lang w:eastAsia="en-US"/>
        </w:rPr>
        <w:tab/>
        <w:t>Jeigu pagal Reglamentą (EB) Nr. 479/2009 pateikti faktiniai duomenys rodo, kad dalyvaujanti valstybė narė neištaisė perviršinio deficito per laikotarpį, kuris nurodytas arba rekomendacijose, pateiktose jai pagal SESV 126 straipsnio 7 dalį, arba įspėjimuose, pateiktuose jai pagal SESV 126 straipsnio 9 dalį, Taryba nedelsdama priima sprendimą atitinkamai pagal SESV 126 straipsnio 9 dalį arba pagal SESV 126 straipsnio 11 dalį.“;</w:t>
      </w:r>
    </w:p>
    <w:p w:rsidR="00733FC2" w:rsidRPr="007A28AA" w:rsidRDefault="00733FC2" w:rsidP="00733FC2">
      <w:pPr>
        <w:widowControl/>
        <w:spacing w:before="120" w:after="120" w:line="360" w:lineRule="auto"/>
        <w:ind w:left="850" w:hanging="850"/>
        <w:rPr>
          <w:rFonts w:eastAsia="Calibri"/>
          <w:noProof/>
          <w:szCs w:val="22"/>
          <w:lang w:eastAsia="en-US"/>
        </w:rPr>
      </w:pPr>
      <w:r w:rsidRPr="007A28AA">
        <w:rPr>
          <w:rFonts w:eastAsia="Calibri"/>
          <w:szCs w:val="22"/>
          <w:lang w:eastAsia="en-US"/>
        </w:rPr>
        <w:t>9)</w:t>
      </w:r>
      <w:r w:rsidRPr="007A28AA">
        <w:rPr>
          <w:rFonts w:eastAsia="Calibri"/>
          <w:szCs w:val="22"/>
          <w:lang w:eastAsia="en-US"/>
        </w:rPr>
        <w:tab/>
        <w:t>10a straipsnis iš dalies keičiamas taip:</w:t>
      </w:r>
    </w:p>
    <w:p w:rsidR="00733FC2" w:rsidRPr="007A28AA" w:rsidRDefault="00733FC2" w:rsidP="00733FC2">
      <w:pPr>
        <w:widowControl/>
        <w:spacing w:before="120" w:after="120" w:line="360" w:lineRule="auto"/>
        <w:ind w:left="1417" w:hanging="567"/>
        <w:rPr>
          <w:rFonts w:eastAsia="Calibri"/>
          <w:noProof/>
          <w:szCs w:val="22"/>
          <w:lang w:eastAsia="en-US"/>
        </w:rPr>
      </w:pPr>
      <w:r w:rsidRPr="007A28AA">
        <w:rPr>
          <w:rFonts w:eastAsia="Calibri"/>
          <w:szCs w:val="22"/>
          <w:lang w:eastAsia="en-US"/>
        </w:rPr>
        <w:t>a)</w:t>
      </w:r>
      <w:r w:rsidRPr="007A28AA">
        <w:rPr>
          <w:rFonts w:eastAsia="Calibri"/>
          <w:szCs w:val="22"/>
          <w:lang w:eastAsia="en-US"/>
        </w:rPr>
        <w:tab/>
        <w:t>1 dalis pakeičiama taip:</w:t>
      </w:r>
    </w:p>
    <w:p w:rsidR="00733FC2" w:rsidRPr="007A28AA" w:rsidRDefault="00733FC2" w:rsidP="00733FC2">
      <w:pPr>
        <w:widowControl/>
        <w:spacing w:before="120" w:after="120" w:line="360" w:lineRule="auto"/>
        <w:ind w:left="1985" w:hanging="567"/>
        <w:rPr>
          <w:rFonts w:eastAsia="Calibri"/>
          <w:szCs w:val="22"/>
          <w:lang w:eastAsia="en-US"/>
        </w:rPr>
      </w:pPr>
      <w:r w:rsidRPr="007A28AA">
        <w:rPr>
          <w:rFonts w:eastAsia="Calibri"/>
          <w:color w:val="000000"/>
          <w:szCs w:val="22"/>
          <w:lang w:eastAsia="en-US"/>
        </w:rPr>
        <w:t>„1.</w:t>
      </w:r>
      <w:r w:rsidRPr="007A28AA">
        <w:rPr>
          <w:rFonts w:eastAsia="Calibri"/>
          <w:color w:val="000000"/>
          <w:szCs w:val="22"/>
          <w:lang w:eastAsia="en-US"/>
        </w:rPr>
        <w:tab/>
      </w:r>
      <w:r w:rsidRPr="007A28AA">
        <w:rPr>
          <w:rFonts w:eastAsia="Calibri"/>
          <w:szCs w:val="22"/>
          <w:lang w:eastAsia="en-US"/>
        </w:rPr>
        <w:t>Atsižvelgdama į šio reglamento tikslus, Komisija užtikrina nuolatinį dialogą su valstybių narių institucijomis.</w:t>
      </w:r>
      <w:r w:rsidRPr="007A28AA">
        <w:rPr>
          <w:rFonts w:eastAsia="Calibri"/>
          <w:color w:val="000000"/>
          <w:szCs w:val="22"/>
          <w:lang w:eastAsia="en-US"/>
        </w:rPr>
        <w:t xml:space="preserve"> </w:t>
      </w:r>
      <w:r w:rsidRPr="007A28AA">
        <w:rPr>
          <w:rFonts w:eastAsia="Calibri"/>
          <w:szCs w:val="22"/>
          <w:lang w:eastAsia="en-US"/>
        </w:rPr>
        <w:t>Tuo tikslu Komisija visų pirma vykdo vizitus, skirtus faktinei ekonominei padėčiai valstybėje narėje įvertinti ir rizikai ar sunkumams, su kuriais susiduriama siekiant šio reglamento tikslų, nustatyti, ir sudaro sąlygas keistis nuomonėmis su kitais atitinkamais suinteresuotaisiais subjektais, įskaitant nacionalines nepriklausomas fiskalines institucijas.“;</w:t>
      </w:r>
    </w:p>
    <w:p w:rsidR="00733FC2" w:rsidRPr="007A28AA" w:rsidRDefault="00733FC2" w:rsidP="00733FC2">
      <w:pPr>
        <w:widowControl/>
        <w:spacing w:before="120" w:after="120" w:line="360" w:lineRule="auto"/>
        <w:ind w:left="1417" w:hanging="567"/>
        <w:rPr>
          <w:rFonts w:eastAsia="Calibri"/>
          <w:szCs w:val="22"/>
          <w:lang w:eastAsia="en-US"/>
        </w:rPr>
      </w:pPr>
      <w:r w:rsidRPr="007A28AA">
        <w:rPr>
          <w:rFonts w:eastAsia="Calibri"/>
          <w:szCs w:val="22"/>
          <w:lang w:eastAsia="en-US"/>
        </w:rPr>
        <w:t>b)</w:t>
      </w:r>
      <w:r w:rsidRPr="007A28AA">
        <w:rPr>
          <w:rFonts w:eastAsia="Calibri"/>
          <w:szCs w:val="22"/>
          <w:lang w:eastAsia="en-US"/>
        </w:rPr>
        <w:tab/>
        <w:t>2 dalis pakeičiama taip:</w:t>
      </w:r>
    </w:p>
    <w:p w:rsidR="00733FC2" w:rsidRPr="00E63F8B" w:rsidRDefault="00733FC2" w:rsidP="00733FC2">
      <w:pPr>
        <w:widowControl/>
        <w:spacing w:before="120" w:after="120" w:line="360" w:lineRule="auto"/>
        <w:ind w:left="1985" w:hanging="567"/>
        <w:rPr>
          <w:rFonts w:eastAsia="Calibri"/>
          <w:noProof/>
          <w:color w:val="000000"/>
          <w:szCs w:val="24"/>
          <w:u w:val="single"/>
          <w:lang w:eastAsia="en-US"/>
        </w:rPr>
      </w:pPr>
      <w:r w:rsidRPr="007A28AA">
        <w:rPr>
          <w:rFonts w:eastAsia="Calibri"/>
          <w:szCs w:val="22"/>
          <w:lang w:eastAsia="en-US"/>
        </w:rPr>
        <w:t>„2.</w:t>
      </w:r>
      <w:r w:rsidRPr="007A28AA">
        <w:rPr>
          <w:rFonts w:eastAsia="Calibri"/>
          <w:szCs w:val="22"/>
          <w:lang w:eastAsia="en-US"/>
        </w:rPr>
        <w:tab/>
        <w:t xml:space="preserve">Tarybai priėmus įspėjimą pagal SESV 126 straipsnio 9 dalį ir atitinkamos </w:t>
      </w:r>
      <w:r w:rsidRPr="00E63F8B">
        <w:rPr>
          <w:rFonts w:eastAsia="Calibri"/>
          <w:szCs w:val="22"/>
          <w:lang w:eastAsia="en-US"/>
        </w:rPr>
        <w:t>valstybės narės parlamento prašymu</w:t>
      </w:r>
      <w:r w:rsidRPr="007A28AA">
        <w:rPr>
          <w:rFonts w:eastAsia="Calibri"/>
          <w:szCs w:val="22"/>
          <w:lang w:eastAsia="en-US"/>
        </w:rPr>
        <w:t xml:space="preserve"> Komisija gali pateikti</w:t>
      </w:r>
      <w:r w:rsidRPr="00701466">
        <w:rPr>
          <w:rFonts w:eastAsia="Calibri"/>
          <w:szCs w:val="22"/>
          <w:lang w:eastAsia="en-US"/>
        </w:rPr>
        <w:t xml:space="preserve"> ekonominės ir fiskalinės padėties valstybėje narėje vertinimą. Valstybėms narėms, kurioms pateiktos rekomendacijos ir įspėjimai vadovaujantis sprendimu pagal SESV 126 straipsnio 8 dalį ir sprendimais pagal SESV 126 </w:t>
      </w:r>
      <w:r w:rsidRPr="00701466">
        <w:rPr>
          <w:rFonts w:eastAsia="Calibri"/>
          <w:szCs w:val="22"/>
          <w:lang w:eastAsia="en-US"/>
        </w:rPr>
        <w:lastRenderedPageBreak/>
        <w:t>straipsnio 11 dalį, stebėsenos vietoje tikslais gali būti taikoma griežtesnė priežiūra. Atitinkamos valstybės narės suteikia visą informaciją, būtiną vizitui parengti ir atlikti.“;</w:t>
      </w:r>
    </w:p>
    <w:p w:rsidR="00733FC2" w:rsidRPr="00701466" w:rsidRDefault="00733FC2" w:rsidP="00733FC2">
      <w:pPr>
        <w:widowControl/>
        <w:spacing w:before="120" w:after="120" w:line="360" w:lineRule="auto"/>
        <w:ind w:left="850" w:hanging="850"/>
        <w:rPr>
          <w:rFonts w:eastAsia="Calibri"/>
          <w:noProof/>
          <w:szCs w:val="22"/>
          <w:lang w:eastAsia="en-US"/>
        </w:rPr>
      </w:pPr>
      <w:r w:rsidRPr="007A28AA">
        <w:rPr>
          <w:rFonts w:eastAsia="Calibri"/>
          <w:szCs w:val="22"/>
          <w:lang w:eastAsia="en-US"/>
        </w:rPr>
        <w:t>10)</w:t>
      </w:r>
      <w:r w:rsidRPr="007A28AA">
        <w:rPr>
          <w:rFonts w:eastAsia="Calibri"/>
          <w:szCs w:val="22"/>
          <w:lang w:eastAsia="en-US"/>
        </w:rPr>
        <w:tab/>
        <w:t>12 straipsnis pakeičiamas taip:</w:t>
      </w:r>
    </w:p>
    <w:p w:rsidR="00733FC2" w:rsidRPr="00BA61E4" w:rsidRDefault="00733FC2" w:rsidP="00733FC2">
      <w:pPr>
        <w:keepNext/>
        <w:widowControl/>
        <w:spacing w:before="120" w:after="120" w:line="360" w:lineRule="auto"/>
        <w:ind w:left="851"/>
        <w:rPr>
          <w:rFonts w:eastAsia="Calibri"/>
          <w:noProof/>
          <w:szCs w:val="22"/>
          <w:lang w:eastAsia="en-US"/>
        </w:rPr>
      </w:pPr>
      <w:r w:rsidRPr="00BA61E4">
        <w:rPr>
          <w:rFonts w:eastAsia="Calibri"/>
          <w:szCs w:val="22"/>
          <w:lang w:eastAsia="en-US"/>
        </w:rPr>
        <w:t>„12 straipsnis</w:t>
      </w:r>
    </w:p>
    <w:p w:rsidR="00733FC2" w:rsidRPr="00701466" w:rsidRDefault="00733FC2" w:rsidP="00A25F0B">
      <w:pPr>
        <w:widowControl/>
        <w:numPr>
          <w:ilvl w:val="0"/>
          <w:numId w:val="45"/>
        </w:numPr>
        <w:spacing w:before="120" w:after="120" w:line="360" w:lineRule="auto"/>
        <w:ind w:left="1418" w:hanging="568"/>
        <w:rPr>
          <w:rFonts w:eastAsia="Calibri"/>
          <w:noProof/>
          <w:szCs w:val="22"/>
          <w:lang w:eastAsia="en-US"/>
        </w:rPr>
      </w:pPr>
      <w:r w:rsidRPr="00BA61E4">
        <w:rPr>
          <w:rFonts w:eastAsia="Calibri"/>
          <w:szCs w:val="22"/>
          <w:lang w:eastAsia="en-US"/>
        </w:rPr>
        <w:t xml:space="preserve">Baudos sumą šešių mėnesių laikotarpiu sudaro iki 0,05 % </w:t>
      </w:r>
      <w:r w:rsidRPr="00E63F8B">
        <w:rPr>
          <w:rFonts w:eastAsia="Calibri"/>
          <w:szCs w:val="22"/>
          <w:lang w:eastAsia="en-US"/>
        </w:rPr>
        <w:t xml:space="preserve">ankstesnių metų naujausiai apskaičiuoto </w:t>
      </w:r>
      <w:r w:rsidRPr="007A28AA">
        <w:rPr>
          <w:rFonts w:eastAsia="Calibri"/>
          <w:szCs w:val="22"/>
          <w:lang w:eastAsia="en-US"/>
        </w:rPr>
        <w:t>BVP ir ji mokama kas šešis mėnesius tol, kol Taryba įvertina, kad atitinkama valstybė narė ėmėsi veiksmingų priemonių atsižvelgdama į įspėjimą, pateiktą pagal SESV 126 straipsnio 9 dalį.</w:t>
      </w:r>
    </w:p>
    <w:p w:rsidR="00733FC2" w:rsidRPr="00BA61E4" w:rsidRDefault="00733FC2" w:rsidP="00733FC2">
      <w:pPr>
        <w:widowControl/>
        <w:spacing w:before="120" w:after="120" w:line="360" w:lineRule="auto"/>
        <w:ind w:left="1418" w:hanging="568"/>
        <w:rPr>
          <w:rFonts w:eastAsia="Calibri"/>
          <w:noProof/>
          <w:szCs w:val="22"/>
          <w:lang w:eastAsia="en-US"/>
        </w:rPr>
      </w:pPr>
      <w:r w:rsidRPr="00BA61E4">
        <w:rPr>
          <w:rFonts w:eastAsia="Calibri"/>
          <w:szCs w:val="22"/>
          <w:lang w:eastAsia="en-US"/>
        </w:rPr>
        <w:t>2.</w:t>
      </w:r>
      <w:r w:rsidRPr="00BA61E4">
        <w:rPr>
          <w:rFonts w:eastAsia="Calibri"/>
          <w:szCs w:val="22"/>
          <w:lang w:eastAsia="en-US"/>
        </w:rPr>
        <w:tab/>
        <w:t>Kiekvieną šešių mėnesių laikotarpį po baudos nustatymo laikotarpio iki tol, kol bus panaikintas sprendimas dėl perviršinio deficito susidarymo, Taryba įvertina, ar atitinkama dalyvaujanti valstybė narė ėmėsi veiksmingų priemonių, atsižvelgdama į Tarybos įspėjimą, pateiktą pagal SESV 126 straipsnio 9 dalį. Šiame pusmetiniame vertinime Taryba, vadovaudamasi SESV 126 straipsnio 11 dalimi, nusprendžia sugriežtinti poveikio priemones, nebent atitinkama dalyvaujanti valstybė narė būtų atsižvelgusi į Tarybos įspėjimą.“;</w:t>
      </w:r>
    </w:p>
    <w:p w:rsidR="00733FC2" w:rsidRPr="007A28AA" w:rsidRDefault="00733FC2" w:rsidP="00733FC2">
      <w:pPr>
        <w:widowControl/>
        <w:spacing w:before="120" w:after="120" w:line="360" w:lineRule="auto"/>
        <w:ind w:left="850" w:hanging="850"/>
        <w:rPr>
          <w:rFonts w:eastAsia="Calibri"/>
          <w:noProof/>
          <w:szCs w:val="22"/>
          <w:lang w:eastAsia="en-US"/>
        </w:rPr>
      </w:pPr>
      <w:r w:rsidRPr="00CE3722">
        <w:rPr>
          <w:rFonts w:eastAsia="Calibri"/>
          <w:szCs w:val="22"/>
          <w:lang w:eastAsia="en-US"/>
        </w:rPr>
        <w:t>11)</w:t>
      </w:r>
      <w:r w:rsidRPr="00CE3722">
        <w:rPr>
          <w:rFonts w:eastAsia="Calibri"/>
          <w:szCs w:val="22"/>
          <w:lang w:eastAsia="en-US"/>
        </w:rPr>
        <w:tab/>
        <w:t xml:space="preserve">14 ir 15 </w:t>
      </w:r>
      <w:r w:rsidRPr="007A28AA">
        <w:rPr>
          <w:rFonts w:eastAsia="Calibri"/>
          <w:szCs w:val="22"/>
          <w:lang w:eastAsia="en-US"/>
        </w:rPr>
        <w:t>straipsniai pakeičiami taip:</w:t>
      </w:r>
    </w:p>
    <w:p w:rsidR="00733FC2" w:rsidRPr="007A28AA" w:rsidRDefault="00733FC2" w:rsidP="00733FC2">
      <w:pPr>
        <w:keepNext/>
        <w:widowControl/>
        <w:spacing w:before="120" w:after="120" w:line="360" w:lineRule="auto"/>
        <w:ind w:left="851"/>
        <w:rPr>
          <w:rFonts w:eastAsia="Calibri"/>
          <w:noProof/>
          <w:szCs w:val="22"/>
          <w:lang w:eastAsia="en-US"/>
        </w:rPr>
      </w:pPr>
      <w:r w:rsidRPr="007A28AA">
        <w:rPr>
          <w:rFonts w:eastAsia="Calibri"/>
          <w:szCs w:val="22"/>
          <w:lang w:eastAsia="en-US"/>
        </w:rPr>
        <w:t>„14 straipsnis</w:t>
      </w:r>
    </w:p>
    <w:p w:rsidR="00733FC2" w:rsidRPr="007A28AA" w:rsidRDefault="00733FC2" w:rsidP="00733FC2">
      <w:pPr>
        <w:widowControl/>
        <w:spacing w:before="120" w:after="120" w:line="360" w:lineRule="auto"/>
        <w:ind w:left="1418" w:hanging="568"/>
        <w:rPr>
          <w:rFonts w:eastAsia="Calibri"/>
          <w:noProof/>
          <w:szCs w:val="22"/>
          <w:lang w:eastAsia="en-US"/>
        </w:rPr>
      </w:pPr>
      <w:r w:rsidRPr="007A28AA">
        <w:rPr>
          <w:rFonts w:eastAsia="Calibri"/>
          <w:szCs w:val="22"/>
          <w:lang w:eastAsia="en-US"/>
        </w:rPr>
        <w:t>1.</w:t>
      </w:r>
      <w:r w:rsidRPr="007A28AA">
        <w:rPr>
          <w:rFonts w:eastAsia="Calibri"/>
          <w:szCs w:val="22"/>
          <w:lang w:eastAsia="en-US"/>
        </w:rPr>
        <w:tab/>
        <w:t>Taryba, vadovaudamasi SESV 126 straipsnio 12 dalimi, panaikina SESV 126 straipsnio 11 dalies pirmoje ir antroje įtraukose nurodytas poveikio priemones, atsižvelgdama į atitinkamos dalyvaujančios valstybės narės pažangos, padarytos taisant perviršinį deficitą, mastą.</w:t>
      </w:r>
    </w:p>
    <w:p w:rsidR="00733FC2" w:rsidRPr="007A28AA" w:rsidRDefault="00733FC2" w:rsidP="00733FC2">
      <w:pPr>
        <w:keepNext/>
        <w:widowControl/>
        <w:spacing w:before="120" w:after="120" w:line="360" w:lineRule="auto"/>
        <w:ind w:left="851"/>
        <w:rPr>
          <w:rFonts w:eastAsia="Calibri"/>
          <w:szCs w:val="22"/>
          <w:lang w:eastAsia="en-US"/>
        </w:rPr>
      </w:pPr>
      <w:r w:rsidRPr="007A28AA">
        <w:rPr>
          <w:rFonts w:eastAsia="Calibri"/>
          <w:szCs w:val="22"/>
          <w:lang w:eastAsia="en-US"/>
        </w:rPr>
        <w:t>15 straipsnis</w:t>
      </w:r>
    </w:p>
    <w:p w:rsidR="00733FC2" w:rsidRPr="007A28AA" w:rsidRDefault="00733FC2" w:rsidP="00733FC2">
      <w:pPr>
        <w:widowControl/>
        <w:spacing w:before="120" w:after="120" w:line="360" w:lineRule="auto"/>
        <w:ind w:left="850"/>
        <w:rPr>
          <w:rFonts w:eastAsia="Calibri"/>
          <w:szCs w:val="22"/>
          <w:lang w:eastAsia="en-US"/>
        </w:rPr>
      </w:pPr>
      <w:r w:rsidRPr="007A28AA">
        <w:rPr>
          <w:rFonts w:eastAsia="Calibri"/>
          <w:szCs w:val="22"/>
          <w:lang w:eastAsia="en-US"/>
        </w:rPr>
        <w:t>Taryba, vadovaudamasi SESV 126 straipsnio 12 dalimi, panaikina visas neįgyvendintas poveikio priemones, jeigu panaikinamas sprendimas dėl perviršinio deficito susidarymo. Pagal šio reglamento 12 straipsnį paskirtos baudos atitinkamai dalyvaujančiai valstybei narei nekompensuojamos.“;</w:t>
      </w:r>
    </w:p>
    <w:p w:rsidR="00733FC2" w:rsidRPr="00E63F8B" w:rsidRDefault="00733FC2" w:rsidP="00733FC2">
      <w:pPr>
        <w:widowControl/>
        <w:spacing w:before="120" w:after="120" w:line="360" w:lineRule="auto"/>
        <w:ind w:left="850" w:hanging="850"/>
        <w:rPr>
          <w:rFonts w:eastAsia="Calibri"/>
          <w:noProof/>
          <w:szCs w:val="22"/>
          <w:lang w:eastAsia="en-US"/>
        </w:rPr>
      </w:pPr>
      <w:r w:rsidRPr="007A28AA">
        <w:rPr>
          <w:rFonts w:eastAsia="Calibri"/>
          <w:szCs w:val="22"/>
          <w:lang w:eastAsia="en-US"/>
        </w:rPr>
        <w:t>12)</w:t>
      </w:r>
      <w:r w:rsidRPr="007A28AA">
        <w:rPr>
          <w:rFonts w:eastAsia="Calibri"/>
          <w:szCs w:val="22"/>
          <w:lang w:eastAsia="en-US"/>
        </w:rPr>
        <w:tab/>
      </w:r>
      <w:r w:rsidRPr="00E63F8B">
        <w:rPr>
          <w:rFonts w:eastAsia="Calibri"/>
          <w:szCs w:val="22"/>
          <w:lang w:eastAsia="en-US"/>
        </w:rPr>
        <w:t>16 straipsnis pakeičiamas taip:</w:t>
      </w:r>
    </w:p>
    <w:p w:rsidR="00733FC2" w:rsidRPr="00E63F8B" w:rsidRDefault="00733FC2" w:rsidP="00733FC2">
      <w:pPr>
        <w:keepNext/>
        <w:widowControl/>
        <w:spacing w:before="120" w:after="120" w:line="360" w:lineRule="auto"/>
        <w:ind w:left="851"/>
        <w:rPr>
          <w:rFonts w:eastAsia="Calibri"/>
          <w:szCs w:val="22"/>
          <w:lang w:eastAsia="en-US"/>
        </w:rPr>
      </w:pPr>
      <w:r w:rsidRPr="00E63F8B">
        <w:rPr>
          <w:rFonts w:eastAsia="Calibri"/>
          <w:szCs w:val="22"/>
          <w:lang w:eastAsia="en-US"/>
        </w:rPr>
        <w:t>„16 straipsnis</w:t>
      </w:r>
    </w:p>
    <w:p w:rsidR="00733FC2" w:rsidRPr="00E63F8B" w:rsidRDefault="00733FC2" w:rsidP="00733FC2">
      <w:pPr>
        <w:widowControl/>
        <w:spacing w:before="120" w:after="120" w:line="360" w:lineRule="auto"/>
        <w:ind w:left="851"/>
        <w:rPr>
          <w:rFonts w:eastAsia="Calibri"/>
          <w:noProof/>
          <w:szCs w:val="22"/>
          <w:lang w:eastAsia="en-US"/>
        </w:rPr>
      </w:pPr>
      <w:r w:rsidRPr="00E63F8B">
        <w:rPr>
          <w:rFonts w:eastAsia="Calibri"/>
          <w:szCs w:val="22"/>
          <w:lang w:eastAsia="en-US"/>
        </w:rPr>
        <w:t>12 straipsnyje nurodytos baudos sudaro Sąjungos biudžeto bendrąsias pajamas.“;</w:t>
      </w:r>
    </w:p>
    <w:p w:rsidR="00733FC2" w:rsidRPr="00E63F8B" w:rsidRDefault="00733FC2" w:rsidP="00A25F0B">
      <w:pPr>
        <w:widowControl/>
        <w:spacing w:before="120" w:after="120" w:line="360" w:lineRule="auto"/>
        <w:rPr>
          <w:rFonts w:eastAsia="Calibri"/>
          <w:noProof/>
          <w:szCs w:val="22"/>
          <w:lang w:eastAsia="en-US"/>
        </w:rPr>
      </w:pPr>
      <w:r w:rsidRPr="00BA61E4">
        <w:rPr>
          <w:rFonts w:eastAsia="Calibri"/>
          <w:b/>
          <w:i/>
          <w:szCs w:val="22"/>
          <w:lang w:eastAsia="en-US"/>
        </w:rPr>
        <w:t>12a)</w:t>
      </w:r>
      <w:r w:rsidRPr="007A28AA">
        <w:rPr>
          <w:rFonts w:eastAsia="Calibri"/>
          <w:szCs w:val="22"/>
          <w:lang w:eastAsia="en-US"/>
        </w:rPr>
        <w:tab/>
      </w:r>
      <w:r w:rsidRPr="00E63F8B">
        <w:rPr>
          <w:rFonts w:eastAsia="Calibri"/>
          <w:szCs w:val="22"/>
          <w:lang w:eastAsia="en-US"/>
        </w:rPr>
        <w:t>17 straipsnis išbraukiamas.</w:t>
      </w:r>
    </w:p>
    <w:p w:rsidR="00733FC2" w:rsidRPr="007A28AA" w:rsidRDefault="00733FC2" w:rsidP="00733FC2">
      <w:pPr>
        <w:widowControl/>
        <w:spacing w:before="120" w:after="120" w:line="360" w:lineRule="auto"/>
        <w:ind w:left="850" w:hanging="850"/>
        <w:rPr>
          <w:rFonts w:eastAsia="Calibri"/>
          <w:noProof/>
          <w:szCs w:val="22"/>
          <w:lang w:eastAsia="en-US"/>
        </w:rPr>
      </w:pPr>
      <w:r w:rsidRPr="007A28AA">
        <w:rPr>
          <w:rFonts w:eastAsia="Calibri"/>
          <w:szCs w:val="22"/>
          <w:lang w:eastAsia="en-US"/>
        </w:rPr>
        <w:lastRenderedPageBreak/>
        <w:t>13)</w:t>
      </w:r>
      <w:r w:rsidRPr="007A28AA">
        <w:rPr>
          <w:rFonts w:eastAsia="Calibri"/>
          <w:szCs w:val="22"/>
          <w:lang w:eastAsia="en-US"/>
        </w:rPr>
        <w:tab/>
        <w:t xml:space="preserve">17a </w:t>
      </w:r>
      <w:r w:rsidRPr="00E63F8B">
        <w:rPr>
          <w:rFonts w:eastAsia="Calibri"/>
          <w:szCs w:val="22"/>
          <w:lang w:eastAsia="en-US"/>
        </w:rPr>
        <w:t>straipsnis pakeičiamas</w:t>
      </w:r>
      <w:r w:rsidRPr="007A28AA">
        <w:rPr>
          <w:rFonts w:eastAsia="Calibri"/>
          <w:szCs w:val="22"/>
          <w:lang w:eastAsia="en-US"/>
        </w:rPr>
        <w:t xml:space="preserve"> taip:</w:t>
      </w:r>
    </w:p>
    <w:p w:rsidR="00733FC2" w:rsidRPr="00E63F8B" w:rsidRDefault="00733FC2" w:rsidP="00733FC2">
      <w:pPr>
        <w:widowControl/>
        <w:spacing w:before="120" w:after="120" w:line="360" w:lineRule="auto"/>
        <w:ind w:left="1418" w:hanging="568"/>
        <w:rPr>
          <w:rFonts w:eastAsia="Calibri"/>
          <w:noProof/>
          <w:szCs w:val="22"/>
          <w:lang w:eastAsia="en-US"/>
        </w:rPr>
      </w:pPr>
      <w:r w:rsidRPr="007A28AA">
        <w:rPr>
          <w:rFonts w:eastAsia="Calibri"/>
          <w:szCs w:val="22"/>
          <w:lang w:eastAsia="en-US"/>
        </w:rPr>
        <w:t>„1.</w:t>
      </w:r>
      <w:r w:rsidRPr="007A28AA">
        <w:rPr>
          <w:rFonts w:eastAsia="Calibri"/>
          <w:szCs w:val="22"/>
          <w:lang w:eastAsia="en-US"/>
        </w:rPr>
        <w:tab/>
        <w:t xml:space="preserve">Ne vėliau kaip </w:t>
      </w:r>
      <w:r w:rsidRPr="00E63F8B">
        <w:rPr>
          <w:rFonts w:eastAsia="Calibri"/>
          <w:szCs w:val="22"/>
          <w:lang w:eastAsia="en-US"/>
        </w:rPr>
        <w:t>2030</w:t>
      </w:r>
      <w:r w:rsidRPr="007A28AA">
        <w:rPr>
          <w:rFonts w:eastAsia="Calibri"/>
          <w:szCs w:val="22"/>
          <w:lang w:eastAsia="en-US"/>
        </w:rPr>
        <w:t xml:space="preserve"> m. gruodžio 31 d., o vėliau kas penkerius metus Komisija </w:t>
      </w:r>
      <w:r w:rsidRPr="00E63F8B">
        <w:rPr>
          <w:rFonts w:eastAsia="Calibri"/>
          <w:szCs w:val="22"/>
          <w:lang w:eastAsia="en-US"/>
        </w:rPr>
        <w:t>parengia</w:t>
      </w:r>
      <w:r w:rsidRPr="007A28AA">
        <w:rPr>
          <w:rFonts w:eastAsia="Calibri"/>
          <w:szCs w:val="22"/>
          <w:lang w:eastAsia="en-US"/>
        </w:rPr>
        <w:t xml:space="preserve"> šio reglamento taikymo ataskaitą, </w:t>
      </w:r>
      <w:r w:rsidRPr="00E63F8B">
        <w:rPr>
          <w:rFonts w:eastAsia="Calibri"/>
          <w:szCs w:val="22"/>
          <w:lang w:eastAsia="en-US"/>
        </w:rPr>
        <w:t>prie kurios, kai tinkama, prideda pasiūlymą iš dalies pakeisti šį reglamentą. Komisija tą ataskaitą skelbia viešai. Ataskaitoje apžvelgiamas šio reglamento veiksmingumas siekiant 1 straipsnyje nurodytų tikslų ir pažanga, padaryta siekiant užtikrinti glaudesnį valstybių narių ekonominės politikos koordinavimą ir tvarią ekonominės veiklos rezultatų konvergenciją laikantis SESV.</w:t>
      </w:r>
    </w:p>
    <w:p w:rsidR="00733FC2" w:rsidRPr="007A28AA" w:rsidRDefault="00733FC2" w:rsidP="00733FC2">
      <w:pPr>
        <w:widowControl/>
        <w:spacing w:before="120" w:after="120" w:line="360" w:lineRule="auto"/>
        <w:ind w:left="1418" w:hanging="568"/>
        <w:rPr>
          <w:rFonts w:eastAsia="Calibri"/>
          <w:noProof/>
          <w:szCs w:val="22"/>
          <w:lang w:eastAsia="en-US"/>
        </w:rPr>
      </w:pPr>
      <w:r w:rsidRPr="007A28AA">
        <w:rPr>
          <w:rFonts w:eastAsia="Calibri"/>
          <w:szCs w:val="22"/>
          <w:lang w:eastAsia="en-US"/>
        </w:rPr>
        <w:t>3.</w:t>
      </w:r>
      <w:r w:rsidRPr="007A28AA">
        <w:rPr>
          <w:rFonts w:eastAsia="Calibri"/>
          <w:szCs w:val="22"/>
          <w:lang w:eastAsia="en-US"/>
        </w:rPr>
        <w:tab/>
        <w:t>Ataskaita perduodama Europos Parlamentui ir Tarybai.“;</w:t>
      </w:r>
    </w:p>
    <w:p w:rsidR="00733FC2" w:rsidRPr="00BA61E4" w:rsidRDefault="00733FC2" w:rsidP="00733FC2">
      <w:pPr>
        <w:widowControl/>
        <w:spacing w:before="120" w:after="120" w:line="360" w:lineRule="auto"/>
        <w:ind w:left="850" w:hanging="850"/>
        <w:rPr>
          <w:rFonts w:eastAsia="Calibri"/>
          <w:szCs w:val="22"/>
          <w:lang w:eastAsia="en-US"/>
        </w:rPr>
      </w:pPr>
      <w:r w:rsidRPr="00BA61E4">
        <w:rPr>
          <w:rFonts w:eastAsia="Calibri"/>
          <w:szCs w:val="22"/>
          <w:lang w:eastAsia="en-US"/>
        </w:rPr>
        <w:t>14)</w:t>
      </w:r>
      <w:r w:rsidRPr="00BA61E4">
        <w:rPr>
          <w:rFonts w:eastAsia="Calibri"/>
          <w:szCs w:val="22"/>
          <w:lang w:eastAsia="en-US"/>
        </w:rPr>
        <w:tab/>
        <w:t>įterpiamas 17b straipsnis:</w:t>
      </w:r>
    </w:p>
    <w:p w:rsidR="00733FC2" w:rsidRPr="007A28AA" w:rsidRDefault="00733FC2" w:rsidP="00733FC2">
      <w:pPr>
        <w:keepNext/>
        <w:widowControl/>
        <w:spacing w:before="120" w:after="120" w:line="360" w:lineRule="auto"/>
        <w:ind w:left="851"/>
        <w:rPr>
          <w:rFonts w:eastAsia="Calibri"/>
          <w:noProof/>
          <w:szCs w:val="22"/>
          <w:lang w:eastAsia="en-US"/>
        </w:rPr>
      </w:pPr>
      <w:r w:rsidRPr="007A28AA">
        <w:rPr>
          <w:rFonts w:eastAsia="Calibri"/>
          <w:szCs w:val="22"/>
          <w:lang w:eastAsia="en-US"/>
        </w:rPr>
        <w:t>„17b straipsnis</w:t>
      </w:r>
    </w:p>
    <w:p w:rsidR="00733FC2" w:rsidRPr="007A28AA" w:rsidRDefault="00733FC2" w:rsidP="00733FC2">
      <w:pPr>
        <w:widowControl/>
        <w:spacing w:before="120" w:after="120" w:line="360" w:lineRule="auto"/>
        <w:ind w:left="850"/>
        <w:rPr>
          <w:rFonts w:eastAsia="Calibri"/>
          <w:noProof/>
          <w:szCs w:val="22"/>
          <w:lang w:eastAsia="en-US"/>
        </w:rPr>
      </w:pPr>
      <w:r w:rsidRPr="007A28AA">
        <w:rPr>
          <w:rFonts w:eastAsia="Calibri"/>
          <w:szCs w:val="22"/>
          <w:lang w:eastAsia="en-US"/>
        </w:rPr>
        <w:t>Taryba, remdamasi Komisijos rekomendacija, [iš dalies keičiančio reglamento įsigaliojimo diena] priima patikslintą rekomendaciją pagal SESV 126 straipsnio 7 dalį arba patikslintą įspėjimą pagal SESV 126 straipsnio 9 dalį, skirtą valstybėms narėms, kurioms pateikta rekomendacija pagal SESV 126 straipsnio 7 dalį arba įspėjimas pagal SESV 126 straipsnio 9 dalį ir kurios ėmėsi veiksmingų priemonių.</w:t>
      </w:r>
    </w:p>
    <w:p w:rsidR="00733FC2" w:rsidRPr="007A28AA" w:rsidRDefault="00733FC2" w:rsidP="00733FC2">
      <w:pPr>
        <w:widowControl/>
        <w:spacing w:before="120" w:after="120" w:line="360" w:lineRule="auto"/>
        <w:ind w:left="850"/>
        <w:rPr>
          <w:rFonts w:eastAsia="Calibri"/>
          <w:noProof/>
          <w:szCs w:val="22"/>
          <w:lang w:eastAsia="en-US"/>
        </w:rPr>
      </w:pPr>
      <w:r w:rsidRPr="007A28AA">
        <w:rPr>
          <w:rFonts w:eastAsia="Calibri"/>
          <w:szCs w:val="22"/>
          <w:lang w:eastAsia="en-US"/>
        </w:rPr>
        <w:t>Ji priima patikslintą rekomendaciją arba įspėjimą kartu su rekomendacija pagal Reglamento (ES) [dėl prevencinės dalies] 16 straipsnį, kurioje nustatomas grynųjų išlaidų planas.“;</w:t>
      </w:r>
    </w:p>
    <w:p w:rsidR="00733FC2" w:rsidRPr="007A28AA" w:rsidRDefault="00733FC2" w:rsidP="00733FC2">
      <w:pPr>
        <w:widowControl/>
        <w:spacing w:before="120" w:after="120" w:line="360" w:lineRule="auto"/>
        <w:ind w:left="850" w:hanging="850"/>
        <w:rPr>
          <w:rFonts w:eastAsia="Calibri"/>
          <w:noProof/>
          <w:szCs w:val="22"/>
          <w:lang w:eastAsia="en-US"/>
        </w:rPr>
      </w:pPr>
      <w:r w:rsidRPr="007A28AA">
        <w:rPr>
          <w:rFonts w:eastAsia="Calibri"/>
          <w:szCs w:val="22"/>
          <w:lang w:eastAsia="en-US"/>
        </w:rPr>
        <w:t>15)</w:t>
      </w:r>
      <w:r w:rsidRPr="007A28AA">
        <w:rPr>
          <w:rFonts w:eastAsia="Calibri"/>
          <w:szCs w:val="22"/>
          <w:lang w:eastAsia="en-US"/>
        </w:rPr>
        <w:tab/>
        <w:t>priedas išbraukiamas.</w:t>
      </w:r>
    </w:p>
    <w:p w:rsidR="00733FC2" w:rsidRPr="00E63F8B" w:rsidRDefault="00733FC2" w:rsidP="00733FC2">
      <w:pPr>
        <w:keepNext/>
        <w:widowControl/>
        <w:spacing w:before="360" w:after="120" w:line="360" w:lineRule="auto"/>
        <w:jc w:val="center"/>
        <w:rPr>
          <w:rFonts w:eastAsia="Calibri"/>
          <w:noProof/>
          <w:szCs w:val="22"/>
          <w:lang w:eastAsia="en-US"/>
        </w:rPr>
      </w:pPr>
      <w:r w:rsidRPr="00E63F8B">
        <w:rPr>
          <w:rFonts w:eastAsia="Calibri"/>
          <w:szCs w:val="22"/>
          <w:lang w:eastAsia="en-US"/>
        </w:rPr>
        <w:t>2 straipsnis</w:t>
      </w:r>
      <w:r w:rsidRPr="007A28AA">
        <w:rPr>
          <w:rFonts w:eastAsia="Calibri"/>
          <w:szCs w:val="22"/>
          <w:lang w:eastAsia="en-US"/>
        </w:rPr>
        <w:br/>
        <w:t>Įsigaliojimas</w:t>
      </w:r>
    </w:p>
    <w:p w:rsidR="00733FC2" w:rsidRPr="00BA61E4" w:rsidRDefault="00733FC2" w:rsidP="00A25F0B">
      <w:pPr>
        <w:widowControl/>
        <w:spacing w:before="120" w:after="120" w:line="360" w:lineRule="auto"/>
        <w:rPr>
          <w:rFonts w:eastAsia="Calibri"/>
          <w:noProof/>
          <w:szCs w:val="22"/>
          <w:lang w:eastAsia="en-US"/>
        </w:rPr>
      </w:pPr>
      <w:r w:rsidRPr="007A28AA">
        <w:rPr>
          <w:rFonts w:eastAsia="Calibri"/>
          <w:szCs w:val="22"/>
          <w:lang w:eastAsia="en-US"/>
        </w:rPr>
        <w:t xml:space="preserve">Šis reglamentas įsigalioja </w:t>
      </w:r>
      <w:r w:rsidRPr="00E63F8B">
        <w:rPr>
          <w:rFonts w:eastAsia="Calibri"/>
          <w:szCs w:val="22"/>
          <w:lang w:eastAsia="en-US"/>
        </w:rPr>
        <w:t>kitą</w:t>
      </w:r>
      <w:r w:rsidRPr="007A28AA">
        <w:rPr>
          <w:rFonts w:eastAsia="Calibri"/>
          <w:szCs w:val="22"/>
          <w:lang w:eastAsia="en-US"/>
        </w:rPr>
        <w:t xml:space="preserve"> dieną po jo paskelbimo </w:t>
      </w:r>
      <w:r w:rsidRPr="007A28AA">
        <w:rPr>
          <w:rFonts w:eastAsia="Calibri"/>
          <w:i/>
          <w:szCs w:val="22"/>
          <w:lang w:eastAsia="en-US"/>
        </w:rPr>
        <w:t>Europos Sąjungos oficialiajame leidinyje</w:t>
      </w:r>
      <w:r w:rsidRPr="007A28AA">
        <w:rPr>
          <w:rFonts w:eastAsia="Calibri"/>
          <w:szCs w:val="22"/>
          <w:lang w:eastAsia="en-US"/>
        </w:rPr>
        <w:t xml:space="preserve"> dieną.</w:t>
      </w:r>
    </w:p>
    <w:p w:rsidR="00733FC2" w:rsidRPr="007A28AA" w:rsidRDefault="00733FC2" w:rsidP="00A25F0B">
      <w:pPr>
        <w:widowControl/>
        <w:spacing w:before="120" w:after="120" w:line="360" w:lineRule="auto"/>
        <w:rPr>
          <w:rFonts w:eastAsia="Calibri"/>
          <w:noProof/>
          <w:szCs w:val="22"/>
          <w:lang w:eastAsia="en-US"/>
        </w:rPr>
      </w:pPr>
      <w:r w:rsidRPr="007A28AA">
        <w:rPr>
          <w:rFonts w:eastAsia="Calibri"/>
          <w:szCs w:val="22"/>
          <w:lang w:eastAsia="en-US"/>
        </w:rPr>
        <w:t>Šis reglamentas privalomas visas ir tiesiogiai taikomas visose valstybėse narėse.</w:t>
      </w:r>
    </w:p>
    <w:p w:rsidR="00733FC2" w:rsidRPr="007A28AA" w:rsidRDefault="00733FC2" w:rsidP="00A25F0B">
      <w:pPr>
        <w:keepNext/>
        <w:widowControl/>
        <w:spacing w:before="120" w:after="120" w:line="360" w:lineRule="auto"/>
        <w:rPr>
          <w:rFonts w:eastAsia="Calibri"/>
          <w:noProof/>
          <w:szCs w:val="22"/>
          <w:lang w:eastAsia="en-US"/>
        </w:rPr>
      </w:pPr>
      <w:r w:rsidRPr="007A28AA">
        <w:rPr>
          <w:rFonts w:eastAsia="Calibri"/>
          <w:szCs w:val="22"/>
          <w:lang w:eastAsia="en-US"/>
        </w:rPr>
        <w:t>Priimta Briuselyje</w:t>
      </w:r>
    </w:p>
    <w:p w:rsidR="00733FC2" w:rsidRPr="00E63F8B" w:rsidRDefault="00733FC2" w:rsidP="00E63F8B">
      <w:pPr>
        <w:tabs>
          <w:tab w:val="left" w:pos="4253"/>
        </w:tabs>
        <w:spacing w:before="720"/>
        <w:rPr>
          <w:i/>
          <w:lang w:eastAsia="en-US"/>
        </w:rPr>
      </w:pPr>
      <w:r w:rsidRPr="00A56532">
        <w:rPr>
          <w:rFonts w:eastAsia="Calibri"/>
          <w:i/>
          <w:szCs w:val="22"/>
          <w:lang w:eastAsia="en-US"/>
        </w:rPr>
        <w:t>Tarybos vardu</w:t>
      </w:r>
      <w:r w:rsidR="00701466">
        <w:rPr>
          <w:rFonts w:eastAsia="Calibri"/>
          <w:i/>
          <w:szCs w:val="22"/>
          <w:lang w:eastAsia="en-US"/>
        </w:rPr>
        <w:tab/>
      </w:r>
      <w:r w:rsidRPr="00701466">
        <w:rPr>
          <w:rFonts w:eastAsia="Calibri"/>
          <w:i/>
          <w:szCs w:val="22"/>
          <w:lang w:eastAsia="en-US"/>
        </w:rPr>
        <w:t>Pirmininkas / Pirmininkė</w:t>
      </w:r>
    </w:p>
    <w:sectPr w:rsidR="00733FC2" w:rsidRPr="00E63F8B" w:rsidSect="009E7CC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0174" w:rsidRPr="009E7CC5" w:rsidRDefault="00160174">
      <w:r w:rsidRPr="009E7CC5">
        <w:separator/>
      </w:r>
    </w:p>
  </w:endnote>
  <w:endnote w:type="continuationSeparator" w:id="0">
    <w:p w:rsidR="00160174" w:rsidRPr="009E7CC5" w:rsidRDefault="00160174">
      <w:r w:rsidRPr="009E7C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0174" w:rsidRPr="009E7CC5" w:rsidRDefault="00160174">
      <w:r w:rsidRPr="009E7CC5">
        <w:separator/>
      </w:r>
    </w:p>
  </w:footnote>
  <w:footnote w:type="continuationSeparator" w:id="0">
    <w:p w:rsidR="00160174" w:rsidRPr="009E7CC5" w:rsidRDefault="00160174">
      <w:r w:rsidRPr="009E7CC5">
        <w:continuationSeparator/>
      </w:r>
    </w:p>
  </w:footnote>
  <w:footnote w:id="1">
    <w:p w:rsidR="001421F4" w:rsidRPr="009E7CC5" w:rsidRDefault="001421F4" w:rsidP="009E7CC5">
      <w:pPr>
        <w:pStyle w:val="FootnoteText"/>
        <w:ind w:left="567" w:hanging="567"/>
        <w:rPr>
          <w:sz w:val="24"/>
          <w:lang w:val="lt-LT"/>
        </w:rPr>
      </w:pPr>
      <w:r w:rsidRPr="009E7CC5">
        <w:rPr>
          <w:rStyle w:val="FootnoteReference"/>
          <w:sz w:val="24"/>
          <w:lang w:val="lt-LT"/>
        </w:rPr>
        <w:t>*</w:t>
      </w:r>
      <w:r w:rsidR="009E7CC5" w:rsidRPr="009E7CC5">
        <w:rPr>
          <w:sz w:val="24"/>
          <w:lang w:val="lt-LT"/>
        </w:rPr>
        <w:t xml:space="preserve"> </w:t>
      </w:r>
      <w:r w:rsidR="009E7CC5" w:rsidRPr="009E7CC5">
        <w:rPr>
          <w:sz w:val="24"/>
          <w:lang w:val="lt-LT"/>
        </w:rPr>
        <w:tab/>
      </w:r>
      <w:r w:rsidRPr="009E7CC5">
        <w:rPr>
          <w:sz w:val="24"/>
          <w:lang w:val="lt-LT"/>
        </w:rPr>
        <w:t>Pakeitimai: naujos arba iš dalies pakeistos teksto dalys žymimos pusjuodžiu kursyvu; išbrauktas tekstas nurodomas simboliu ▌.</w:t>
      </w:r>
    </w:p>
  </w:footnote>
  <w:footnote w:id="2">
    <w:p w:rsidR="00733FC2" w:rsidRPr="00733FC2" w:rsidRDefault="00733FC2" w:rsidP="00733FC2">
      <w:pPr>
        <w:pStyle w:val="FootnoteText"/>
        <w:ind w:left="709" w:hanging="709"/>
        <w:rPr>
          <w:sz w:val="24"/>
          <w:szCs w:val="24"/>
          <w:lang w:val="lt-LT"/>
        </w:rPr>
      </w:pPr>
      <w:r w:rsidRPr="007A2462">
        <w:rPr>
          <w:rStyle w:val="FootnoteReference"/>
          <w:sz w:val="24"/>
          <w:szCs w:val="24"/>
        </w:rPr>
        <w:footnoteRef/>
      </w:r>
      <w:r w:rsidRPr="00733FC2">
        <w:rPr>
          <w:sz w:val="24"/>
          <w:szCs w:val="24"/>
          <w:lang w:val="lt-LT"/>
        </w:rPr>
        <w:tab/>
        <w:t>OL C …, …, p. ….</w:t>
      </w:r>
    </w:p>
  </w:footnote>
  <w:footnote w:id="3">
    <w:p w:rsidR="00733FC2" w:rsidRPr="00733FC2" w:rsidRDefault="00733FC2" w:rsidP="00733FC2">
      <w:pPr>
        <w:pStyle w:val="FootnoteText"/>
        <w:ind w:left="709" w:hanging="709"/>
        <w:rPr>
          <w:sz w:val="24"/>
          <w:szCs w:val="24"/>
          <w:lang w:val="lt-LT"/>
        </w:rPr>
      </w:pPr>
      <w:r w:rsidRPr="007A2462">
        <w:rPr>
          <w:rStyle w:val="FootnoteReference"/>
          <w:sz w:val="24"/>
          <w:szCs w:val="24"/>
        </w:rPr>
        <w:footnoteRef/>
      </w:r>
      <w:r w:rsidRPr="00733FC2">
        <w:rPr>
          <w:sz w:val="24"/>
          <w:szCs w:val="24"/>
          <w:lang w:val="lt-LT"/>
        </w:rPr>
        <w:tab/>
      </w:r>
      <w:r w:rsidRPr="00E63F8B">
        <w:rPr>
          <w:sz w:val="24"/>
          <w:szCs w:val="24"/>
          <w:lang w:val="lt-LT"/>
        </w:rPr>
        <w:t>OL C 290, 2023 8 18, p. 17.</w:t>
      </w:r>
    </w:p>
  </w:footnote>
  <w:footnote w:id="4">
    <w:p w:rsidR="00733FC2" w:rsidRPr="00733FC2" w:rsidRDefault="00733FC2" w:rsidP="00733FC2">
      <w:pPr>
        <w:pStyle w:val="FootnoteText"/>
        <w:ind w:left="709" w:hanging="709"/>
        <w:rPr>
          <w:sz w:val="24"/>
          <w:szCs w:val="24"/>
          <w:lang w:val="lt-LT"/>
        </w:rPr>
      </w:pPr>
      <w:r w:rsidRPr="007A2462">
        <w:rPr>
          <w:rStyle w:val="FootnoteReference"/>
          <w:sz w:val="24"/>
          <w:szCs w:val="24"/>
        </w:rPr>
        <w:footnoteRef/>
      </w:r>
      <w:r w:rsidRPr="00733FC2">
        <w:rPr>
          <w:sz w:val="24"/>
          <w:szCs w:val="24"/>
          <w:lang w:val="lt-LT"/>
        </w:rPr>
        <w:tab/>
        <w:t>1997 m. liepos 7 d. Tarybos reglamentas (EB) Nr. 1466/97 dėl biudžeto būklės priežiūros stiprinimo ir ekonominės politikos priežiūros bei koordinavimo (OL L 209, 1997 8 2, p. 1).</w:t>
      </w:r>
    </w:p>
  </w:footnote>
  <w:footnote w:id="5">
    <w:p w:rsidR="00733FC2" w:rsidRPr="00733FC2" w:rsidRDefault="00733FC2" w:rsidP="00733FC2">
      <w:pPr>
        <w:pStyle w:val="FootnoteText"/>
        <w:ind w:left="709" w:hanging="709"/>
        <w:rPr>
          <w:sz w:val="24"/>
          <w:szCs w:val="24"/>
          <w:lang w:val="lt-LT"/>
        </w:rPr>
      </w:pPr>
      <w:r w:rsidRPr="007A2462">
        <w:rPr>
          <w:rStyle w:val="FootnoteReference"/>
          <w:sz w:val="24"/>
          <w:szCs w:val="24"/>
        </w:rPr>
        <w:footnoteRef/>
      </w:r>
      <w:r w:rsidRPr="00733FC2">
        <w:rPr>
          <w:sz w:val="24"/>
          <w:szCs w:val="24"/>
          <w:lang w:val="lt-LT"/>
        </w:rPr>
        <w:tab/>
        <w:t>1997 m. liepos 7 d. Tarybos reglamentas (EB) Nr. 1467/97 dėl perviršinio deficito procedūros įgyvendinimo paspartinimo ir paaiškinimo (OL L 209, 1997 8 2, p. 6).</w:t>
      </w:r>
    </w:p>
  </w:footnote>
  <w:footnote w:id="6">
    <w:p w:rsidR="00733FC2" w:rsidRPr="00733FC2" w:rsidRDefault="00733FC2" w:rsidP="00733FC2">
      <w:pPr>
        <w:pStyle w:val="FootnoteText"/>
        <w:ind w:left="709" w:hanging="709"/>
        <w:rPr>
          <w:sz w:val="24"/>
          <w:szCs w:val="24"/>
          <w:lang w:val="lt-LT"/>
        </w:rPr>
      </w:pPr>
      <w:r w:rsidRPr="007A2462">
        <w:rPr>
          <w:rStyle w:val="FootnoteReference"/>
          <w:sz w:val="24"/>
          <w:szCs w:val="24"/>
        </w:rPr>
        <w:footnoteRef/>
      </w:r>
      <w:r w:rsidRPr="00733FC2">
        <w:rPr>
          <w:sz w:val="24"/>
          <w:szCs w:val="24"/>
          <w:lang w:val="lt-LT"/>
        </w:rPr>
        <w:tab/>
        <w:t>1997 m. birželio 17 d. Europos Vadovų Tarybos rezoliucija dėl Stabilumo ir augimo pakto, patvirtinta Amsterdame (OL C 236, 1997 8 2, p. 1).</w:t>
      </w:r>
    </w:p>
  </w:footnote>
  <w:footnote w:id="7">
    <w:p w:rsidR="00733FC2" w:rsidRPr="00733FC2" w:rsidRDefault="00733FC2" w:rsidP="00733FC2">
      <w:pPr>
        <w:pStyle w:val="FootnoteText"/>
        <w:ind w:left="709" w:hanging="709"/>
        <w:rPr>
          <w:sz w:val="24"/>
          <w:szCs w:val="24"/>
          <w:lang w:val="lt-LT"/>
        </w:rPr>
      </w:pPr>
      <w:r w:rsidRPr="007A2462">
        <w:rPr>
          <w:rStyle w:val="FootnoteReference"/>
          <w:sz w:val="24"/>
          <w:szCs w:val="24"/>
        </w:rPr>
        <w:footnoteRef/>
      </w:r>
      <w:r w:rsidRPr="00733FC2">
        <w:rPr>
          <w:sz w:val="24"/>
          <w:szCs w:val="24"/>
          <w:lang w:val="lt-LT"/>
        </w:rPr>
        <w:tab/>
        <w:t>Europos klimato teisės akte nustatytas Sąjungos masto 2050 m. poveikio klimatui neutralumo tikslas ir reikalaujama, kad Sąjungos institucijos ir valstybės narės darytų pažangą didindamos gebėjimą prisitaikyti, o tam reikia didelių viešųjų investicijų, kad būtų sumažintas neigiamas socialinis ir ekonominis klimato kaitos poveikis ES ir jos valstybėms narėms, įskaitant neigiamą poveikį ekonomikos augimui ir fiskaliniam tvarumui.</w:t>
      </w:r>
    </w:p>
  </w:footnote>
  <w:footnote w:id="8">
    <w:p w:rsidR="00733FC2" w:rsidRPr="00733FC2" w:rsidRDefault="00733FC2" w:rsidP="00733FC2">
      <w:pPr>
        <w:pStyle w:val="FootnoteText"/>
        <w:ind w:left="709" w:hanging="709"/>
        <w:rPr>
          <w:sz w:val="24"/>
          <w:szCs w:val="24"/>
          <w:lang w:val="lt-LT"/>
        </w:rPr>
      </w:pPr>
      <w:r w:rsidRPr="007A2462">
        <w:rPr>
          <w:rStyle w:val="FootnoteReference"/>
          <w:sz w:val="24"/>
          <w:szCs w:val="24"/>
        </w:rPr>
        <w:footnoteRef/>
      </w:r>
      <w:r w:rsidRPr="00733FC2">
        <w:rPr>
          <w:sz w:val="24"/>
          <w:szCs w:val="24"/>
          <w:lang w:val="lt-LT"/>
        </w:rPr>
        <w:tab/>
        <w:t>[... m. ... ... d.] Europos Parlamento ir Tarybos reglamentas (ES) [...] [dėl veiksmingo ekonominės politikos koordinavimo ir daugiašalės biudžeto priežiūros] (OL L...,..., p ...).</w:t>
      </w:r>
    </w:p>
  </w:footnote>
  <w:footnote w:id="9">
    <w:p w:rsidR="00733FC2" w:rsidRPr="00733FC2" w:rsidRDefault="00733FC2" w:rsidP="00733FC2">
      <w:pPr>
        <w:pStyle w:val="FootnoteText"/>
        <w:ind w:left="709" w:hanging="709"/>
        <w:contextualSpacing/>
        <w:rPr>
          <w:sz w:val="24"/>
          <w:szCs w:val="24"/>
          <w:lang w:val="lt-LT"/>
        </w:rPr>
      </w:pPr>
      <w:r w:rsidRPr="007A2462">
        <w:rPr>
          <w:rStyle w:val="FootnoteReference"/>
          <w:sz w:val="24"/>
          <w:szCs w:val="24"/>
        </w:rPr>
        <w:footnoteRef/>
      </w:r>
      <w:r w:rsidRPr="00733FC2">
        <w:rPr>
          <w:sz w:val="24"/>
          <w:szCs w:val="24"/>
          <w:lang w:val="lt-LT"/>
        </w:rPr>
        <w:tab/>
        <w:t>2012 m. kovo 2 d. Sutartis dėl stabilumo, koordinavimo ir valdysenos ekonominėje ir pinigų sąjungoje.</w:t>
      </w:r>
    </w:p>
  </w:footnote>
  <w:footnote w:id="10">
    <w:p w:rsidR="00733FC2" w:rsidRPr="007A2462" w:rsidRDefault="00733FC2" w:rsidP="00733FC2">
      <w:pPr>
        <w:pStyle w:val="FootnoteText"/>
        <w:ind w:left="709" w:hanging="709"/>
        <w:rPr>
          <w:sz w:val="24"/>
          <w:szCs w:val="24"/>
        </w:rPr>
      </w:pPr>
      <w:r w:rsidRPr="007A2462">
        <w:rPr>
          <w:rStyle w:val="FootnoteReference"/>
          <w:sz w:val="24"/>
          <w:szCs w:val="24"/>
        </w:rPr>
        <w:footnoteRef/>
      </w:r>
      <w:r w:rsidRPr="007A2462">
        <w:rPr>
          <w:sz w:val="24"/>
          <w:szCs w:val="24"/>
        </w:rPr>
        <w:tab/>
        <w:t>2012 m. birželio 20 d. Komisijos komunikatas „Bendrieji nacionalinių fiskalinio koregavimo mechanizmų principai“, COM(2012)0342.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1ED095E"/>
    <w:multiLevelType w:val="hybridMultilevel"/>
    <w:tmpl w:val="953CB8CA"/>
    <w:lvl w:ilvl="0" w:tplc="580C371C">
      <w:start w:val="1"/>
      <w:numFmt w:val="decimal"/>
      <w:lvlText w:val="%1."/>
      <w:lvlJc w:val="left"/>
      <w:pPr>
        <w:ind w:left="1210" w:hanging="360"/>
      </w:pPr>
      <w:rPr>
        <w:rFonts w:hint="default"/>
      </w:rPr>
    </w:lvl>
    <w:lvl w:ilvl="1" w:tplc="080C0019" w:tentative="1">
      <w:start w:val="1"/>
      <w:numFmt w:val="lowerLetter"/>
      <w:lvlText w:val="%2."/>
      <w:lvlJc w:val="left"/>
      <w:pPr>
        <w:ind w:left="1930" w:hanging="360"/>
      </w:pPr>
    </w:lvl>
    <w:lvl w:ilvl="2" w:tplc="080C001B" w:tentative="1">
      <w:start w:val="1"/>
      <w:numFmt w:val="lowerRoman"/>
      <w:lvlText w:val="%3."/>
      <w:lvlJc w:val="right"/>
      <w:pPr>
        <w:ind w:left="2650" w:hanging="180"/>
      </w:pPr>
    </w:lvl>
    <w:lvl w:ilvl="3" w:tplc="080C000F" w:tentative="1">
      <w:start w:val="1"/>
      <w:numFmt w:val="decimal"/>
      <w:lvlText w:val="%4."/>
      <w:lvlJc w:val="left"/>
      <w:pPr>
        <w:ind w:left="3370" w:hanging="360"/>
      </w:pPr>
    </w:lvl>
    <w:lvl w:ilvl="4" w:tplc="080C0019" w:tentative="1">
      <w:start w:val="1"/>
      <w:numFmt w:val="lowerLetter"/>
      <w:lvlText w:val="%5."/>
      <w:lvlJc w:val="left"/>
      <w:pPr>
        <w:ind w:left="4090" w:hanging="360"/>
      </w:pPr>
    </w:lvl>
    <w:lvl w:ilvl="5" w:tplc="080C001B" w:tentative="1">
      <w:start w:val="1"/>
      <w:numFmt w:val="lowerRoman"/>
      <w:lvlText w:val="%6."/>
      <w:lvlJc w:val="right"/>
      <w:pPr>
        <w:ind w:left="4810" w:hanging="180"/>
      </w:pPr>
    </w:lvl>
    <w:lvl w:ilvl="6" w:tplc="080C000F" w:tentative="1">
      <w:start w:val="1"/>
      <w:numFmt w:val="decimal"/>
      <w:lvlText w:val="%7."/>
      <w:lvlJc w:val="left"/>
      <w:pPr>
        <w:ind w:left="5530" w:hanging="360"/>
      </w:pPr>
    </w:lvl>
    <w:lvl w:ilvl="7" w:tplc="080C0019" w:tentative="1">
      <w:start w:val="1"/>
      <w:numFmt w:val="lowerLetter"/>
      <w:lvlText w:val="%8."/>
      <w:lvlJc w:val="left"/>
      <w:pPr>
        <w:ind w:left="6250" w:hanging="360"/>
      </w:pPr>
    </w:lvl>
    <w:lvl w:ilvl="8" w:tplc="080C001B" w:tentative="1">
      <w:start w:val="1"/>
      <w:numFmt w:val="lowerRoman"/>
      <w:lvlText w:val="%9."/>
      <w:lvlJc w:val="right"/>
      <w:pPr>
        <w:ind w:left="697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4/2023"/>
    <w:docVar w:name="dvlangue" w:val="LT"/>
    <w:docVar w:name="dvnumam" w:val="0"/>
    <w:docVar w:name="dvpe" w:val="757.279"/>
    <w:docVar w:name="dvrapporteur" w:val="Pranešėjos: "/>
    <w:docVar w:name="dvstar" w:val="*"/>
    <w:docVar w:name="dvtitre" w:val="2024 m. balandzio XX d. Europos Parlamento teisėkūros rezoliucija dėl pasiūlymo dėl Tarybos reglamento, kuriuo iš dalies keičiamas Reglamentas (EB) Nr. 1467/97 dėl perviršinio deficito procedūros įgyvendinimo paspartinimo ir paaiškinimo(COM(2023)0241 – C9-0172/2023 – 2023/0137(CNS))"/>
  </w:docVars>
  <w:rsids>
    <w:rsidRoot w:val="00160174"/>
    <w:rsid w:val="00002272"/>
    <w:rsid w:val="00012B35"/>
    <w:rsid w:val="00036FCB"/>
    <w:rsid w:val="00064002"/>
    <w:rsid w:val="000677B9"/>
    <w:rsid w:val="000831BA"/>
    <w:rsid w:val="000939B1"/>
    <w:rsid w:val="000A42CC"/>
    <w:rsid w:val="000D4635"/>
    <w:rsid w:val="000E7DD9"/>
    <w:rsid w:val="0010095E"/>
    <w:rsid w:val="001222D8"/>
    <w:rsid w:val="00125B37"/>
    <w:rsid w:val="001421F4"/>
    <w:rsid w:val="00160174"/>
    <w:rsid w:val="00187494"/>
    <w:rsid w:val="001F32AE"/>
    <w:rsid w:val="002767FF"/>
    <w:rsid w:val="002A4359"/>
    <w:rsid w:val="002B18FE"/>
    <w:rsid w:val="002B5493"/>
    <w:rsid w:val="002D37AF"/>
    <w:rsid w:val="00343214"/>
    <w:rsid w:val="00361C00"/>
    <w:rsid w:val="00395FA1"/>
    <w:rsid w:val="003E15D4"/>
    <w:rsid w:val="00411CCE"/>
    <w:rsid w:val="0041666E"/>
    <w:rsid w:val="00421060"/>
    <w:rsid w:val="00471C19"/>
    <w:rsid w:val="004867E3"/>
    <w:rsid w:val="00494A28"/>
    <w:rsid w:val="004C0004"/>
    <w:rsid w:val="004C5D52"/>
    <w:rsid w:val="004D5D42"/>
    <w:rsid w:val="0050519A"/>
    <w:rsid w:val="005072A1"/>
    <w:rsid w:val="00514517"/>
    <w:rsid w:val="00545827"/>
    <w:rsid w:val="005533CB"/>
    <w:rsid w:val="00560270"/>
    <w:rsid w:val="00575C76"/>
    <w:rsid w:val="005973B6"/>
    <w:rsid w:val="005C2568"/>
    <w:rsid w:val="006037C0"/>
    <w:rsid w:val="006631B6"/>
    <w:rsid w:val="00680424"/>
    <w:rsid w:val="00680577"/>
    <w:rsid w:val="006F74FA"/>
    <w:rsid w:val="00701466"/>
    <w:rsid w:val="00731ADD"/>
    <w:rsid w:val="00733FC2"/>
    <w:rsid w:val="00734777"/>
    <w:rsid w:val="00747932"/>
    <w:rsid w:val="00751A4A"/>
    <w:rsid w:val="00756632"/>
    <w:rsid w:val="00762C74"/>
    <w:rsid w:val="00775DFE"/>
    <w:rsid w:val="00786EC0"/>
    <w:rsid w:val="007A28AA"/>
    <w:rsid w:val="007D1690"/>
    <w:rsid w:val="007E22AD"/>
    <w:rsid w:val="00817416"/>
    <w:rsid w:val="00842779"/>
    <w:rsid w:val="008549D1"/>
    <w:rsid w:val="00865F67"/>
    <w:rsid w:val="00881702"/>
    <w:rsid w:val="00881A7B"/>
    <w:rsid w:val="008840E5"/>
    <w:rsid w:val="00887B3E"/>
    <w:rsid w:val="008C2AC6"/>
    <w:rsid w:val="008F2DB8"/>
    <w:rsid w:val="00930C23"/>
    <w:rsid w:val="0093193B"/>
    <w:rsid w:val="009509D8"/>
    <w:rsid w:val="00950B64"/>
    <w:rsid w:val="00981893"/>
    <w:rsid w:val="009E7CC5"/>
    <w:rsid w:val="00A1687D"/>
    <w:rsid w:val="00A25F0B"/>
    <w:rsid w:val="00A43E52"/>
    <w:rsid w:val="00A445E5"/>
    <w:rsid w:val="00A4678D"/>
    <w:rsid w:val="00A56532"/>
    <w:rsid w:val="00A778C7"/>
    <w:rsid w:val="00AB441E"/>
    <w:rsid w:val="00AB6293"/>
    <w:rsid w:val="00AE0928"/>
    <w:rsid w:val="00AF3B82"/>
    <w:rsid w:val="00B12E95"/>
    <w:rsid w:val="00B22876"/>
    <w:rsid w:val="00B558F0"/>
    <w:rsid w:val="00BA61E4"/>
    <w:rsid w:val="00BD48FE"/>
    <w:rsid w:val="00BD6A30"/>
    <w:rsid w:val="00BD7BD8"/>
    <w:rsid w:val="00BE6ADC"/>
    <w:rsid w:val="00C05BFE"/>
    <w:rsid w:val="00C23CD4"/>
    <w:rsid w:val="00C61C0C"/>
    <w:rsid w:val="00C941CB"/>
    <w:rsid w:val="00CC2357"/>
    <w:rsid w:val="00CE3722"/>
    <w:rsid w:val="00CF071A"/>
    <w:rsid w:val="00D058B8"/>
    <w:rsid w:val="00D05911"/>
    <w:rsid w:val="00D56C11"/>
    <w:rsid w:val="00D834A0"/>
    <w:rsid w:val="00D872DF"/>
    <w:rsid w:val="00D91E21"/>
    <w:rsid w:val="00DA7FCD"/>
    <w:rsid w:val="00E00BCE"/>
    <w:rsid w:val="00E365E1"/>
    <w:rsid w:val="00E445F4"/>
    <w:rsid w:val="00E605DD"/>
    <w:rsid w:val="00E63F8B"/>
    <w:rsid w:val="00E820A4"/>
    <w:rsid w:val="00EB006A"/>
    <w:rsid w:val="00EB4772"/>
    <w:rsid w:val="00ED169E"/>
    <w:rsid w:val="00ED4235"/>
    <w:rsid w:val="00EE6C42"/>
    <w:rsid w:val="00F04346"/>
    <w:rsid w:val="00F075DC"/>
    <w:rsid w:val="00F149E9"/>
    <w:rsid w:val="00F5134D"/>
    <w:rsid w:val="00F60D1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94ECA2A-C785-4DE3-BAFD-92D74B8EC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421F4"/>
    <w:pPr>
      <w:spacing w:before="480" w:after="240"/>
    </w:pPr>
  </w:style>
  <w:style w:type="paragraph" w:customStyle="1" w:styleId="NormalBold">
    <w:name w:val="NormalBold"/>
    <w:basedOn w:val="Normal"/>
    <w:rsid w:val="001421F4"/>
    <w:rPr>
      <w:b/>
    </w:rPr>
  </w:style>
  <w:style w:type="paragraph" w:customStyle="1" w:styleId="NormalHanging12a">
    <w:name w:val="NormalHanging12a"/>
    <w:basedOn w:val="Normal"/>
    <w:rsid w:val="001421F4"/>
    <w:pPr>
      <w:spacing w:after="240"/>
      <w:ind w:left="567" w:hanging="567"/>
    </w:pPr>
  </w:style>
  <w:style w:type="paragraph" w:customStyle="1" w:styleId="AmNumberTabs">
    <w:name w:val="AmNumberTabs"/>
    <w:basedOn w:val="Normal"/>
    <w:rsid w:val="001421F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Center12a">
    <w:name w:val="NormalCenter12a"/>
    <w:basedOn w:val="Normal"/>
    <w:rsid w:val="001421F4"/>
    <w:pPr>
      <w:spacing w:after="240"/>
      <w:jc w:val="center"/>
    </w:pPr>
  </w:style>
  <w:style w:type="paragraph" w:customStyle="1" w:styleId="AmHeadingConsam">
    <w:name w:val="AmHeadingConsam"/>
    <w:basedOn w:val="Normal"/>
    <w:next w:val="NormalCenter12a"/>
    <w:rsid w:val="001421F4"/>
    <w:pPr>
      <w:spacing w:before="720" w:after="240"/>
      <w:jc w:val="center"/>
    </w:pPr>
  </w:style>
  <w:style w:type="paragraph" w:customStyle="1" w:styleId="Statut">
    <w:name w:val="Statut"/>
    <w:basedOn w:val="Normal"/>
    <w:next w:val="Normal"/>
    <w:rsid w:val="001421F4"/>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1421F4"/>
    <w:pPr>
      <w:widowControl/>
      <w:ind w:left="5103"/>
    </w:pPr>
    <w:rPr>
      <w:rFonts w:eastAsiaTheme="minorHAnsi"/>
      <w:szCs w:val="22"/>
      <w:lang w:eastAsia="en-US"/>
    </w:rPr>
  </w:style>
  <w:style w:type="paragraph" w:customStyle="1" w:styleId="Typedudocument">
    <w:name w:val="Type du document"/>
    <w:basedOn w:val="Normal"/>
    <w:next w:val="Normal"/>
    <w:rsid w:val="001421F4"/>
    <w:pPr>
      <w:widowControl/>
      <w:spacing w:before="360"/>
      <w:jc w:val="center"/>
    </w:pPr>
    <w:rPr>
      <w:rFonts w:eastAsiaTheme="minorHAnsi"/>
      <w:b/>
      <w:szCs w:val="22"/>
      <w:lang w:eastAsia="en-US"/>
    </w:rPr>
  </w:style>
  <w:style w:type="paragraph" w:customStyle="1" w:styleId="Text1">
    <w:name w:val="Text 1"/>
    <w:basedOn w:val="Normal"/>
    <w:rsid w:val="001421F4"/>
    <w:pPr>
      <w:widowControl/>
      <w:spacing w:before="120" w:after="120"/>
      <w:ind w:left="850"/>
      <w:jc w:val="both"/>
    </w:pPr>
    <w:rPr>
      <w:rFonts w:eastAsiaTheme="minorHAnsi"/>
      <w:szCs w:val="22"/>
      <w:lang w:eastAsia="en-US"/>
    </w:rPr>
  </w:style>
  <w:style w:type="paragraph" w:customStyle="1" w:styleId="Text2">
    <w:name w:val="Text 2"/>
    <w:basedOn w:val="Normal"/>
    <w:rsid w:val="001421F4"/>
    <w:pPr>
      <w:widowControl/>
      <w:spacing w:before="120" w:after="120"/>
      <w:ind w:left="1417"/>
      <w:jc w:val="both"/>
    </w:pPr>
    <w:rPr>
      <w:rFonts w:eastAsiaTheme="minorHAnsi"/>
      <w:szCs w:val="22"/>
      <w:lang w:eastAsia="en-US"/>
    </w:rPr>
  </w:style>
  <w:style w:type="paragraph" w:customStyle="1" w:styleId="Point0">
    <w:name w:val="Point 0"/>
    <w:basedOn w:val="Normal"/>
    <w:rsid w:val="001421F4"/>
    <w:pPr>
      <w:widowControl/>
      <w:spacing w:before="120" w:after="120"/>
      <w:ind w:left="850" w:hanging="850"/>
      <w:jc w:val="both"/>
    </w:pPr>
    <w:rPr>
      <w:rFonts w:eastAsiaTheme="minorHAnsi"/>
      <w:szCs w:val="22"/>
      <w:lang w:eastAsia="en-US"/>
    </w:rPr>
  </w:style>
  <w:style w:type="paragraph" w:customStyle="1" w:styleId="Point1">
    <w:name w:val="Point 1"/>
    <w:basedOn w:val="Normal"/>
    <w:rsid w:val="001421F4"/>
    <w:pPr>
      <w:widowControl/>
      <w:spacing w:before="120" w:after="120"/>
      <w:ind w:left="1417" w:hanging="567"/>
      <w:jc w:val="both"/>
    </w:pPr>
    <w:rPr>
      <w:rFonts w:eastAsiaTheme="minorHAnsi"/>
      <w:szCs w:val="22"/>
      <w:lang w:eastAsia="en-US"/>
    </w:rPr>
  </w:style>
  <w:style w:type="paragraph" w:customStyle="1" w:styleId="Point2">
    <w:name w:val="Point 2"/>
    <w:basedOn w:val="Normal"/>
    <w:rsid w:val="001421F4"/>
    <w:pPr>
      <w:widowControl/>
      <w:spacing w:before="120" w:after="120"/>
      <w:ind w:left="1984" w:hanging="567"/>
      <w:jc w:val="both"/>
    </w:pPr>
    <w:rPr>
      <w:rFonts w:eastAsiaTheme="minorHAnsi"/>
      <w:szCs w:val="22"/>
      <w:lang w:eastAsia="en-US"/>
    </w:rPr>
  </w:style>
  <w:style w:type="paragraph" w:customStyle="1" w:styleId="Applicationdirecte">
    <w:name w:val="Application directe"/>
    <w:basedOn w:val="Normal"/>
    <w:next w:val="Fait"/>
    <w:rsid w:val="001421F4"/>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1421F4"/>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1421F4"/>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1421F4"/>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1421F4"/>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1421F4"/>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1421F4"/>
    <w:pPr>
      <w:widowControl/>
      <w:tabs>
        <w:tab w:val="left" w:pos="4252"/>
      </w:tabs>
    </w:pPr>
    <w:rPr>
      <w:rFonts w:eastAsiaTheme="minorHAnsi"/>
      <w:i/>
      <w:szCs w:val="22"/>
      <w:lang w:eastAsia="en-US"/>
    </w:rPr>
  </w:style>
  <w:style w:type="paragraph" w:customStyle="1" w:styleId="Titrearticle">
    <w:name w:val="Titre article"/>
    <w:basedOn w:val="Normal"/>
    <w:next w:val="Normal"/>
    <w:rsid w:val="001421F4"/>
    <w:pPr>
      <w:keepNext/>
      <w:widowControl/>
      <w:spacing w:before="360" w:after="120"/>
      <w:jc w:val="center"/>
    </w:pPr>
    <w:rPr>
      <w:rFonts w:eastAsiaTheme="minorHAnsi"/>
      <w:i/>
      <w:szCs w:val="22"/>
      <w:lang w:eastAsia="en-US"/>
    </w:rPr>
  </w:style>
  <w:style w:type="paragraph" w:customStyle="1" w:styleId="Titreobjet">
    <w:name w:val="Titre objet"/>
    <w:basedOn w:val="Normal"/>
    <w:next w:val="Normal"/>
    <w:rsid w:val="001421F4"/>
    <w:pPr>
      <w:widowControl/>
      <w:spacing w:before="360" w:after="360"/>
      <w:jc w:val="center"/>
    </w:pPr>
    <w:rPr>
      <w:rFonts w:eastAsiaTheme="minorHAnsi"/>
      <w:b/>
      <w:szCs w:val="22"/>
      <w:lang w:eastAsia="en-US"/>
    </w:rPr>
  </w:style>
  <w:style w:type="paragraph" w:styleId="BalloonText">
    <w:name w:val="Balloon Text"/>
    <w:basedOn w:val="Normal"/>
    <w:link w:val="BalloonTextChar"/>
    <w:rsid w:val="00E445F4"/>
    <w:rPr>
      <w:rFonts w:ascii="Segoe UI" w:hAnsi="Segoe UI" w:cs="Segoe UI"/>
      <w:sz w:val="18"/>
      <w:szCs w:val="18"/>
    </w:rPr>
  </w:style>
  <w:style w:type="character" w:customStyle="1" w:styleId="BalloonTextChar">
    <w:name w:val="Balloon Text Char"/>
    <w:basedOn w:val="DefaultParagraphFont"/>
    <w:link w:val="BalloonText"/>
    <w:rsid w:val="00E445F4"/>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677F92-851D-4E9E-9915-D46ADC42EC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Pages>
  <Words>4572</Words>
  <Characters>31288</Characters>
  <Application>Microsoft Office Word</Application>
  <DocSecurity>0</DocSecurity>
  <Lines>260</Lines>
  <Paragraphs>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BINKEVICIUTE Aurelija</cp:lastModifiedBy>
  <cp:revision>3</cp:revision>
  <cp:lastPrinted>2004-11-19T15:42:00Z</cp:lastPrinted>
  <dcterms:created xsi:type="dcterms:W3CDTF">2024-04-23T13:38:00Z</dcterms:created>
  <dcterms:modified xsi:type="dcterms:W3CDTF">2024-09-04T14:31:00Z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A9-0444/2023</vt:lpwstr>
  </property>
  <property fmtid="{D5CDD505-2E9C-101B-9397-08002B2CF9AE}" pid="4" name="&lt;Type&gt;">
    <vt:lpwstr>RR</vt:lpwstr>
  </property>
</Properties>
</file>