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28E6" w14:paraId="430861FB" w14:textId="77777777" w:rsidTr="0010095E">
        <w:trPr>
          <w:trHeight w:hRule="exact" w:val="1418"/>
        </w:trPr>
        <w:tc>
          <w:tcPr>
            <w:tcW w:w="6804" w:type="dxa"/>
            <w:shd w:val="clear" w:color="auto" w:fill="auto"/>
            <w:vAlign w:val="center"/>
          </w:tcPr>
          <w:p w14:paraId="35D8735E" w14:textId="77777777" w:rsidR="00751A4A" w:rsidRPr="00B528E6" w:rsidRDefault="008A6A10" w:rsidP="0010095E">
            <w:pPr>
              <w:pStyle w:val="EPName"/>
            </w:pPr>
            <w:r w:rsidRPr="00B528E6">
              <w:t>Parlamentul European</w:t>
            </w:r>
          </w:p>
          <w:p w14:paraId="4BCEA9A6" w14:textId="77777777" w:rsidR="00751A4A" w:rsidRPr="00B528E6" w:rsidRDefault="00817416" w:rsidP="00756632">
            <w:pPr>
              <w:pStyle w:val="EPTerm"/>
              <w:rPr>
                <w:rStyle w:val="HideTWBExt"/>
                <w:noProof w:val="0"/>
                <w:vanish w:val="0"/>
                <w:color w:val="auto"/>
              </w:rPr>
            </w:pPr>
            <w:r w:rsidRPr="00B528E6">
              <w:t>2019-2024</w:t>
            </w:r>
          </w:p>
        </w:tc>
        <w:tc>
          <w:tcPr>
            <w:tcW w:w="2268" w:type="dxa"/>
            <w:shd w:val="clear" w:color="auto" w:fill="auto"/>
          </w:tcPr>
          <w:p w14:paraId="524F309A" w14:textId="77777777" w:rsidR="00751A4A" w:rsidRPr="00B528E6" w:rsidRDefault="00187494" w:rsidP="0010095E">
            <w:pPr>
              <w:pStyle w:val="EPLogo"/>
            </w:pPr>
            <w:r w:rsidRPr="00B528E6">
              <w:rPr>
                <w:noProof/>
                <w:lang w:eastAsia="ro-RO"/>
              </w:rPr>
              <w:drawing>
                <wp:inline distT="0" distB="0" distL="0" distR="0" wp14:anchorId="48B8979A" wp14:editId="6C9CBB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A3B273" w14:textId="77777777" w:rsidR="00D058B8" w:rsidRPr="00B528E6" w:rsidRDefault="00D058B8" w:rsidP="004C5D52">
      <w:pPr>
        <w:pStyle w:val="LineTop"/>
      </w:pPr>
    </w:p>
    <w:p w14:paraId="2A01BE92" w14:textId="77777777" w:rsidR="00680577" w:rsidRPr="00B528E6" w:rsidRDefault="008A6A10" w:rsidP="00680577">
      <w:pPr>
        <w:pStyle w:val="EPBodyTA1"/>
      </w:pPr>
      <w:r w:rsidRPr="00B528E6">
        <w:t>TEXTE ADOPTATE</w:t>
      </w:r>
    </w:p>
    <w:p w14:paraId="1FF8A3E2" w14:textId="77777777" w:rsidR="00D058B8" w:rsidRPr="00B528E6" w:rsidRDefault="00D058B8" w:rsidP="00D058B8">
      <w:pPr>
        <w:pStyle w:val="LineBottom"/>
      </w:pPr>
    </w:p>
    <w:p w14:paraId="20B3DB76" w14:textId="307B8592" w:rsidR="008A6A10" w:rsidRPr="00B528E6" w:rsidRDefault="008A6A10" w:rsidP="008A6A10">
      <w:pPr>
        <w:pStyle w:val="ATHeading1"/>
      </w:pPr>
      <w:bookmarkStart w:id="0" w:name="TANumber"/>
      <w:r w:rsidRPr="00B528E6">
        <w:t>P9_TA(2024)0</w:t>
      </w:r>
      <w:bookmarkEnd w:id="0"/>
      <w:r w:rsidR="00B528E6">
        <w:t>312</w:t>
      </w:r>
    </w:p>
    <w:p w14:paraId="2EF706D9" w14:textId="6E2819A0" w:rsidR="008A6A10" w:rsidRPr="00B528E6" w:rsidRDefault="00234EB8" w:rsidP="008A6A10">
      <w:pPr>
        <w:pStyle w:val="ATHeading2"/>
      </w:pPr>
      <w:bookmarkStart w:id="1" w:name="title"/>
      <w:r w:rsidRPr="00B528E6">
        <w:t>A</w:t>
      </w:r>
      <w:r w:rsidR="008A6A10" w:rsidRPr="00B528E6">
        <w:t>ccelerarea și clarificarea aplicării procedurii de deficit excesiv</w:t>
      </w:r>
      <w:bookmarkEnd w:id="1"/>
      <w:r w:rsidRPr="00B528E6">
        <w:t xml:space="preserve"> – regulament de modificare</w:t>
      </w:r>
    </w:p>
    <w:p w14:paraId="55CE8986" w14:textId="48B04BEB" w:rsidR="008A6A10" w:rsidRPr="00B528E6" w:rsidRDefault="008A6A10" w:rsidP="008A6A10">
      <w:pPr>
        <w:rPr>
          <w:i/>
          <w:vanish/>
        </w:rPr>
      </w:pPr>
      <w:r w:rsidRPr="00B528E6">
        <w:rPr>
          <w:i/>
        </w:rPr>
        <w:fldChar w:fldCharType="begin"/>
      </w:r>
      <w:r w:rsidRPr="00B528E6">
        <w:rPr>
          <w:i/>
        </w:rPr>
        <w:instrText xml:space="preserve"> TC"(</w:instrText>
      </w:r>
      <w:bookmarkStart w:id="2" w:name="DocNumber"/>
      <w:r w:rsidRPr="00B528E6">
        <w:rPr>
          <w:i/>
        </w:rPr>
        <w:instrText>A9-0444/2023</w:instrText>
      </w:r>
      <w:bookmarkEnd w:id="2"/>
      <w:r w:rsidRPr="00B528E6">
        <w:rPr>
          <w:i/>
        </w:rPr>
        <w:instrText xml:space="preserve"> - Raportori: Markus Ferber, Margarida Marques)"\l3 \n&gt; \* MERGEFORMAT </w:instrText>
      </w:r>
      <w:r w:rsidRPr="00B528E6">
        <w:rPr>
          <w:i/>
        </w:rPr>
        <w:fldChar w:fldCharType="end"/>
      </w:r>
    </w:p>
    <w:p w14:paraId="6F7EB996" w14:textId="77777777" w:rsidR="008A6A10" w:rsidRPr="00B528E6" w:rsidRDefault="008A6A10" w:rsidP="008A6A10">
      <w:pPr>
        <w:rPr>
          <w:vanish/>
        </w:rPr>
      </w:pPr>
      <w:bookmarkStart w:id="3" w:name="Commission"/>
      <w:r w:rsidRPr="00B528E6">
        <w:rPr>
          <w:vanish/>
        </w:rPr>
        <w:t>Comisia pentru afaceri economice și monetare</w:t>
      </w:r>
      <w:bookmarkEnd w:id="3"/>
    </w:p>
    <w:p w14:paraId="6BA29C83" w14:textId="77777777" w:rsidR="008A6A10" w:rsidRPr="00B528E6" w:rsidRDefault="008A6A10" w:rsidP="008A6A10">
      <w:pPr>
        <w:rPr>
          <w:vanish/>
        </w:rPr>
      </w:pPr>
      <w:bookmarkStart w:id="4" w:name="PE"/>
      <w:r w:rsidRPr="00B528E6">
        <w:rPr>
          <w:vanish/>
        </w:rPr>
        <w:t>PE757.279</w:t>
      </w:r>
      <w:bookmarkEnd w:id="4"/>
    </w:p>
    <w:p w14:paraId="585B3284" w14:textId="26E9A8C4" w:rsidR="008A6A10" w:rsidRPr="00B528E6" w:rsidRDefault="008A6A10" w:rsidP="008A6A10">
      <w:pPr>
        <w:pStyle w:val="ATHeading3"/>
      </w:pPr>
      <w:bookmarkStart w:id="5" w:name="Sujet"/>
      <w:r w:rsidRPr="00B528E6">
        <w:t>Rezoluția legislativă a Parlamentului European din 23 aprilie 2024 referitoare la propunerea de regulament al Consiliului de modificare a Regulamentului (CE) nr. 1467/97 privind accelerarea și clarificarea aplicării procedurii de deficit excesiv</w:t>
      </w:r>
      <w:bookmarkEnd w:id="5"/>
      <w:r w:rsidRPr="00B528E6">
        <w:t xml:space="preserve"> </w:t>
      </w:r>
      <w:bookmarkStart w:id="6" w:name="References"/>
      <w:r w:rsidR="00192958" w:rsidRPr="00B528E6">
        <w:t>(15876/2023 – C9-0005/2024 – 2023/0137(CNS))</w:t>
      </w:r>
      <w:bookmarkEnd w:id="6"/>
    </w:p>
    <w:p w14:paraId="3DADE591" w14:textId="77777777" w:rsidR="008A6A10" w:rsidRPr="00B528E6" w:rsidRDefault="008A6A10" w:rsidP="008A6A10"/>
    <w:p w14:paraId="534CCFEE" w14:textId="77777777" w:rsidR="009B3208" w:rsidRPr="00B528E6" w:rsidRDefault="009B3208" w:rsidP="009B3208">
      <w:pPr>
        <w:pStyle w:val="NormalBold"/>
      </w:pPr>
      <w:bookmarkStart w:id="7" w:name="TextBodyBegin"/>
      <w:bookmarkEnd w:id="7"/>
      <w:r w:rsidRPr="00B528E6">
        <w:t>(Procedură legislativă specială - consultare)</w:t>
      </w:r>
    </w:p>
    <w:p w14:paraId="44D1B8A6" w14:textId="77777777" w:rsidR="009B3208" w:rsidRPr="00B528E6" w:rsidRDefault="009B3208" w:rsidP="009B3208">
      <w:pPr>
        <w:pStyle w:val="EPComma"/>
      </w:pPr>
      <w:r w:rsidRPr="00B528E6">
        <w:rPr>
          <w:i/>
          <w:iCs/>
        </w:rPr>
        <w:t>Parlamentul European</w:t>
      </w:r>
      <w:r w:rsidRPr="00B528E6">
        <w:t>,</w:t>
      </w:r>
    </w:p>
    <w:p w14:paraId="3CA59451" w14:textId="76BAB318" w:rsidR="009B3208" w:rsidRPr="00B528E6" w:rsidRDefault="009B3208" w:rsidP="009B3208">
      <w:pPr>
        <w:pStyle w:val="NormalHanging12a"/>
      </w:pPr>
      <w:r w:rsidRPr="00B528E6">
        <w:t>–</w:t>
      </w:r>
      <w:r w:rsidRPr="00B528E6">
        <w:tab/>
        <w:t xml:space="preserve">având în vedere </w:t>
      </w:r>
      <w:r w:rsidR="00192958" w:rsidRPr="00B528E6">
        <w:t>proiectul</w:t>
      </w:r>
      <w:r w:rsidRPr="00B528E6">
        <w:t xml:space="preserve"> Consiliului </w:t>
      </w:r>
      <w:r w:rsidR="00192958" w:rsidRPr="00B528E6">
        <w:t>(15876/2023)</w:t>
      </w:r>
      <w:r w:rsidRPr="00B528E6">
        <w:t>,</w:t>
      </w:r>
    </w:p>
    <w:p w14:paraId="3737C35D" w14:textId="7375A816" w:rsidR="009B3208" w:rsidRPr="00B528E6" w:rsidRDefault="009B3208" w:rsidP="009B3208">
      <w:pPr>
        <w:pStyle w:val="NormalHanging12a"/>
      </w:pPr>
      <w:r w:rsidRPr="00B528E6">
        <w:t>–</w:t>
      </w:r>
      <w:r w:rsidRPr="00B528E6">
        <w:tab/>
        <w:t xml:space="preserve">având în vedere articolul 126 alineatul (14) al doilea paragraf din Tratatul privind funcționarea Uniunii Europene, în temeiul căruia a fost consultat de către Consiliu </w:t>
      </w:r>
      <w:r w:rsidR="00192958" w:rsidRPr="00B528E6">
        <w:t>(C9</w:t>
      </w:r>
      <w:r w:rsidR="00192958" w:rsidRPr="00B528E6">
        <w:noBreakHyphen/>
        <w:t>0005/2024)</w:t>
      </w:r>
      <w:r w:rsidRPr="00B528E6">
        <w:t>,</w:t>
      </w:r>
    </w:p>
    <w:p w14:paraId="714E9BC0" w14:textId="77777777" w:rsidR="009B3208" w:rsidRPr="00B528E6" w:rsidRDefault="009B3208" w:rsidP="009B3208">
      <w:pPr>
        <w:pStyle w:val="NormalHanging12a"/>
      </w:pPr>
      <w:r w:rsidRPr="00B528E6">
        <w:t>–</w:t>
      </w:r>
      <w:r w:rsidRPr="00B528E6">
        <w:tab/>
        <w:t>având în vedere articolul 82 din Regulamentul său de procedură,</w:t>
      </w:r>
    </w:p>
    <w:p w14:paraId="6FBA1433" w14:textId="77777777" w:rsidR="009B3208" w:rsidRPr="00B528E6" w:rsidRDefault="009B3208" w:rsidP="009B3208">
      <w:pPr>
        <w:pStyle w:val="NormalHanging12a"/>
      </w:pPr>
      <w:r w:rsidRPr="00B528E6">
        <w:t>–</w:t>
      </w:r>
      <w:r w:rsidRPr="00B528E6">
        <w:tab/>
        <w:t>având în vedere scrisoarea Comisiei pentru bugete,</w:t>
      </w:r>
    </w:p>
    <w:p w14:paraId="50A5E7AE" w14:textId="77777777" w:rsidR="009B3208" w:rsidRPr="00B528E6" w:rsidRDefault="009B3208" w:rsidP="009B3208">
      <w:pPr>
        <w:pStyle w:val="NormalHanging12a"/>
      </w:pPr>
      <w:r w:rsidRPr="00B528E6">
        <w:t>–</w:t>
      </w:r>
      <w:r w:rsidRPr="00B528E6">
        <w:tab/>
        <w:t>având în vedere raportul Comisiei pentru afaceri economice și monetare (A9-0444/2023),</w:t>
      </w:r>
    </w:p>
    <w:p w14:paraId="07B5E17F" w14:textId="03BE4450" w:rsidR="009B3208" w:rsidRPr="00B528E6" w:rsidRDefault="009B3208" w:rsidP="009B3208">
      <w:pPr>
        <w:pStyle w:val="NormalHanging12a"/>
      </w:pPr>
      <w:r w:rsidRPr="00B528E6">
        <w:t>1.</w:t>
      </w:r>
      <w:r w:rsidRPr="00B528E6">
        <w:tab/>
        <w:t xml:space="preserve">aprobă </w:t>
      </w:r>
      <w:r w:rsidR="00192958" w:rsidRPr="00B528E6">
        <w:t>proiectul Consiliului</w:t>
      </w:r>
      <w:r w:rsidR="00014076" w:rsidRPr="00B528E6">
        <w:rPr>
          <w:noProof/>
          <w:szCs w:val="24"/>
        </w:rPr>
        <w:t xml:space="preserve"> astfel cum a fost modificat</w:t>
      </w:r>
      <w:r w:rsidRPr="00B528E6">
        <w:t>;</w:t>
      </w:r>
    </w:p>
    <w:p w14:paraId="5D77E64E" w14:textId="0AF5EF7C" w:rsidR="009B3208" w:rsidRPr="00B528E6" w:rsidRDefault="00192958" w:rsidP="009B3208">
      <w:pPr>
        <w:pStyle w:val="NormalHanging12a"/>
      </w:pPr>
      <w:r w:rsidRPr="00B528E6">
        <w:t>2</w:t>
      </w:r>
      <w:r w:rsidR="009B3208" w:rsidRPr="00B528E6">
        <w:t>.</w:t>
      </w:r>
      <w:r w:rsidR="009B3208" w:rsidRPr="00B528E6">
        <w:tab/>
        <w:t>invită Consiliul să informeze Parlamentul în cazul în care intenționează să se îndepărteze de la textul aprobat de acesta;</w:t>
      </w:r>
    </w:p>
    <w:p w14:paraId="5BCB1567" w14:textId="18520E80" w:rsidR="009B3208" w:rsidRPr="00B528E6" w:rsidRDefault="00192958" w:rsidP="009B3208">
      <w:pPr>
        <w:pStyle w:val="NormalHanging12a"/>
      </w:pPr>
      <w:r w:rsidRPr="00B528E6">
        <w:t>3</w:t>
      </w:r>
      <w:r w:rsidR="009B3208" w:rsidRPr="00B528E6">
        <w:t>.</w:t>
      </w:r>
      <w:r w:rsidR="009B3208" w:rsidRPr="00B528E6">
        <w:tab/>
        <w:t xml:space="preserve">solicită Consiliului să îl consulte din nou în cazul în care intenționează să </w:t>
      </w:r>
      <w:r w:rsidRPr="00B528E6">
        <w:t xml:space="preserve">își </w:t>
      </w:r>
      <w:r w:rsidR="009B3208" w:rsidRPr="00B528E6">
        <w:t xml:space="preserve">modifice în mod substanțial </w:t>
      </w:r>
      <w:r w:rsidRPr="00B528E6">
        <w:t>proiectul</w:t>
      </w:r>
      <w:r w:rsidR="009B3208" w:rsidRPr="00B528E6">
        <w:t>;</w:t>
      </w:r>
    </w:p>
    <w:p w14:paraId="1900ECCF" w14:textId="1F03034B" w:rsidR="009B3208" w:rsidRPr="00B528E6" w:rsidRDefault="00192958" w:rsidP="009B3208">
      <w:pPr>
        <w:pStyle w:val="NormalHanging12a"/>
      </w:pPr>
      <w:r w:rsidRPr="00B528E6">
        <w:t>4</w:t>
      </w:r>
      <w:r w:rsidR="009B3208" w:rsidRPr="00B528E6">
        <w:t>.</w:t>
      </w:r>
      <w:r w:rsidR="009B3208" w:rsidRPr="00B528E6">
        <w:tab/>
        <w:t>încredințează Președintei sarcina de a transmite Consiliului și Comisiei, precum și parlamentelor naționale poziția Parlamentului.</w:t>
      </w:r>
    </w:p>
    <w:p w14:paraId="53897340" w14:textId="77777777" w:rsidR="009B3208" w:rsidRPr="00B528E6" w:rsidRDefault="009B3208" w:rsidP="009B3208">
      <w:pPr>
        <w:widowControl/>
      </w:pPr>
      <w:r w:rsidRPr="00B528E6">
        <w:lastRenderedPageBreak/>
        <w:br w:type="page"/>
      </w:r>
    </w:p>
    <w:p w14:paraId="5B1744FA" w14:textId="51A20FF7" w:rsidR="009B3208" w:rsidRPr="00B528E6" w:rsidRDefault="009B3208" w:rsidP="009B3208">
      <w:pPr>
        <w:pStyle w:val="AmNumberTabs"/>
        <w:keepNext/>
      </w:pPr>
      <w:r w:rsidRPr="00B528E6">
        <w:t>Amendamentul</w:t>
      </w:r>
      <w:r w:rsidRPr="00B528E6">
        <w:tab/>
      </w:r>
      <w:r w:rsidRPr="00B528E6">
        <w:tab/>
      </w:r>
      <w:r w:rsidR="00373AF9" w:rsidRPr="00B528E6">
        <w:t>2</w:t>
      </w:r>
    </w:p>
    <w:p w14:paraId="26BE05C9" w14:textId="77777777" w:rsidR="009B3208" w:rsidRPr="00B528E6" w:rsidRDefault="009B3208" w:rsidP="009B3208"/>
    <w:p w14:paraId="62F0B720" w14:textId="77777777" w:rsidR="009B3208" w:rsidRPr="00B528E6" w:rsidRDefault="009B3208" w:rsidP="009B3208">
      <w:pPr>
        <w:pStyle w:val="AmHeadingConsam"/>
      </w:pPr>
      <w:r w:rsidRPr="00B528E6">
        <w:t>AMENDAMENTELE PARLAMENTULUI EUROPEAN</w:t>
      </w:r>
      <w:r w:rsidRPr="00B528E6">
        <w:rPr>
          <w:rStyle w:val="FootnoteReference"/>
        </w:rPr>
        <w:footnoteReference w:customMarkFollows="1" w:id="1"/>
        <w:t>*</w:t>
      </w:r>
    </w:p>
    <w:p w14:paraId="47AE2EED" w14:textId="50C9FC07" w:rsidR="009B3208" w:rsidRPr="00B528E6" w:rsidRDefault="009B3208" w:rsidP="009B3208">
      <w:pPr>
        <w:pStyle w:val="NormalCenter12a"/>
      </w:pPr>
      <w:r w:rsidRPr="00B528E6">
        <w:t xml:space="preserve">la </w:t>
      </w:r>
      <w:r w:rsidR="00373AF9" w:rsidRPr="00B528E6">
        <w:t>proiectul Consiliului</w:t>
      </w:r>
    </w:p>
    <w:p w14:paraId="004B0DF2" w14:textId="77777777" w:rsidR="009B3208" w:rsidRPr="00B528E6" w:rsidRDefault="009B3208" w:rsidP="009B3208">
      <w:pPr>
        <w:pStyle w:val="NormalCenter12a"/>
      </w:pPr>
      <w:r w:rsidRPr="00B528E6">
        <w:t>---------------------------------------------------------</w:t>
      </w:r>
    </w:p>
    <w:p w14:paraId="3368701D" w14:textId="77777777" w:rsidR="00373AF9" w:rsidRPr="00B528E6" w:rsidRDefault="00373AF9" w:rsidP="00AF7D44">
      <w:pPr>
        <w:pStyle w:val="Typedudocument"/>
        <w:spacing w:line="360" w:lineRule="auto"/>
        <w:rPr>
          <w:b w:val="0"/>
          <w:color w:val="000000"/>
        </w:rPr>
      </w:pPr>
      <w:r w:rsidRPr="00B528E6">
        <w:rPr>
          <w:b w:val="0"/>
          <w:color w:val="000000"/>
        </w:rPr>
        <w:t>REGULAMENT AL CONSILIULUI</w:t>
      </w:r>
    </w:p>
    <w:p w14:paraId="48A1DA35" w14:textId="77777777" w:rsidR="00373AF9" w:rsidRPr="00B528E6" w:rsidRDefault="00373AF9" w:rsidP="00AF7D44">
      <w:pPr>
        <w:pStyle w:val="Titreobjet"/>
        <w:spacing w:line="360" w:lineRule="auto"/>
        <w:rPr>
          <w:b w:val="0"/>
          <w:color w:val="000000"/>
        </w:rPr>
      </w:pPr>
      <w:r w:rsidRPr="00B528E6">
        <w:rPr>
          <w:b w:val="0"/>
          <w:color w:val="000000"/>
        </w:rPr>
        <w:t>de modificare a Regulamentului (CE) nr. 1467/97 privind accelerarea și clarificarea aplicării procedurii de deficit excesiv</w:t>
      </w:r>
    </w:p>
    <w:p w14:paraId="043CFCA6" w14:textId="77777777" w:rsidR="00373AF9" w:rsidRPr="00B528E6" w:rsidRDefault="00373AF9" w:rsidP="00AF7D44">
      <w:pPr>
        <w:pStyle w:val="Institutionquiagit"/>
        <w:spacing w:line="360" w:lineRule="auto"/>
        <w:rPr>
          <w:color w:val="000000"/>
        </w:rPr>
      </w:pPr>
      <w:r w:rsidRPr="00B528E6">
        <w:rPr>
          <w:color w:val="000000"/>
        </w:rPr>
        <w:t>CONSILIUL UNIUNII EUROPENE,</w:t>
      </w:r>
    </w:p>
    <w:p w14:paraId="32B5142B" w14:textId="77777777" w:rsidR="00373AF9" w:rsidRPr="00B528E6" w:rsidRDefault="00373AF9" w:rsidP="00373AF9">
      <w:pPr>
        <w:spacing w:before="120" w:after="120" w:line="360" w:lineRule="auto"/>
        <w:rPr>
          <w:color w:val="000000"/>
        </w:rPr>
      </w:pPr>
      <w:r w:rsidRPr="00B528E6">
        <w:rPr>
          <w:color w:val="000000"/>
        </w:rPr>
        <w:t>având în vedere Tratatul privind funcționarea Uniunii Europene, în special articolul 126 alineatul (14) al doilea paragraf,</w:t>
      </w:r>
    </w:p>
    <w:p w14:paraId="67D3815F" w14:textId="77777777" w:rsidR="00373AF9" w:rsidRPr="00B528E6" w:rsidRDefault="00373AF9" w:rsidP="00373AF9">
      <w:pPr>
        <w:spacing w:before="120" w:after="120" w:line="360" w:lineRule="auto"/>
        <w:rPr>
          <w:color w:val="000000"/>
        </w:rPr>
      </w:pPr>
      <w:r w:rsidRPr="00B528E6">
        <w:rPr>
          <w:color w:val="000000"/>
        </w:rPr>
        <w:t>având în vedere propunerea Comisiei Europene,</w:t>
      </w:r>
    </w:p>
    <w:p w14:paraId="38170BDA" w14:textId="77777777" w:rsidR="00373AF9" w:rsidRPr="00B528E6" w:rsidRDefault="00373AF9" w:rsidP="00373AF9">
      <w:pPr>
        <w:spacing w:before="120" w:after="120" w:line="360" w:lineRule="auto"/>
        <w:rPr>
          <w:color w:val="000000"/>
        </w:rPr>
      </w:pPr>
      <w:r w:rsidRPr="00B528E6">
        <w:rPr>
          <w:color w:val="000000"/>
        </w:rPr>
        <w:t>după transmiterea proiectului de act legislativ către parlamentele naționale,</w:t>
      </w:r>
    </w:p>
    <w:p w14:paraId="672E8B13" w14:textId="77777777" w:rsidR="00373AF9" w:rsidRPr="00B528E6" w:rsidRDefault="00373AF9" w:rsidP="00373AF9">
      <w:pPr>
        <w:spacing w:before="120" w:after="120" w:line="360" w:lineRule="auto"/>
        <w:rPr>
          <w:color w:val="000000"/>
        </w:rPr>
      </w:pPr>
      <w:r w:rsidRPr="00B528E6">
        <w:rPr>
          <w:color w:val="000000"/>
        </w:rPr>
        <w:t>având în vedere avizul Parlamentului European</w:t>
      </w:r>
      <w:r w:rsidRPr="00B528E6">
        <w:rPr>
          <w:rStyle w:val="FootnoteReference"/>
          <w:color w:val="000000"/>
        </w:rPr>
        <w:footnoteReference w:id="2"/>
      </w:r>
      <w:r w:rsidRPr="00B528E6">
        <w:rPr>
          <w:color w:val="000000"/>
        </w:rPr>
        <w:t>,</w:t>
      </w:r>
    </w:p>
    <w:p w14:paraId="7F9A52C8" w14:textId="77777777" w:rsidR="00373AF9" w:rsidRPr="00B528E6" w:rsidRDefault="00373AF9" w:rsidP="00373AF9">
      <w:pPr>
        <w:spacing w:before="120" w:after="120" w:line="360" w:lineRule="auto"/>
        <w:rPr>
          <w:color w:val="000000"/>
        </w:rPr>
      </w:pPr>
      <w:r w:rsidRPr="00B528E6">
        <w:rPr>
          <w:color w:val="000000"/>
        </w:rPr>
        <w:t>având în vedere avizul Băncii Centrale Europene</w:t>
      </w:r>
      <w:r w:rsidRPr="00B528E6">
        <w:rPr>
          <w:rStyle w:val="FootnoteReference"/>
          <w:color w:val="000000"/>
        </w:rPr>
        <w:footnoteReference w:id="3"/>
      </w:r>
      <w:r w:rsidRPr="00B528E6">
        <w:rPr>
          <w:color w:val="000000"/>
        </w:rPr>
        <w:t>,</w:t>
      </w:r>
    </w:p>
    <w:p w14:paraId="5E66BEA9" w14:textId="77777777" w:rsidR="00373AF9" w:rsidRPr="00B528E6" w:rsidRDefault="00373AF9" w:rsidP="00373AF9">
      <w:pPr>
        <w:spacing w:before="120" w:after="120" w:line="360" w:lineRule="auto"/>
        <w:rPr>
          <w:color w:val="000000"/>
        </w:rPr>
      </w:pPr>
      <w:r w:rsidRPr="00B528E6">
        <w:rPr>
          <w:color w:val="000000"/>
        </w:rPr>
        <w:t>hotărând în conformitate cu o procedură legislativă specială,</w:t>
      </w:r>
    </w:p>
    <w:p w14:paraId="26AD4AEA" w14:textId="77777777" w:rsidR="00373AF9" w:rsidRPr="00B528E6" w:rsidRDefault="00373AF9" w:rsidP="00373AF9">
      <w:pPr>
        <w:spacing w:before="120" w:after="120" w:line="360" w:lineRule="auto"/>
        <w:rPr>
          <w:color w:val="000000"/>
        </w:rPr>
      </w:pPr>
      <w:r w:rsidRPr="00B528E6">
        <w:rPr>
          <w:color w:val="000000"/>
        </w:rPr>
        <w:t>întrucât:</w:t>
      </w:r>
    </w:p>
    <w:p w14:paraId="611FAD9A" w14:textId="0C8A9FAD" w:rsidR="00373AF9" w:rsidRPr="00B528E6" w:rsidRDefault="00373AF9" w:rsidP="00373AF9">
      <w:pPr>
        <w:pStyle w:val="ManualConsidrant"/>
        <w:spacing w:line="360" w:lineRule="auto"/>
        <w:jc w:val="left"/>
        <w:rPr>
          <w:color w:val="000000"/>
        </w:rPr>
      </w:pPr>
      <w:r w:rsidRPr="00B528E6">
        <w:rPr>
          <w:color w:val="000000"/>
        </w:rPr>
        <w:t>(1)</w:t>
      </w:r>
      <w:r w:rsidRPr="00B528E6">
        <w:rPr>
          <w:color w:val="000000"/>
        </w:rPr>
        <w:tab/>
        <w:t>Coordonarea politicilor economice ale statelor membre în Uniune, în conformitate cu Tratatul privind funcționarea Uniunii Europene (TFUE), implică respectarea unor principii directoare și anume stabilitatea prețurilor, soliditatea finanțelor publice și a condițiilor monetare, precum și sustenabilitatea balanței de plăți.</w:t>
      </w:r>
    </w:p>
    <w:p w14:paraId="1753C870" w14:textId="77777777" w:rsidR="00373AF9" w:rsidRPr="00B528E6" w:rsidRDefault="00373AF9" w:rsidP="00373AF9">
      <w:pPr>
        <w:pStyle w:val="ManualConsidrant"/>
        <w:spacing w:line="360" w:lineRule="auto"/>
        <w:jc w:val="left"/>
        <w:rPr>
          <w:color w:val="000000"/>
        </w:rPr>
      </w:pPr>
      <w:r w:rsidRPr="00B528E6">
        <w:rPr>
          <w:color w:val="000000"/>
        </w:rPr>
        <w:t>(2)</w:t>
      </w:r>
      <w:r w:rsidRPr="00B528E6">
        <w:rPr>
          <w:color w:val="000000"/>
        </w:rPr>
        <w:tab/>
        <w:t>Cadrul de guvernanță economică al Uniunii, care cuprinde un sistem complex de coordonare și supraveghere a politicilor economice ale statelor membre, îndrumă statele membre în eforturile lor de a-și îndeplini obiectivele de politică economică și bugetară. De la încheierea Tratatului de la Maastricht în 1992, cadrul contribuie la realizarea convergenței macroeconomice, la asigurarea unor finanțe publice solide, precum și la combaterea dezechilibrelor macroeconomice. Alături de politica monetară comună și de moneda comună în zona euro, cadrul a creat condiții pentru stabilitate economică, creștere economică durabilă și favorabilă incluziunii și un grad sporit de ocupare a forței de muncă pentru cetățenii Uniunii.</w:t>
      </w:r>
    </w:p>
    <w:p w14:paraId="043D1BDA" w14:textId="6CBF55DE" w:rsidR="00373AF9" w:rsidRPr="00B528E6" w:rsidRDefault="00373AF9" w:rsidP="00373AF9">
      <w:pPr>
        <w:pStyle w:val="ManualConsidrant"/>
        <w:spacing w:line="360" w:lineRule="auto"/>
        <w:jc w:val="left"/>
        <w:rPr>
          <w:color w:val="000000"/>
        </w:rPr>
      </w:pPr>
      <w:r w:rsidRPr="00B528E6">
        <w:rPr>
          <w:color w:val="000000"/>
        </w:rPr>
        <w:t>(3)</w:t>
      </w:r>
      <w:r w:rsidRPr="00B528E6">
        <w:rPr>
          <w:color w:val="000000"/>
        </w:rPr>
        <w:tab/>
        <w:t>Pactul de stabilitate și de creștere (PSC), care a constat inițial în Regulamentul (CE) nr. 1466/97 al Consiliului</w:t>
      </w:r>
      <w:r w:rsidRPr="00B528E6">
        <w:rPr>
          <w:rStyle w:val="FootnoteReference"/>
          <w:b/>
          <w:bCs/>
          <w:color w:val="000000"/>
        </w:rPr>
        <w:footnoteReference w:id="4"/>
      </w:r>
      <w:r w:rsidRPr="00B528E6">
        <w:rPr>
          <w:color w:val="000000"/>
        </w:rPr>
        <w:t>, Regulamentul (CE) nr. 1467/97 al Consiliului din 7 iulie 1997</w:t>
      </w:r>
      <w:r w:rsidRPr="00B528E6">
        <w:rPr>
          <w:rStyle w:val="FootnoteReference"/>
          <w:color w:val="000000"/>
        </w:rPr>
        <w:footnoteReference w:id="5"/>
      </w:r>
      <w:r w:rsidRPr="00B528E6">
        <w:rPr>
          <w:color w:val="000000"/>
        </w:rPr>
        <w:t xml:space="preserve"> și Rezoluția Consiliului European din 17 iunie 1997 privind PSC</w:t>
      </w:r>
      <w:r w:rsidRPr="00B528E6">
        <w:rPr>
          <w:rStyle w:val="FootnoteReference"/>
          <w:color w:val="000000"/>
        </w:rPr>
        <w:footnoteReference w:id="6"/>
      </w:r>
      <w:r w:rsidRPr="00B528E6">
        <w:rPr>
          <w:color w:val="000000"/>
        </w:rPr>
        <w:t>, are la bază obiectivul unor finanțe publice solide și sustenabile ca mijloc de consolidare a condițiilor de realizare a stabilității prețurilor și a unei creșteri susținute, durabile și favorabile incluziunii bazate pe stabilitate financiară și contribuie astfel la realizarea obiectivelor Uniunii privind creșterea economică durabilă și ocuparea forței de muncă.</w:t>
      </w:r>
    </w:p>
    <w:p w14:paraId="37621F49" w14:textId="77777777" w:rsidR="00373AF9" w:rsidRPr="00B528E6" w:rsidRDefault="00373AF9" w:rsidP="00373AF9">
      <w:pPr>
        <w:pStyle w:val="ManualConsidrant"/>
        <w:spacing w:line="360" w:lineRule="auto"/>
        <w:jc w:val="left"/>
        <w:rPr>
          <w:color w:val="000000"/>
        </w:rPr>
      </w:pPr>
      <w:r w:rsidRPr="00B528E6">
        <w:rPr>
          <w:color w:val="000000"/>
        </w:rPr>
        <w:t>(4)</w:t>
      </w:r>
      <w:r w:rsidRPr="00B528E6">
        <w:rPr>
          <w:color w:val="000000"/>
        </w:rPr>
        <w:tab/>
        <w:t>În etapa a treia a uniunii economice și monetare (UEM), statelor membre le revine, în conformitate cu articolul 126 alineatul (1) din TFUE, obligația să evite deficitele publice excesive.</w:t>
      </w:r>
    </w:p>
    <w:p w14:paraId="0826F9EB" w14:textId="5C93F502" w:rsidR="00373AF9" w:rsidRPr="00B528E6" w:rsidRDefault="00373AF9" w:rsidP="00053E26">
      <w:pPr>
        <w:pStyle w:val="ManualConsidrant"/>
        <w:spacing w:line="360" w:lineRule="auto"/>
        <w:jc w:val="left"/>
        <w:rPr>
          <w:color w:val="000000"/>
        </w:rPr>
      </w:pPr>
      <w:r w:rsidRPr="00B528E6">
        <w:rPr>
          <w:color w:val="000000"/>
        </w:rPr>
        <w:t>(5)</w:t>
      </w:r>
      <w:r w:rsidRPr="00B528E6">
        <w:rPr>
          <w:color w:val="000000"/>
        </w:rPr>
        <w:tab/>
        <w:t xml:space="preserve">Cadrul de guvernanță economică al Uniunii ar trebui să fie adaptat pentru a ține seama mai bine de eterogenitatea sporită a pozițiilor bugetare, de datoria publică, de provocările economice, precum și de alte vulnerabilități din statele membre. Răspunsul ferm în materie de politici la pandemia de COVID-19 s-a dovedit extrem de eficace în atenuarea consecințelor economice și sociale ale crizei, însă a generat o creștere semnificativă a ponderii datoriei publice și private, subliniind importanța reducerii ponderii datoriei și a deficitelor până la niveluri prudente într-un mod treptat, realist, susținut și favorabil creșterii, care să permită o marjă de manevră pentru politicile </w:t>
      </w:r>
      <w:proofErr w:type="spellStart"/>
      <w:r w:rsidRPr="00B528E6">
        <w:rPr>
          <w:color w:val="000000"/>
        </w:rPr>
        <w:t>anticiclice</w:t>
      </w:r>
      <w:proofErr w:type="spellEnd"/>
      <w:r w:rsidRPr="00B528E6">
        <w:rPr>
          <w:color w:val="000000"/>
        </w:rPr>
        <w:t xml:space="preserve"> și să remedieze dezechilibrele macroeconomice, acordând totodată atenția cuvenită obiectivelor sociale și de ocupare a forței de muncă.</w:t>
      </w:r>
      <w:r w:rsidR="00053E26">
        <w:rPr>
          <w:color w:val="000000"/>
        </w:rPr>
        <w:t xml:space="preserve"> </w:t>
      </w:r>
      <w:r w:rsidRPr="00B528E6">
        <w:rPr>
          <w:color w:val="000000"/>
        </w:rPr>
        <w:t>În același timp, cadrul de guvernanță economică al Uniunii ar trebui să fie adaptat pentru a contribui la abordarea provocărilor cu care se confruntă Uniunea pe termen mediu și lung, cum ar fi realizarea unei tranziții digitale și verzi echitabile, incluzând Legea climei</w:t>
      </w:r>
      <w:r w:rsidRPr="00B528E6">
        <w:rPr>
          <w:rStyle w:val="FootnoteReference"/>
          <w:color w:val="000000"/>
        </w:rPr>
        <w:footnoteReference w:id="7"/>
      </w:r>
      <w:r w:rsidRPr="00B528E6">
        <w:rPr>
          <w:color w:val="000000"/>
        </w:rPr>
        <w:t>, asigurarea securității energetice, promovarea unei autonomii strategice deschise, abordarea schimbărilor demografice, consolidarea rezilienței sociale și economice și realizarea unei convergențe susținute, precum și punerea în aplicare a Busolei strategice pentru securitate și apărare, toate acestea necesitând reforme și niveluri ridicate și susținute ale investițiilor în anii următori.</w:t>
      </w:r>
    </w:p>
    <w:p w14:paraId="5A4E5907" w14:textId="77777777" w:rsidR="00373AF9" w:rsidRPr="00B528E6" w:rsidRDefault="00373AF9" w:rsidP="00373AF9">
      <w:pPr>
        <w:pStyle w:val="ManualConsidrant"/>
        <w:spacing w:line="360" w:lineRule="auto"/>
        <w:jc w:val="left"/>
        <w:rPr>
          <w:color w:val="000000"/>
        </w:rPr>
      </w:pPr>
      <w:r w:rsidRPr="00B528E6">
        <w:rPr>
          <w:color w:val="000000"/>
        </w:rPr>
        <w:t>(6)</w:t>
      </w:r>
      <w:r w:rsidRPr="00B528E6">
        <w:rPr>
          <w:color w:val="000000"/>
        </w:rPr>
        <w:tab/>
        <w:t>Cadrul de guvernanță economică al Uniunii ar trebui să promoveze finanțe publice solide și sustenabile și o creștere durabilă și favorabilă incluziunii și, prin urmare, să facă distincție între statele membre, ținând seama de provocările cu care se confruntă acestea în materie de datorie publică, precum și de provocările economice, permițând traiectorii bugetare multianuale specifice fiecărei țări și, în același timp, asigurând o supraveghere multilaterală eficace și respectând principiul egalității de tratament.</w:t>
      </w:r>
    </w:p>
    <w:p w14:paraId="0ABA4547" w14:textId="77777777" w:rsidR="00373AF9" w:rsidRPr="00B528E6" w:rsidRDefault="00373AF9" w:rsidP="00373AF9">
      <w:pPr>
        <w:pStyle w:val="ManualConsidrant"/>
        <w:spacing w:line="360" w:lineRule="auto"/>
        <w:jc w:val="left"/>
        <w:rPr>
          <w:color w:val="000000"/>
        </w:rPr>
      </w:pPr>
      <w:r w:rsidRPr="00B528E6">
        <w:rPr>
          <w:color w:val="000000"/>
        </w:rPr>
        <w:t>(7)</w:t>
      </w:r>
      <w:r w:rsidRPr="00B528E6">
        <w:rPr>
          <w:color w:val="000000"/>
        </w:rPr>
        <w:tab/>
        <w:t>În același timp, pentru a asigura un cadru transparent și comun al Uniunii bazat pe valorile de referință menționate la articolul 126 alineatul (2) din TFUE, în Protocolul nr. 12 privind procedura aplicabilă deficitelor excesive anexat la TFUE și în Tratatul privind Uniunea Europeană (TUE), o aplicare mai strictă a normelor care stau la baza supravegherii multilaterale ar trebui să fie contraponderea necesară pentru un cadru de supraveghere bazat pe riscuri care permite traiectorii bugetare specifice fiecărei țări.</w:t>
      </w:r>
    </w:p>
    <w:p w14:paraId="27005F34" w14:textId="5805148E" w:rsidR="00373AF9" w:rsidRPr="00B528E6" w:rsidRDefault="00373AF9" w:rsidP="00373AF9">
      <w:pPr>
        <w:pStyle w:val="ManualConsidrant"/>
        <w:spacing w:line="360" w:lineRule="auto"/>
        <w:jc w:val="left"/>
        <w:rPr>
          <w:color w:val="000000"/>
        </w:rPr>
      </w:pPr>
      <w:r w:rsidRPr="00B528E6">
        <w:rPr>
          <w:color w:val="000000"/>
        </w:rPr>
        <w:t>(8)</w:t>
      </w:r>
      <w:r w:rsidRPr="00B528E6">
        <w:rPr>
          <w:color w:val="000000"/>
        </w:rPr>
        <w:tab/>
        <w:t xml:space="preserve">Pentru a simplifica cadrul bugetar al Uniunii și a spori transparența, un indicator operațional unic bazat pe sustenabilitatea datoriei ar trebui să servească drept bază pentru stabilirea traiectoriei cheltuielilor nete și pentru realizarea supravegherii bugetare anuale pentru fiecare stat membru. Acest indicator unic ar trebui să se bazeze pe cheltuielile primare nete finanțate la nivel național, și anume: cheltuieli </w:t>
      </w:r>
      <w:r w:rsidRPr="00B528E6">
        <w:rPr>
          <w:b/>
          <w:i/>
          <w:color w:val="000000"/>
        </w:rPr>
        <w:t>publice</w:t>
      </w:r>
      <w:r w:rsidRPr="00B528E6">
        <w:rPr>
          <w:color w:val="000000"/>
        </w:rPr>
        <w:t xml:space="preserve"> </w:t>
      </w:r>
      <w:r w:rsidRPr="00B528E6">
        <w:rPr>
          <w:b/>
          <w:i/>
          <w:color w:val="000000"/>
        </w:rPr>
        <w:t xml:space="preserve">din care se deduc cheltuielile cu dobânzile, </w:t>
      </w:r>
      <w:r w:rsidRPr="00B528E6">
        <w:rPr>
          <w:color w:val="000000"/>
        </w:rPr>
        <w:t xml:space="preserve">măsurile discreționare privind veniturile, </w:t>
      </w:r>
      <w:r w:rsidRPr="00B528E6">
        <w:rPr>
          <w:b/>
          <w:i/>
          <w:color w:val="000000"/>
        </w:rPr>
        <w:t xml:space="preserve">cheltuielile aferente programelor Uniunii care sunt acoperite integral de venituri din fondurile Uniunii și cheltuielile naționale cu cofinanțarea programelor finanțate de Uniune, precum și elementele </w:t>
      </w:r>
      <w:r w:rsidRPr="00B528E6">
        <w:rPr>
          <w:color w:val="000000"/>
        </w:rPr>
        <w:t xml:space="preserve">ciclice </w:t>
      </w:r>
      <w:r w:rsidRPr="00B528E6">
        <w:rPr>
          <w:b/>
          <w:i/>
          <w:color w:val="000000"/>
        </w:rPr>
        <w:t>ale cheltuielilor cu indemnizațiile de șomaj</w:t>
      </w:r>
      <w:r w:rsidRPr="00B528E6">
        <w:rPr>
          <w:color w:val="000000"/>
        </w:rPr>
        <w:t xml:space="preserve">. </w:t>
      </w:r>
      <w:r w:rsidRPr="00B528E6">
        <w:rPr>
          <w:b/>
          <w:i/>
          <w:color w:val="000000"/>
        </w:rPr>
        <w:t>În conformitate cu principiile directoare care au fost utilizate de Comisia Europeană pentru clasificarea tranzacțiilor drept măsuri cu caracter excepțional, măsurile cu caracter excepțional și alte măsuri temporare ar trebui, de asemenea, să fie excluse din cheltuielile nete.</w:t>
      </w:r>
      <w:r w:rsidRPr="00B528E6">
        <w:rPr>
          <w:color w:val="000000"/>
        </w:rPr>
        <w:t xml:space="preserve"> Indicatorul respectiv permite stabilizarea macroeconomică deoarece nu este afectat de funcționarea unor stabilizatori automați precum fluctuațiile în materie de venituri și cheltuieli aflate în afara controlului direct al administrației publice.</w:t>
      </w:r>
    </w:p>
    <w:p w14:paraId="54512063" w14:textId="77777777" w:rsidR="00373AF9" w:rsidRPr="00B528E6" w:rsidRDefault="00373AF9" w:rsidP="00373AF9">
      <w:pPr>
        <w:pStyle w:val="ManualConsidrant"/>
        <w:spacing w:line="360" w:lineRule="auto"/>
        <w:jc w:val="left"/>
        <w:rPr>
          <w:color w:val="000000"/>
        </w:rPr>
      </w:pPr>
      <w:r w:rsidRPr="00B528E6">
        <w:rPr>
          <w:color w:val="000000"/>
        </w:rPr>
        <w:t>(9)</w:t>
      </w:r>
      <w:r w:rsidRPr="00B528E6">
        <w:rPr>
          <w:color w:val="000000"/>
        </w:rPr>
        <w:tab/>
        <w:t>Procedura aplicabilă deficitelor excesive (PDE) pentru nerespectarea valorii de referință a deficitului de 3 % din produsul intern brut (PIB) (denumită în continuare „PDE bazată pe deficit”), menționată la articolul 126 alineatul (2) din TFUE și în Protocolul nr. 12, este un element consacrat al cadrului de supraveghere bugetară al Uniunii, care a fost eficace în influențarea politicii bugetare a statelor membre.</w:t>
      </w:r>
    </w:p>
    <w:p w14:paraId="47544F47" w14:textId="77777777" w:rsidR="00373AF9" w:rsidRPr="00B528E6" w:rsidRDefault="00373AF9" w:rsidP="00373AF9">
      <w:pPr>
        <w:pStyle w:val="ManualConsidrant"/>
        <w:spacing w:line="360" w:lineRule="auto"/>
        <w:jc w:val="left"/>
        <w:rPr>
          <w:color w:val="000000"/>
        </w:rPr>
      </w:pPr>
      <w:r w:rsidRPr="00B528E6">
        <w:rPr>
          <w:color w:val="000000"/>
        </w:rPr>
        <w:t>(10)</w:t>
      </w:r>
      <w:r w:rsidRPr="00B528E6">
        <w:rPr>
          <w:color w:val="000000"/>
        </w:rPr>
        <w:tab/>
        <w:t>Pentru a consolida PDE pentru nerespectarea criteriului datoriei de 60 % din PIB („PDE bazată pe datorie”), menționat la articolul 126 alineatul (2) din TFUE și în Protocolul nr. 12, ar trebui să se pună accentul pe abaterile de la traiectoria cheltuielilor nete stabilită de Consiliu în temeiul Regulamentului (UE) [ ...] al Parlamentului European și al Consiliului</w:t>
      </w:r>
      <w:r w:rsidRPr="00B528E6">
        <w:rPr>
          <w:rStyle w:val="FootnoteReference"/>
          <w:color w:val="000000"/>
        </w:rPr>
        <w:footnoteReference w:id="8"/>
      </w:r>
      <w:r w:rsidRPr="00B528E6">
        <w:rPr>
          <w:color w:val="000000"/>
        </w:rPr>
        <w:t>.</w:t>
      </w:r>
    </w:p>
    <w:p w14:paraId="0872446B" w14:textId="55F26C3E" w:rsidR="00373AF9" w:rsidRPr="00B528E6" w:rsidRDefault="00373AF9" w:rsidP="00373AF9">
      <w:pPr>
        <w:pStyle w:val="ManualConsidrant"/>
        <w:spacing w:line="360" w:lineRule="auto"/>
        <w:jc w:val="left"/>
        <w:rPr>
          <w:color w:val="000000"/>
        </w:rPr>
      </w:pPr>
      <w:r w:rsidRPr="00B528E6">
        <w:rPr>
          <w:color w:val="000000"/>
        </w:rPr>
        <w:t>(13)</w:t>
      </w:r>
      <w:r w:rsidRPr="00B528E6">
        <w:rPr>
          <w:color w:val="000000"/>
        </w:rPr>
        <w:tab/>
        <w:t>În conformitate cu articolele 24 și 25 din Regulamentul (UE) [privind componenta preventivă], în urma unei recomandări din partea Comisiei, Consiliul ar putea permite statelor membre să se abată de la traiectoria cheltuielilor nete stabilită de Consiliu în temeiul regulamentului respectiv în cazul unei recesiuni economice grave în zona euro sau în Uniune în ansamblu sau în cazul unor circumstanțe excepționale care nu se află sub controlul administrației publice și care au un impact major asupra finanțelor publice ale statului membru în cauză, cu condiția ca aceasta să nu pună în pericol sustenabilitatea bugetară pe termen mediu. În consecință, o astfel de abatere nu ar trebui să fie înregistrată în contul de control și nici să conducă la inițierea unei PDE bazate pe datorie.</w:t>
      </w:r>
    </w:p>
    <w:p w14:paraId="22B76662" w14:textId="77777777" w:rsidR="00373AF9" w:rsidRPr="00B528E6" w:rsidRDefault="00373AF9" w:rsidP="00373AF9">
      <w:pPr>
        <w:pStyle w:val="ManualConsidrant"/>
        <w:spacing w:line="360" w:lineRule="auto"/>
        <w:jc w:val="left"/>
        <w:rPr>
          <w:color w:val="000000"/>
        </w:rPr>
      </w:pPr>
      <w:r w:rsidRPr="00B528E6">
        <w:rPr>
          <w:color w:val="000000"/>
        </w:rPr>
        <w:t>(14)</w:t>
      </w:r>
      <w:r w:rsidRPr="00B528E6">
        <w:rPr>
          <w:color w:val="000000"/>
        </w:rPr>
        <w:tab/>
        <w:t>Atunci când evaluează existența unui deficit excesiv în conformitate cu articolul 126 alineatul (3) din TFUE, Comisia ar trebui să ia în considerare toți factorii relevanți. Provocările substanțiale legate de datoria publică din statul membru în cauză ar trebui considerate un factor agravant esențial.</w:t>
      </w:r>
    </w:p>
    <w:p w14:paraId="70DF8934" w14:textId="77777777" w:rsidR="00373AF9" w:rsidRPr="00B528E6" w:rsidRDefault="00373AF9" w:rsidP="00373AF9">
      <w:pPr>
        <w:pStyle w:val="ManualConsidrant"/>
        <w:spacing w:line="360" w:lineRule="auto"/>
        <w:jc w:val="left"/>
        <w:rPr>
          <w:color w:val="000000"/>
        </w:rPr>
      </w:pPr>
      <w:r w:rsidRPr="00B528E6">
        <w:rPr>
          <w:b/>
          <w:i/>
          <w:color w:val="000000"/>
        </w:rPr>
        <w:t>(14a)</w:t>
      </w:r>
      <w:r w:rsidRPr="00B528E6">
        <w:rPr>
          <w:color w:val="000000"/>
        </w:rPr>
        <w:tab/>
        <w:t>Recunoscând creșterea tensiunilor geopolitice și a provocărilor în materie de securitate, precum și necesitatea corespunzătoare ca statele membre să își consolideze capacitățile, creșterea investițiilor publice în apărare, după caz, ar trebui să fie considerată un factor relevant atunci când se evaluează existența unui deficit excesiv în conformitate cu articolul 126 alineatul (3) din TFUE. Acest factor ar putea fi evaluat în raport cu media UE, cu tendințele pe termen mediu sau cu alte criterii de referință relevante, luându-se în considerare, de asemenea, normele statistice privind momentul înregistrării cheltuielilor cu echipamentele militare.</w:t>
      </w:r>
    </w:p>
    <w:p w14:paraId="4A9F744B" w14:textId="502F6C80" w:rsidR="00373AF9" w:rsidRPr="00B528E6" w:rsidRDefault="00373AF9" w:rsidP="00373AF9">
      <w:pPr>
        <w:pStyle w:val="ManualConsidrant"/>
        <w:spacing w:line="360" w:lineRule="auto"/>
        <w:jc w:val="left"/>
        <w:rPr>
          <w:color w:val="000000"/>
        </w:rPr>
      </w:pPr>
      <w:r w:rsidRPr="00B528E6">
        <w:rPr>
          <w:color w:val="000000"/>
        </w:rPr>
        <w:t>(15)</w:t>
      </w:r>
      <w:r w:rsidRPr="00B528E6">
        <w:rPr>
          <w:color w:val="000000"/>
        </w:rPr>
        <w:tab/>
        <w:t>Pentru a ține evidența abaterilor efective de la traiectoria cheltuielilor nete, astfel cum se prevede la articolul 21 din Regulamentul (UE) [privind componenta preventivă], Comisia ar trebui să creeze un cont de control pentru fiecare stat membru, care să însumeze abaterile anuale de-a lungul timpului. Informațiile din contul de control ar trebui să constituie baza acțiunilor de asigurare a respectării legislației. În special, Comisia elaborează un raport în conformitate cu articolul 126 alineatul (3) din TFUE atunci când ponderea datoriei publice în PIB depășește valoarea de referință, poziția bugetară nu este aproape de echilibru sau în excedent, iar abaterile înregistrate în contul de control al statului membru depășesc pragurile anuale sau cumulate stabilite. Poziția bugetară este considerată aproape de echilibru dacă deficitul total nu depășește 0,5 puncte procentuale din PIB.</w:t>
      </w:r>
    </w:p>
    <w:p w14:paraId="623D4A5E" w14:textId="77777777" w:rsidR="00373AF9" w:rsidRPr="00B528E6" w:rsidRDefault="00373AF9" w:rsidP="00373AF9">
      <w:pPr>
        <w:pStyle w:val="ManualConsidrant"/>
        <w:spacing w:line="360" w:lineRule="auto"/>
        <w:jc w:val="left"/>
        <w:rPr>
          <w:color w:val="000000"/>
        </w:rPr>
      </w:pPr>
      <w:r w:rsidRPr="00B528E6">
        <w:rPr>
          <w:color w:val="000000"/>
        </w:rPr>
        <w:t>(16)</w:t>
      </w:r>
      <w:r w:rsidRPr="00B528E6">
        <w:rPr>
          <w:color w:val="000000"/>
        </w:rPr>
        <w:tab/>
        <w:t>Traiectoria corectivă a cheltuielilor nete în cadrul PDE ar trebui să aducă sau să mențină deficitul public sub valoarea de referință de 3 % din PIB menționată la articolul 126 alineatul (2) din TFUE și în Protocolul nr. 12 până la termenul stabilit de Consiliu. Traiectoria corectivă a cheltuielilor nete în cadrul PDE ar fi, în principiu, cea stabilită inițial de Consiliu, ținându-se seama în același timp de necesitatea de a asigura o ajustare structurală minimă de 0,5 % din PIB în cazul nerespectării criteriului deficitului sau de necesitatea de a corecta abaterea de la această traiectorie ca regulă generală în cazul nerespectării criteriului datoriei. În cazul în care traiectoria inițială nu mai este fezabilă, din cauza unor circumstanțe obiective, Consiliul ar trebui să poată stabili o traiectorie diferită în cadrul PDE.</w:t>
      </w:r>
    </w:p>
    <w:p w14:paraId="645AF248" w14:textId="77777777" w:rsidR="00373AF9" w:rsidRPr="00B528E6" w:rsidRDefault="00373AF9" w:rsidP="00373AF9">
      <w:pPr>
        <w:pStyle w:val="ManualConsidrant"/>
        <w:spacing w:line="360" w:lineRule="auto"/>
        <w:jc w:val="left"/>
        <w:rPr>
          <w:color w:val="000000"/>
        </w:rPr>
      </w:pPr>
      <w:r w:rsidRPr="00B528E6">
        <w:rPr>
          <w:color w:val="000000"/>
        </w:rPr>
        <w:t>(17)</w:t>
      </w:r>
      <w:r w:rsidRPr="00B528E6">
        <w:rPr>
          <w:color w:val="000000"/>
        </w:rPr>
        <w:tab/>
        <w:t>Pentru statele membre care fac obiectul unei PDE, Consiliul, pe baza unei recomandări din partea Comisiei, ar trebui să poată prelungi în continuare termenul pentru corectarea deficitului excesiv, în cazul în care constată existența unei recesiuni economice grave în zona euro sau în Uniune în ansamblu, în conformitate cu articolul 24 din Regulamentul (UE) [privind componenta preventivă], sau în cazul unor circumstanțe excepționale care nu se află sub controlul administrației publice și care au un impact major asupra finanțelor publice ale unui anumit stat membru, în conformitate cu articolul 25 din Regulamentul (UE) [privind componenta preventivă], și cu condiția ca acest lucru să nu pună în pericol sustenabilitatea bugetară pe termen mediu.</w:t>
      </w:r>
    </w:p>
    <w:p w14:paraId="100D90D9" w14:textId="46624C82" w:rsidR="00373AF9" w:rsidRPr="00B528E6" w:rsidRDefault="00373AF9" w:rsidP="00373AF9">
      <w:pPr>
        <w:pStyle w:val="ManualConsidrant"/>
        <w:spacing w:line="360" w:lineRule="auto"/>
        <w:jc w:val="left"/>
        <w:rPr>
          <w:color w:val="000000"/>
        </w:rPr>
      </w:pPr>
      <w:r w:rsidRPr="00B528E6">
        <w:rPr>
          <w:color w:val="000000"/>
        </w:rPr>
        <w:t>(18)</w:t>
      </w:r>
      <w:r w:rsidRPr="00B528E6">
        <w:rPr>
          <w:color w:val="000000"/>
        </w:rPr>
        <w:tab/>
        <w:t>Dispozițiile specifice din Regulamentul (CE) nr. 1467/97 referitoare la contribuțiile la al doilea pilon al sistemelor de pensii ar trebui eliminate, deoarece traiectoria cheltuielilor nete stabilită de Consiliu ar trebui să ia deja în considerare pierderile de venituri legate de aceste contribuții.</w:t>
      </w:r>
    </w:p>
    <w:p w14:paraId="737A7C64" w14:textId="77777777" w:rsidR="00373AF9" w:rsidRPr="00B528E6" w:rsidRDefault="00373AF9" w:rsidP="00373AF9">
      <w:pPr>
        <w:pStyle w:val="ManualConsidrant"/>
        <w:spacing w:line="360" w:lineRule="auto"/>
        <w:jc w:val="left"/>
        <w:rPr>
          <w:color w:val="000000"/>
        </w:rPr>
      </w:pPr>
      <w:r w:rsidRPr="00B528E6">
        <w:rPr>
          <w:color w:val="000000"/>
        </w:rPr>
        <w:t>(19)</w:t>
      </w:r>
      <w:r w:rsidRPr="00B528E6">
        <w:rPr>
          <w:color w:val="000000"/>
        </w:rPr>
        <w:tab/>
        <w:t>Instituțiile fiscal-bugetare independente și-au dovedit capacitatea de a promova disciplina fiscală și de a consolida credibilitatea finanțelor publice ale statelor membre. Pentru a spori asumarea responsabilității la nivel național, rolul instituțiilor fiscal-bugetare independente ar trebui menținut în cadrul de guvernanță economică reformat al Uniunii</w:t>
      </w:r>
      <w:r w:rsidRPr="00B528E6">
        <w:rPr>
          <w:b/>
          <w:i/>
          <w:color w:val="000000"/>
        </w:rPr>
        <w:t>, în vederea consolidării treptate a capacităților acestora</w:t>
      </w:r>
      <w:r w:rsidRPr="00B528E6">
        <w:rPr>
          <w:color w:val="000000"/>
        </w:rPr>
        <w:t>. Un Consiliu bugetar european mai independent ar trebui să joace un rol consultativ mai important în cadrul de guvernanță economică al Uniunii.</w:t>
      </w:r>
    </w:p>
    <w:p w14:paraId="3D0304EF" w14:textId="77777777" w:rsidR="00373AF9" w:rsidRPr="00B528E6" w:rsidRDefault="00373AF9" w:rsidP="00373AF9">
      <w:pPr>
        <w:pStyle w:val="ManualConsidrant"/>
        <w:spacing w:line="360" w:lineRule="auto"/>
        <w:jc w:val="left"/>
        <w:rPr>
          <w:color w:val="000000"/>
        </w:rPr>
      </w:pPr>
      <w:r w:rsidRPr="00B528E6">
        <w:rPr>
          <w:color w:val="000000"/>
        </w:rPr>
        <w:t>(20)</w:t>
      </w:r>
      <w:r w:rsidRPr="00B528E6">
        <w:rPr>
          <w:color w:val="000000"/>
        </w:rPr>
        <w:tab/>
        <w:t>Ar trebui stabilite condiții clare pentru abrogarea procedurilor aplicabile deficitelor excesive. Abrogarea ar trebui să impună ca deficitul să rămână în mod credibil sub valoarea de referință de 3 % din PIB menționată la articolul 126 alineatul (2) din TFUE și în Protocolul nr. 12, iar în cazul unei PDE bazate pe datorie, ca statul membru să demonstreze respectarea traiectoriei cheltuielilor nete în cadrul PDE.</w:t>
      </w:r>
    </w:p>
    <w:p w14:paraId="37E1215D" w14:textId="77777777" w:rsidR="00373AF9" w:rsidRPr="00B528E6" w:rsidRDefault="00373AF9" w:rsidP="00373AF9">
      <w:pPr>
        <w:pStyle w:val="ManualConsidrant"/>
        <w:spacing w:line="360" w:lineRule="auto"/>
        <w:jc w:val="left"/>
        <w:rPr>
          <w:color w:val="000000"/>
        </w:rPr>
      </w:pPr>
      <w:r w:rsidRPr="00B528E6">
        <w:rPr>
          <w:color w:val="000000"/>
        </w:rPr>
        <w:t>(21)</w:t>
      </w:r>
      <w:r w:rsidRPr="00B528E6">
        <w:rPr>
          <w:color w:val="000000"/>
        </w:rPr>
        <w:tab/>
        <w:t>Amenzile prevăzute la articolul 126 alineatul (11) din TFUE nu ar trebui să prevadă o sumă minimă, ci ar trebui să se acumuleze până la luarea unor măsuri eficiente, pentru a constitui un stimulent real de a da curs somațiilor adresate statelor membre în cadrul unei PDE în conformitate cu articolul 126 alineatul (9) din TFUE.</w:t>
      </w:r>
    </w:p>
    <w:p w14:paraId="52C9ACC6" w14:textId="77777777" w:rsidR="00373AF9" w:rsidRPr="00B528E6" w:rsidRDefault="00373AF9" w:rsidP="00373AF9">
      <w:pPr>
        <w:pStyle w:val="ManualConsidrant"/>
        <w:spacing w:line="360" w:lineRule="auto"/>
        <w:jc w:val="left"/>
        <w:rPr>
          <w:color w:val="000000"/>
        </w:rPr>
      </w:pPr>
      <w:r w:rsidRPr="00B528E6">
        <w:rPr>
          <w:color w:val="000000"/>
        </w:rPr>
        <w:br w:type="page"/>
        <w:t>(22)</w:t>
      </w:r>
      <w:r w:rsidRPr="00B528E6">
        <w:rPr>
          <w:color w:val="000000"/>
        </w:rPr>
        <w:tab/>
        <w:t>Dispozițiile referitoare la Regatul Unit ar trebui eliminate.</w:t>
      </w:r>
    </w:p>
    <w:p w14:paraId="0260EC39" w14:textId="4AAFAF67" w:rsidR="00373AF9" w:rsidRPr="00B528E6" w:rsidRDefault="00373AF9" w:rsidP="00373AF9">
      <w:pPr>
        <w:pStyle w:val="ManualConsidrant"/>
        <w:spacing w:line="360" w:lineRule="auto"/>
        <w:jc w:val="left"/>
        <w:rPr>
          <w:color w:val="000000"/>
        </w:rPr>
      </w:pPr>
      <w:r w:rsidRPr="00B528E6">
        <w:rPr>
          <w:color w:val="000000"/>
        </w:rPr>
        <w:t>(23)</w:t>
      </w:r>
      <w:r w:rsidRPr="00B528E6">
        <w:rPr>
          <w:color w:val="000000"/>
        </w:rPr>
        <w:tab/>
        <w:t>Prezentul regulament face parte dintr-un pachet care mai include și Regulamentul (UE) [privind componenta preventivă] și Directiva (UE) [ ...] de modificare a 2011/85/UE privind cerințele referitoare la cadrele bugetare ale statelor membre. Împreună, acestea instituie un cadru reformat de guvernanță economică al Uniunii care încorporează în dreptul Uniunii conținutul titlului III „Pactul bugetar” din Tratatul privind stabilitatea, coordonarea și guvernanța (TSCG) în cadrul uniunii economice și monetare</w:t>
      </w:r>
      <w:r w:rsidRPr="00B528E6">
        <w:rPr>
          <w:rStyle w:val="FootnoteReference"/>
          <w:color w:val="000000"/>
        </w:rPr>
        <w:footnoteReference w:id="9"/>
      </w:r>
      <w:r w:rsidRPr="00B528E6">
        <w:rPr>
          <w:color w:val="000000"/>
        </w:rPr>
        <w:t>, în conformitate cu articolul 16 din TSCG. Bazându-se pe experiența punerii în aplicare a TSCG de către statele membre, pachetul legislativ propus menține orientarea pe termen mediu a pactului bugetar ca instrument de realizare a disciplinei bugetare și de promovare a creșterii. Pachetul include o dimensiune consolidată specifică fiecărei țări, menită să sporească asumarea responsabilității la nivel național, inclusiv prin menținerea rolului instituțiilor fiscal-bugetare independente, care se bazează pe principiile comune ale pactului bugetar propuse de Comisie</w:t>
      </w:r>
      <w:r w:rsidRPr="00B528E6">
        <w:rPr>
          <w:rStyle w:val="FootnoteReference"/>
          <w:b/>
          <w:bCs/>
          <w:color w:val="000000"/>
        </w:rPr>
        <w:footnoteReference w:id="10"/>
      </w:r>
      <w:r w:rsidRPr="00B528E6">
        <w:rPr>
          <w:color w:val="000000"/>
        </w:rPr>
        <w:t xml:space="preserve"> în conformitate cu articolul 3 alineatul (2) din TSCG. Analiza cheltuielilor, exceptând măsurile discreționare privind veniturile, pentru evaluarea globală a conformității impuse de pactul bugetar este prevăzută în Regulamentul (UE) [privind componenta preventivă]. La fel ca în pactul bugetar, abaterile temporare de la planul pe termen mediu sunt permise numai în circumstanțe excepționale, în conformitate cu articolele 24 și 25 din Regulamentul (UE) [privind componenta preventivă] și în conformitate cu dispozițiile privind contul de control. În mod similar pactului bugetar, în cazul unor abateri semnificative de la planul pe termen mediu, ar trebui puse în aplicare măsuri pentru corectarea abaterilor într-un termen stabilit. Pachetul întărește supravegherea bugetară și procedurile de asigurare a respectării normelor, pentru a îndeplini angajamentul de promovare a unor finanțe publice solide și sustenabile și a unei creșteri durabile și favorabile incluziunii. Prin urmare, reforma cadrului de guvernanță economică menține obiectivele fundamentale ale disciplinei bugetare și sustenabilității datoriei prevăzute în TSCG.</w:t>
      </w:r>
    </w:p>
    <w:p w14:paraId="5B5306C5" w14:textId="77777777" w:rsidR="00373AF9" w:rsidRPr="00B528E6" w:rsidRDefault="00373AF9" w:rsidP="00373AF9">
      <w:pPr>
        <w:pStyle w:val="ManualConsidrant"/>
        <w:spacing w:line="360" w:lineRule="auto"/>
        <w:jc w:val="left"/>
        <w:rPr>
          <w:color w:val="000000"/>
        </w:rPr>
      </w:pPr>
      <w:r w:rsidRPr="00B528E6">
        <w:rPr>
          <w:color w:val="000000"/>
        </w:rPr>
        <w:t>(24)</w:t>
      </w:r>
      <w:r w:rsidRPr="00B528E6">
        <w:rPr>
          <w:color w:val="000000"/>
        </w:rPr>
        <w:tab/>
        <w:t>Sunt necesare dispoziții tranzitorii pentru statele membre care fac obiectul unei PDE atunci când intră în vigoare cadrul reformat. Recomandările formulate în temeiul articolului 126 alineatul (7) din TFUE și somațiile emise în temeiul articolului 126 alineatul (9) din TFUE care au fost adoptate înainte de intrarea în vigoare a prezentului regulament de modificare trebuie revizuite pentru a le alinia la dispozițiile articolului 3 alineatul (4) și ale articolului 5 alineatul (1) modificate. Acest lucru ar permite Consiliului să stabilească o traiectorie corectivă a cheltuielilor nete în conformitate cu noile dispoziții pentru statele membre care au luat măsuri, fără a intensifica procedura aplicabilă deficitelor excesive.</w:t>
      </w:r>
    </w:p>
    <w:p w14:paraId="1B379906" w14:textId="77777777" w:rsidR="00373AF9" w:rsidRPr="00B528E6" w:rsidRDefault="00373AF9" w:rsidP="00373AF9">
      <w:pPr>
        <w:pStyle w:val="ManualConsidrant"/>
        <w:spacing w:line="360" w:lineRule="auto"/>
        <w:jc w:val="left"/>
        <w:rPr>
          <w:color w:val="000000"/>
        </w:rPr>
      </w:pPr>
      <w:r w:rsidRPr="00B528E6">
        <w:rPr>
          <w:b/>
          <w:i/>
          <w:color w:val="000000"/>
        </w:rPr>
        <w:t>(24a)</w:t>
      </w:r>
      <w:r w:rsidRPr="00B528E6">
        <w:rPr>
          <w:color w:val="000000"/>
        </w:rPr>
        <w:tab/>
        <w:t>Deși normele aferente procedurii aplicabile deficitelor excesive bazate pe deficit rămân neschimbate, cu o îmbunătățire structurală anuală minimă de cel puțin 0,5 % din PIB drept criteriu de referință, într-un mediu semnificativ modificat al ratelor dobânzii, Comisia, pentru o perioadă de tranziție în 2025, 2026 și 2027 – pentru a nu compromite efectele pozitive ale Mecanismului de redresare și reziliență –, poate ajusta criteriul de referință pentru a ține seama de creșterea plăților de dobânzi atunci când stabilește traiectoria corectivă propusă în legătură cu primul plan bugetar-structural pe termen mediu pentru anii 2025, 2026 și 2027 în cadrul procedurii aplicabile deficitelor excesive, cu condiția ca statul membru în cauză să îndeplinească condițiile prevăzute la articolul 11 litera (c) din Regulamentul (UE) privind componenta preventivă, în concordanță cu obiectivul de realizare a unei tranziții verzi și digitale și de consolidare a capacităților de apărare.</w:t>
      </w:r>
    </w:p>
    <w:p w14:paraId="3EF64369" w14:textId="50E8CDF2" w:rsidR="00373AF9" w:rsidRPr="00B528E6" w:rsidRDefault="00373AF9" w:rsidP="00373AF9">
      <w:pPr>
        <w:pStyle w:val="ManualConsidrant"/>
        <w:spacing w:line="360" w:lineRule="auto"/>
        <w:rPr>
          <w:color w:val="000000"/>
        </w:rPr>
      </w:pPr>
      <w:r w:rsidRPr="00B528E6">
        <w:rPr>
          <w:color w:val="000000"/>
        </w:rPr>
        <w:t>(25)</w:t>
      </w:r>
      <w:r w:rsidRPr="00B528E6">
        <w:rPr>
          <w:color w:val="000000"/>
        </w:rPr>
        <w:tab/>
        <w:t>Prin urmare, Regulamentul (CE) nr. 1467/97 ar trebui să fie modificat în consecință,</w:t>
      </w:r>
    </w:p>
    <w:p w14:paraId="0884F0E2" w14:textId="0E319A5A" w:rsidR="00373AF9" w:rsidRPr="00B528E6" w:rsidRDefault="00373AF9" w:rsidP="00373AF9">
      <w:pPr>
        <w:spacing w:before="120" w:after="120" w:line="360" w:lineRule="auto"/>
        <w:rPr>
          <w:color w:val="000000"/>
        </w:rPr>
      </w:pPr>
      <w:r w:rsidRPr="00B528E6">
        <w:rPr>
          <w:color w:val="000000"/>
        </w:rPr>
        <w:t>ADOPTĂ PREZENTUL REGULAMENT:</w:t>
      </w:r>
    </w:p>
    <w:p w14:paraId="6F19CA7E" w14:textId="77777777" w:rsidR="00373AF9" w:rsidRPr="00B528E6" w:rsidRDefault="00373AF9" w:rsidP="00373AF9">
      <w:pPr>
        <w:pStyle w:val="Titrearticle"/>
        <w:spacing w:before="120" w:line="360" w:lineRule="auto"/>
        <w:rPr>
          <w:color w:val="000000"/>
        </w:rPr>
      </w:pPr>
      <w:r w:rsidRPr="00B528E6">
        <w:rPr>
          <w:color w:val="000000"/>
        </w:rPr>
        <w:t>Articolul 1</w:t>
      </w:r>
    </w:p>
    <w:p w14:paraId="4B7A2D0C" w14:textId="77777777" w:rsidR="00373AF9" w:rsidRPr="00B528E6" w:rsidRDefault="00373AF9" w:rsidP="00373AF9">
      <w:pPr>
        <w:spacing w:before="120" w:after="120" w:line="360" w:lineRule="auto"/>
        <w:rPr>
          <w:color w:val="000000"/>
        </w:rPr>
      </w:pPr>
      <w:r w:rsidRPr="00B528E6">
        <w:rPr>
          <w:color w:val="000000"/>
        </w:rPr>
        <w:t>Regulamentul (CE) nr. 1467/97 se modifică după cum urmează:</w:t>
      </w:r>
    </w:p>
    <w:p w14:paraId="291F0724" w14:textId="77777777" w:rsidR="00373AF9" w:rsidRPr="00B528E6" w:rsidRDefault="00373AF9" w:rsidP="00373AF9">
      <w:pPr>
        <w:pStyle w:val="Point0"/>
        <w:spacing w:line="360" w:lineRule="auto"/>
        <w:rPr>
          <w:color w:val="000000"/>
        </w:rPr>
      </w:pPr>
      <w:r w:rsidRPr="00B528E6">
        <w:rPr>
          <w:color w:val="000000"/>
        </w:rPr>
        <w:t>1.</w:t>
      </w:r>
      <w:r w:rsidRPr="00B528E6">
        <w:rPr>
          <w:color w:val="000000"/>
        </w:rPr>
        <w:tab/>
        <w:t>Articolele 1 și 2 se înlocuiesc cu următorul text:</w:t>
      </w:r>
    </w:p>
    <w:p w14:paraId="2661CB7E" w14:textId="77777777" w:rsidR="00373AF9" w:rsidRPr="00B528E6" w:rsidRDefault="00373AF9" w:rsidP="00373AF9">
      <w:pPr>
        <w:pStyle w:val="Titrearticle"/>
        <w:spacing w:before="120" w:line="360" w:lineRule="auto"/>
        <w:rPr>
          <w:color w:val="000000"/>
          <w:szCs w:val="24"/>
        </w:rPr>
      </w:pPr>
      <w:r w:rsidRPr="00B528E6">
        <w:rPr>
          <w:color w:val="000000"/>
        </w:rPr>
        <w:t>„Articolul 1</w:t>
      </w:r>
    </w:p>
    <w:p w14:paraId="10C86B55"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Prezentul regulament stabilește dispozițiile privind accelerarea și clarificarea punerii în aplicare a procedurii aplicabile deficitelor excesive. Obiectivul procedurii aplicabile deficitelor excesive este descurajarea deficitelor publice excesive și, în situația în care acestea se produc, stimularea corectării lor prompte, respectarea disciplinei bugetare fiind examinată pe baza criteriului deficitului public și a criteriului datoriei publice.</w:t>
      </w:r>
    </w:p>
    <w:p w14:paraId="73CA4516" w14:textId="77777777" w:rsidR="00373AF9" w:rsidRPr="00B528E6" w:rsidRDefault="00373AF9" w:rsidP="00373AF9">
      <w:pPr>
        <w:pStyle w:val="Text1"/>
        <w:spacing w:line="360" w:lineRule="auto"/>
        <w:ind w:left="1417" w:hanging="567"/>
        <w:jc w:val="left"/>
        <w:rPr>
          <w:color w:val="000000"/>
        </w:rPr>
      </w:pPr>
      <w:r w:rsidRPr="00B528E6">
        <w:rPr>
          <w:color w:val="000000"/>
        </w:rPr>
        <w:t>(2)</w:t>
      </w:r>
      <w:r w:rsidRPr="00B528E6">
        <w:rPr>
          <w:color w:val="000000"/>
        </w:rPr>
        <w:tab/>
        <w:t>În sensul prezentului regulament, «state membre participante» înseamnă acele state membre a căror monedă este euro. Se aplică definițiile de la articolul 2 din Regulamentul (UE) [privind componenta preventivă].</w:t>
      </w:r>
    </w:p>
    <w:p w14:paraId="31C95973" w14:textId="1FFB3594" w:rsidR="00373AF9" w:rsidRPr="00B528E6" w:rsidRDefault="00373AF9" w:rsidP="00373AF9">
      <w:pPr>
        <w:pStyle w:val="Titrearticle"/>
        <w:spacing w:before="120" w:line="360" w:lineRule="auto"/>
        <w:rPr>
          <w:color w:val="000000"/>
          <w:szCs w:val="24"/>
        </w:rPr>
      </w:pPr>
      <w:r w:rsidRPr="00B528E6">
        <w:rPr>
          <w:color w:val="000000"/>
        </w:rPr>
        <w:t>Articolul 2</w:t>
      </w:r>
    </w:p>
    <w:p w14:paraId="14795F61"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Deficitul public excesiv care depășește valoarea de referință se consideră a fi excepțional în conformitate cu articolul 126 alineatul (2) litera (a) a doua liniuță din Tratatul privind funcționarea Uniunii Europene (TFUE) dacă rezultă din existența unei recesiuni economice grave în zona euro sau în Uniune în ansamblu, constatată de Consiliu în conformitate cu articolul 24 din Regulamentul (UE) [privind componenta preventivă], sau din circumstanțe excepționale care nu se află sub controlul administrației publice și care au un impact major asupra finanțelor publice ale statului membru în cauză, în conformitate cu articolul 25 din Regulamentul (UE) [privind componenta preventivă].</w:t>
      </w:r>
    </w:p>
    <w:p w14:paraId="0F4CD479" w14:textId="77777777" w:rsidR="00373AF9" w:rsidRPr="00B528E6" w:rsidRDefault="00373AF9" w:rsidP="00373AF9">
      <w:pPr>
        <w:pStyle w:val="Text1"/>
        <w:spacing w:line="360" w:lineRule="auto"/>
        <w:ind w:left="1418"/>
        <w:jc w:val="left"/>
        <w:rPr>
          <w:color w:val="000000"/>
        </w:rPr>
      </w:pPr>
      <w:r w:rsidRPr="00B528E6">
        <w:rPr>
          <w:color w:val="000000"/>
        </w:rPr>
        <w:t>De asemenea, depășirea valorii de referință se consideră temporară atunci când previziunile bugetare furnizate de Comisie indică faptul că deficitul va scădea sub valoarea de referință după încheierea recesiunii economice grave sau a circumstanțelor excepționale menționate la primul paragraf.</w:t>
      </w:r>
    </w:p>
    <w:p w14:paraId="117FDD55" w14:textId="1A0A66E7" w:rsidR="00373AF9" w:rsidRPr="00B528E6" w:rsidRDefault="00373AF9" w:rsidP="00B528E6">
      <w:pPr>
        <w:pStyle w:val="Text1"/>
        <w:spacing w:line="360" w:lineRule="auto"/>
        <w:ind w:left="1417" w:hanging="567"/>
        <w:jc w:val="left"/>
        <w:rPr>
          <w:color w:val="000000"/>
        </w:rPr>
      </w:pPr>
      <w:r w:rsidRPr="00B528E6">
        <w:rPr>
          <w:color w:val="000000"/>
        </w:rPr>
        <w:t>(1a) </w:t>
      </w:r>
      <w:r w:rsidR="006333B8" w:rsidRPr="00B528E6">
        <w:rPr>
          <w:color w:val="000000"/>
        </w:rPr>
        <w:tab/>
      </w:r>
      <w:r w:rsidRPr="00B528E6">
        <w:rPr>
          <w:color w:val="000000"/>
        </w:rPr>
        <w:t>Atunci când depășește valoarea de referință, se consideră că raportul dintre datoria publică și produsul intern brut (PIB) scade suficient și se apropie de valoarea de referință într-un ritm satisfăcător, în conformitate cu articolul 126 alineatul (2) litera (b) din TFUE, dacă statul membru în cauză își respectă traiectoria cheltuielilor nete.</w:t>
      </w:r>
    </w:p>
    <w:p w14:paraId="715AC245" w14:textId="456EA88E" w:rsidR="00373AF9" w:rsidRPr="00B528E6" w:rsidRDefault="006333B8" w:rsidP="00B528E6">
      <w:pPr>
        <w:pStyle w:val="Text1"/>
        <w:spacing w:line="360" w:lineRule="auto"/>
        <w:ind w:left="1417" w:hanging="567"/>
        <w:jc w:val="left"/>
        <w:rPr>
          <w:color w:val="000000"/>
        </w:rPr>
      </w:pPr>
      <w:r w:rsidRPr="00B528E6">
        <w:rPr>
          <w:color w:val="000000"/>
        </w:rPr>
        <w:t>(2)</w:t>
      </w:r>
      <w:r w:rsidRPr="00B528E6">
        <w:rPr>
          <w:color w:val="000000"/>
        </w:rPr>
        <w:tab/>
      </w:r>
      <w:r w:rsidR="00373AF9" w:rsidRPr="00B528E6">
        <w:rPr>
          <w:color w:val="000000"/>
        </w:rPr>
        <w:t>Comisia elaborează un raport în conformitate cu articolul 126 alineatul (3) din TFUE atunci când ponderea datoriei publice în PIB depășește valoarea de referință, poziția bugetară nu este aproape de echilibru sau în excedent, iar abaterile înregistrate în contul de control al statului membru depășesc:</w:t>
      </w:r>
    </w:p>
    <w:p w14:paraId="41DBBA57" w14:textId="77777777" w:rsidR="00373AF9" w:rsidRPr="00B528E6" w:rsidRDefault="00373AF9" w:rsidP="00373AF9">
      <w:pPr>
        <w:pStyle w:val="Text1"/>
        <w:spacing w:line="360" w:lineRule="auto"/>
        <w:ind w:left="1984" w:hanging="567"/>
        <w:jc w:val="left"/>
        <w:rPr>
          <w:color w:val="000000"/>
        </w:rPr>
      </w:pPr>
      <w:r w:rsidRPr="00B528E6">
        <w:rPr>
          <w:color w:val="000000"/>
        </w:rPr>
        <w:t>(a)</w:t>
      </w:r>
      <w:r w:rsidRPr="00B528E6">
        <w:rPr>
          <w:color w:val="000000"/>
        </w:rPr>
        <w:tab/>
        <w:t>0,3 puncte procentuale din PIB pe bază anuală sau</w:t>
      </w:r>
    </w:p>
    <w:p w14:paraId="25887D64" w14:textId="77777777" w:rsidR="00373AF9" w:rsidRPr="00B528E6" w:rsidRDefault="00373AF9" w:rsidP="00373AF9">
      <w:pPr>
        <w:pStyle w:val="Text1"/>
        <w:spacing w:line="360" w:lineRule="auto"/>
        <w:ind w:left="1984" w:hanging="567"/>
        <w:jc w:val="left"/>
        <w:rPr>
          <w:color w:val="000000"/>
        </w:rPr>
      </w:pPr>
      <w:r w:rsidRPr="00B528E6">
        <w:rPr>
          <w:color w:val="000000"/>
        </w:rPr>
        <w:t>(b)</w:t>
      </w:r>
      <w:r w:rsidRPr="00B528E6">
        <w:rPr>
          <w:color w:val="000000"/>
        </w:rPr>
        <w:tab/>
        <w:t>0,6 puncte procentuale din PIB pe bază cumulată.</w:t>
      </w:r>
    </w:p>
    <w:p w14:paraId="003F1A62" w14:textId="77777777" w:rsidR="00373AF9" w:rsidRPr="00B528E6" w:rsidRDefault="00373AF9" w:rsidP="00373AF9">
      <w:pPr>
        <w:pStyle w:val="Text1"/>
        <w:spacing w:line="360" w:lineRule="auto"/>
        <w:ind w:left="1417" w:hanging="567"/>
        <w:jc w:val="left"/>
        <w:rPr>
          <w:color w:val="000000"/>
        </w:rPr>
      </w:pPr>
      <w:r w:rsidRPr="00B528E6">
        <w:rPr>
          <w:color w:val="000000"/>
        </w:rPr>
        <w:t>(3)</w:t>
      </w:r>
      <w:r w:rsidRPr="00B528E6">
        <w:rPr>
          <w:color w:val="000000"/>
        </w:rPr>
        <w:tab/>
        <w:t>La elaborarea raportului în temeiul articolului 126 alineatul (3) din TFUE, Comisia ia în considerare toți factorii relevanți, conform prevederilor articolului respectiv, în măsura în care aceștia influențează semnificativ evaluarea respectării criteriilor privind deficitul și datoria de către statul membru în cauză.</w:t>
      </w:r>
    </w:p>
    <w:p w14:paraId="0FE3C5CC" w14:textId="77777777" w:rsidR="00373AF9" w:rsidRPr="00B528E6" w:rsidRDefault="00373AF9" w:rsidP="00B528E6">
      <w:pPr>
        <w:pStyle w:val="Text1"/>
        <w:spacing w:line="360" w:lineRule="auto"/>
        <w:ind w:left="1418"/>
        <w:jc w:val="left"/>
        <w:rPr>
          <w:color w:val="000000"/>
        </w:rPr>
      </w:pPr>
      <w:r w:rsidRPr="00B528E6">
        <w:rPr>
          <w:color w:val="000000"/>
        </w:rPr>
        <w:t>Raportul reflectă în mod corespunzător:</w:t>
      </w:r>
    </w:p>
    <w:p w14:paraId="3027CC53" w14:textId="77777777" w:rsidR="00373AF9" w:rsidRPr="00B528E6" w:rsidRDefault="00373AF9" w:rsidP="00373AF9">
      <w:pPr>
        <w:pStyle w:val="Point1"/>
        <w:spacing w:line="360" w:lineRule="auto"/>
        <w:ind w:left="1984"/>
        <w:jc w:val="left"/>
        <w:rPr>
          <w:color w:val="000000"/>
        </w:rPr>
      </w:pPr>
      <w:r w:rsidRPr="00B528E6">
        <w:rPr>
          <w:color w:val="000000"/>
        </w:rPr>
        <w:t>(a)</w:t>
      </w:r>
      <w:r w:rsidRPr="00B528E6">
        <w:rPr>
          <w:color w:val="000000"/>
        </w:rPr>
        <w:tab/>
        <w:t>nivelul provocărilor în materie de datorie publică pe baza metodologiei menționate la articolul 8 din Regulamentul [privind componenta preventivă], evoluția poziției datoriei publice și a finanțării acesteia, precum și factorii de risc aferenți, în special structura scadențelor, moneda de denominare a datoriei și datoriile contingente, inclusiv orice datorii implicite legate de îmbătrânirea populației și de datoria privată;</w:t>
      </w:r>
    </w:p>
    <w:p w14:paraId="01D64A41" w14:textId="0343422A" w:rsidR="00373AF9" w:rsidRPr="00B528E6" w:rsidRDefault="00373AF9" w:rsidP="00373AF9">
      <w:pPr>
        <w:pStyle w:val="Point1"/>
        <w:spacing w:line="360" w:lineRule="auto"/>
        <w:ind w:left="1984"/>
        <w:jc w:val="left"/>
        <w:rPr>
          <w:color w:val="000000"/>
        </w:rPr>
      </w:pPr>
      <w:r w:rsidRPr="00B528E6">
        <w:rPr>
          <w:color w:val="000000"/>
        </w:rPr>
        <w:t>(b)</w:t>
      </w:r>
      <w:r w:rsidRPr="00B528E6">
        <w:rPr>
          <w:color w:val="000000"/>
        </w:rPr>
        <w:tab/>
        <w:t>evoluțiile pozițiilor bugetare pe termen mediu, inclusiv, în particular, amploarea abaterii efective de la traiectoria cheltuielilor nete, în termeni anuali și cumulativi măsurați de contul de control;</w:t>
      </w:r>
    </w:p>
    <w:p w14:paraId="14EB4ADA" w14:textId="77777777" w:rsidR="00373AF9" w:rsidRPr="00B528E6" w:rsidRDefault="00373AF9" w:rsidP="00373AF9">
      <w:pPr>
        <w:pStyle w:val="Point1"/>
        <w:spacing w:line="360" w:lineRule="auto"/>
        <w:ind w:left="1984"/>
        <w:jc w:val="left"/>
        <w:rPr>
          <w:color w:val="000000"/>
        </w:rPr>
      </w:pPr>
      <w:r w:rsidRPr="00B528E6">
        <w:rPr>
          <w:color w:val="000000"/>
        </w:rPr>
        <w:t>(c)</w:t>
      </w:r>
      <w:r w:rsidRPr="00B528E6">
        <w:rPr>
          <w:color w:val="000000"/>
        </w:rPr>
        <w:tab/>
        <w:t>evoluțiile poziției economice pe termen mediu, inclusiv creșterea potențială, evoluțiile inflației și evoluțiile ciclice în comparație cu ipotezele care stau la baza traiectoriei cheltuielilor nete;</w:t>
      </w:r>
    </w:p>
    <w:p w14:paraId="21A33942" w14:textId="77777777" w:rsidR="00373AF9" w:rsidRPr="00B528E6" w:rsidRDefault="00373AF9" w:rsidP="00373AF9">
      <w:pPr>
        <w:pStyle w:val="Point1"/>
        <w:spacing w:line="360" w:lineRule="auto"/>
        <w:ind w:left="1984"/>
        <w:jc w:val="left"/>
        <w:rPr>
          <w:color w:val="000000"/>
        </w:rPr>
      </w:pPr>
      <w:r w:rsidRPr="00B528E6">
        <w:rPr>
          <w:color w:val="000000"/>
        </w:rPr>
        <w:t>(d)</w:t>
      </w:r>
      <w:r w:rsidRPr="00B528E6">
        <w:rPr>
          <w:color w:val="000000"/>
        </w:rPr>
        <w:tab/>
        <w:t xml:space="preserve">progresul punerii în aplicare a reformelor și a investițiilor, inclusiv, în particular, a politicilor de prevenire și corectare a dezechilibrelor macroeconomice și a politicilor de implementare a strategiei comune a Uniunii privind creșterea economică și ocuparea forței de muncă, inclusiv a celor sprijinite de </w:t>
      </w:r>
      <w:proofErr w:type="spellStart"/>
      <w:r w:rsidRPr="00B528E6">
        <w:rPr>
          <w:color w:val="000000"/>
        </w:rPr>
        <w:t>NextGenerationEU</w:t>
      </w:r>
      <w:proofErr w:type="spellEnd"/>
      <w:r w:rsidRPr="00B528E6">
        <w:rPr>
          <w:color w:val="000000"/>
        </w:rPr>
        <w:t>, precum și calitatea generală a finanțelor publice, în special eficacitatea cadrelor bugetare naționale;</w:t>
      </w:r>
    </w:p>
    <w:p w14:paraId="0DD85BF7" w14:textId="77777777" w:rsidR="00373AF9" w:rsidRPr="00B528E6" w:rsidRDefault="00373AF9" w:rsidP="00373AF9">
      <w:pPr>
        <w:pStyle w:val="Point1"/>
        <w:spacing w:line="360" w:lineRule="auto"/>
        <w:ind w:left="1984"/>
        <w:jc w:val="left"/>
        <w:rPr>
          <w:color w:val="000000"/>
        </w:rPr>
      </w:pPr>
      <w:r w:rsidRPr="00B528E6">
        <w:rPr>
          <w:b/>
          <w:i/>
          <w:color w:val="000000"/>
        </w:rPr>
        <w:t>(da)</w:t>
      </w:r>
      <w:r w:rsidRPr="00B528E6">
        <w:rPr>
          <w:b/>
          <w:i/>
          <w:color w:val="000000"/>
        </w:rPr>
        <w:tab/>
      </w:r>
      <w:r w:rsidRPr="00B528E6">
        <w:rPr>
          <w:color w:val="000000"/>
        </w:rPr>
        <w:t>creșterea investițiilor publice în apărare, după caz, luând în considerare totodată momentul înregistrării cheltuielilor cu echipamentele militare.</w:t>
      </w:r>
    </w:p>
    <w:p w14:paraId="404CD50B" w14:textId="77777777" w:rsidR="00373AF9" w:rsidRPr="00B528E6" w:rsidRDefault="00373AF9" w:rsidP="00373AF9">
      <w:pPr>
        <w:pStyle w:val="Text1"/>
        <w:spacing w:line="360" w:lineRule="auto"/>
        <w:ind w:left="1417" w:hanging="567"/>
        <w:jc w:val="left"/>
        <w:rPr>
          <w:color w:val="000000"/>
        </w:rPr>
      </w:pPr>
      <w:r w:rsidRPr="00B528E6">
        <w:rPr>
          <w:color w:val="000000"/>
        </w:rPr>
        <w:t>(4)</w:t>
      </w:r>
      <w:r w:rsidRPr="00B528E6">
        <w:rPr>
          <w:color w:val="000000"/>
        </w:rPr>
        <w:tab/>
        <w:t>Comisia ține seama în mod adecvat și expres de orice alți factori care, în opinia statului membru în cauză, sunt relevanți pentru evaluarea globală a respectării criteriilor privind deficitul și datoria și pe care statul membru i-a prezentat Consiliului și Comisiei. În acest context, o atenție specială trebuie acordată contribuțiilor financiare destinate promovării solidarității internaționale și realizării priorităților comune ale Uniunii menționate în Regulamentul (UE) [privind componenta preventivă].</w:t>
      </w:r>
    </w:p>
    <w:p w14:paraId="5E95D751" w14:textId="77777777" w:rsidR="00373AF9" w:rsidRPr="00B528E6" w:rsidRDefault="00373AF9" w:rsidP="00373AF9">
      <w:pPr>
        <w:pStyle w:val="Text1"/>
        <w:spacing w:line="360" w:lineRule="auto"/>
        <w:ind w:left="1418"/>
        <w:jc w:val="left"/>
        <w:rPr>
          <w:rFonts w:eastAsia="Times New Roman"/>
          <w:b/>
          <w:bCs/>
          <w:color w:val="000000"/>
        </w:rPr>
      </w:pPr>
      <w:r w:rsidRPr="00B528E6">
        <w:rPr>
          <w:color w:val="000000"/>
        </w:rPr>
        <w:br w:type="page"/>
        <w:t>Consiliul și Comisia realizează o evaluare globală echilibrată a tuturor factorilor relevanți, în special a măsurii în care aceștia influențează evaluarea respectării criteriului deficitului și/sau a criteriului datoriei ca factori agravanți sau atenuanți. Situația în care statul membru se confruntă cu provocări substanțiale în materie de datorie publică, astfel cum sunt menționate la alineatul (3) litera (a), este considerată drept factor agravant esențial. Evoluțiile economice, bugetare și financiare ciclice favorabile nu sunt considerate factori atenuanți, în timp ce evoluțiile nefavorabile pot fi considerate factori atenuanți.</w:t>
      </w:r>
    </w:p>
    <w:p w14:paraId="357233D7" w14:textId="77777777" w:rsidR="00373AF9" w:rsidRPr="00B528E6" w:rsidRDefault="00373AF9" w:rsidP="00373AF9">
      <w:pPr>
        <w:pStyle w:val="Text1"/>
        <w:spacing w:line="360" w:lineRule="auto"/>
        <w:ind w:left="1418"/>
        <w:jc w:val="left"/>
        <w:rPr>
          <w:color w:val="000000"/>
          <w:shd w:val="clear" w:color="auto" w:fill="FFFFFF"/>
        </w:rPr>
      </w:pPr>
      <w:r w:rsidRPr="00B528E6">
        <w:rPr>
          <w:color w:val="000000"/>
        </w:rPr>
        <w:t>La evaluarea conformității pe baza criteriului deficitului, dacă ponderea datoriei publice în PIB depășește valoarea de referință, acești factori se iau în considerare în etapele care conduc la decizia privind existența unui deficit excesiv conform prevederilor articolului 126 alineatele (4), (5) și (6) din TFUE doar în cazul în care este integral îndeplinită dubla condiție a principiului general conform căruia, pentru a putea lua în considerare acești factori relevanți, deficitul public trebuie să rămână apropiat de valoarea de referință, iar depășirea valorii de referință are caracter temporar.</w:t>
      </w:r>
    </w:p>
    <w:p w14:paraId="793B8AC8" w14:textId="77777777" w:rsidR="00373AF9" w:rsidRPr="00B528E6" w:rsidRDefault="00373AF9" w:rsidP="00373AF9">
      <w:pPr>
        <w:pStyle w:val="Text1"/>
        <w:spacing w:line="360" w:lineRule="auto"/>
        <w:ind w:left="1418"/>
        <w:jc w:val="left"/>
        <w:rPr>
          <w:color w:val="000000"/>
        </w:rPr>
      </w:pPr>
      <w:r w:rsidRPr="00B528E6">
        <w:rPr>
          <w:color w:val="000000"/>
        </w:rPr>
        <w:t>Cu toate acestea, la evaluarea conformității pe baza criteriului datoriei, acești factori se iau în considerare în etapele care conduc la decizia privind existența unui deficit excesiv.</w:t>
      </w:r>
    </w:p>
    <w:p w14:paraId="7C480606" w14:textId="464DFF1A" w:rsidR="00373AF9" w:rsidRPr="00B528E6" w:rsidRDefault="00373AF9" w:rsidP="00373AF9">
      <w:pPr>
        <w:pStyle w:val="Text1"/>
        <w:spacing w:line="360" w:lineRule="auto"/>
        <w:ind w:left="1417" w:hanging="567"/>
        <w:jc w:val="left"/>
        <w:rPr>
          <w:color w:val="000000"/>
        </w:rPr>
      </w:pPr>
      <w:r w:rsidRPr="00B528E6">
        <w:rPr>
          <w:color w:val="000000"/>
        </w:rPr>
        <w:t>(5)</w:t>
      </w:r>
      <w:r w:rsidRPr="00B528E6">
        <w:rPr>
          <w:color w:val="000000"/>
        </w:rPr>
        <w:tab/>
        <w:t>Atunci când statelor membre li se permite să se abată de la traiectoria cheltuielilor lor nete în temeiul articolului 24 și al articolului 25 din Regulamentul (UE) [privind componenta preventivă], Comisia și Consiliul pot decide, în evaluarea lor, să nu concluzioneze că există un deficit excesiv.</w:t>
      </w:r>
    </w:p>
    <w:p w14:paraId="721C1F9E" w14:textId="77777777" w:rsidR="00373AF9" w:rsidRPr="00B528E6" w:rsidRDefault="00373AF9" w:rsidP="00373AF9">
      <w:pPr>
        <w:pStyle w:val="Text1"/>
        <w:spacing w:line="360" w:lineRule="auto"/>
        <w:ind w:left="1417" w:hanging="567"/>
        <w:jc w:val="left"/>
        <w:rPr>
          <w:color w:val="000000"/>
        </w:rPr>
      </w:pPr>
      <w:r w:rsidRPr="00B528E6">
        <w:rPr>
          <w:color w:val="000000"/>
        </w:rPr>
        <w:t>(6)</w:t>
      </w:r>
      <w:r w:rsidRPr="00B528E6">
        <w:rPr>
          <w:color w:val="000000"/>
        </w:rPr>
        <w:tab/>
        <w:t>În cazul în care Consiliul, hotărând în temeiul articolului 126 alineatul (6) din TFUE, decide că există un deficit excesiv într-un stat membru, Consiliul și Comisia țin seama, în cadrul etapelor procedurale ulterioare prevăzute la articolul menționat din TFUE, de factorii relevanți menționați la alineatul (3) de la prezentul articol, având în vedere că aceștia influențează situația statului membru în cauză, inclusiv conform celor menționate la articolul 5 alineatul (2) din prezentul regulament, în special atunci când se decide asupra unui termen pentru corectarea deficitului excesiv și, eventual, asupra prelungirii termenului respectiv. Cu toate acestea, factorii relevanți respectivi nu se iau în considerare pentru decizia Consiliului în temeiul articolului 126 alineatul (12) din TFUE privind abrogarea unora sau a tuturor deciziilor sale în temeiul articolului 126 alineatele (6)-(9) și alineatul (11) din TFUE.</w:t>
      </w:r>
    </w:p>
    <w:p w14:paraId="3BF5F1F3" w14:textId="77777777" w:rsidR="00373AF9" w:rsidRPr="00B528E6" w:rsidRDefault="00373AF9" w:rsidP="00373AF9">
      <w:pPr>
        <w:pStyle w:val="Text1"/>
        <w:spacing w:line="360" w:lineRule="auto"/>
        <w:ind w:left="1418"/>
        <w:jc w:val="left"/>
        <w:rPr>
          <w:b/>
          <w:i/>
          <w:color w:val="000000"/>
        </w:rPr>
      </w:pPr>
      <w:r w:rsidRPr="00B528E6">
        <w:rPr>
          <w:b/>
          <w:i/>
          <w:color w:val="000000"/>
        </w:rPr>
        <w:t>_____________</w:t>
      </w:r>
    </w:p>
    <w:p w14:paraId="654FD35D" w14:textId="77777777" w:rsidR="00373AF9" w:rsidRPr="00B528E6" w:rsidRDefault="00373AF9" w:rsidP="00373AF9">
      <w:pPr>
        <w:pStyle w:val="Text1"/>
        <w:spacing w:line="360" w:lineRule="auto"/>
        <w:ind w:left="1418"/>
        <w:jc w:val="left"/>
        <w:rPr>
          <w:color w:val="000000"/>
        </w:rPr>
      </w:pPr>
      <w:r w:rsidRPr="00B528E6">
        <w:rPr>
          <w:b/>
          <w:i/>
          <w:color w:val="000000"/>
        </w:rPr>
        <w:t xml:space="preserve">* Regulamentul </w:t>
      </w:r>
      <w:r w:rsidRPr="00B528E6">
        <w:rPr>
          <w:b/>
          <w:i/>
          <w:szCs w:val="24"/>
        </w:rPr>
        <w:t>(UE) […] din [a se insera data] [a se introduce titlul complet] (JO L …).</w:t>
      </w:r>
      <w:r w:rsidRPr="00B528E6">
        <w:rPr>
          <w:color w:val="000000"/>
        </w:rPr>
        <w:t>”</w:t>
      </w:r>
    </w:p>
    <w:p w14:paraId="426C79B1" w14:textId="77777777" w:rsidR="00373AF9" w:rsidRPr="00B528E6" w:rsidRDefault="00373AF9" w:rsidP="00373AF9">
      <w:pPr>
        <w:pStyle w:val="Point0"/>
        <w:spacing w:line="360" w:lineRule="auto"/>
        <w:jc w:val="left"/>
        <w:rPr>
          <w:color w:val="000000"/>
        </w:rPr>
      </w:pPr>
      <w:r w:rsidRPr="00B528E6">
        <w:rPr>
          <w:color w:val="000000"/>
        </w:rPr>
        <w:t>2.</w:t>
      </w:r>
      <w:r w:rsidRPr="00B528E6">
        <w:rPr>
          <w:color w:val="000000"/>
        </w:rPr>
        <w:tab/>
        <w:t>Articolul 3 se înlocuiește cu următorul text:</w:t>
      </w:r>
    </w:p>
    <w:p w14:paraId="56854C26" w14:textId="77777777" w:rsidR="00373AF9" w:rsidRPr="00B528E6" w:rsidRDefault="00373AF9" w:rsidP="00373AF9">
      <w:pPr>
        <w:pStyle w:val="Titrearticle"/>
        <w:spacing w:before="120" w:line="360" w:lineRule="auto"/>
        <w:rPr>
          <w:color w:val="000000"/>
          <w:szCs w:val="24"/>
        </w:rPr>
      </w:pPr>
      <w:r w:rsidRPr="00B528E6">
        <w:rPr>
          <w:color w:val="000000"/>
        </w:rPr>
        <w:t>„Articolul 3</w:t>
      </w:r>
    </w:p>
    <w:p w14:paraId="52C72745" w14:textId="77777777" w:rsidR="00373AF9" w:rsidRPr="00B528E6" w:rsidRDefault="00373AF9" w:rsidP="00373AF9">
      <w:pPr>
        <w:pStyle w:val="Text1"/>
        <w:spacing w:line="360" w:lineRule="auto"/>
        <w:ind w:left="1417" w:hanging="567"/>
        <w:jc w:val="left"/>
        <w:rPr>
          <w:b/>
          <w:bCs/>
          <w:color w:val="000000"/>
        </w:rPr>
      </w:pPr>
      <w:r w:rsidRPr="00B528E6">
        <w:rPr>
          <w:color w:val="000000"/>
        </w:rPr>
        <w:t>(1)</w:t>
      </w:r>
      <w:r w:rsidRPr="00B528E6">
        <w:rPr>
          <w:color w:val="000000"/>
        </w:rPr>
        <w:tab/>
        <w:t>În decurs de două săptămâni de la adoptarea de către Comisie a unui raport emis în conformitate cu articolul 126 alineatul (3) din TFUE, Comitetul economic și financiar formulează un aviz în conformitate cu articolul 126 alineatul (4) din TFUE.</w:t>
      </w:r>
    </w:p>
    <w:p w14:paraId="3D3A5743" w14:textId="77777777" w:rsidR="00373AF9" w:rsidRPr="00B528E6" w:rsidRDefault="00373AF9" w:rsidP="00373AF9">
      <w:pPr>
        <w:pStyle w:val="Text1"/>
        <w:spacing w:line="360" w:lineRule="auto"/>
        <w:ind w:left="1417" w:hanging="567"/>
        <w:jc w:val="left"/>
        <w:rPr>
          <w:color w:val="000000"/>
        </w:rPr>
      </w:pPr>
      <w:r w:rsidRPr="00B528E6">
        <w:rPr>
          <w:color w:val="000000"/>
        </w:rPr>
        <w:t>(2)</w:t>
      </w:r>
      <w:r w:rsidRPr="00B528E6">
        <w:rPr>
          <w:color w:val="000000"/>
        </w:rPr>
        <w:tab/>
        <w:t>Ținând pe deplin cont de avizul menționat la alineatul (1) de la prezentul articol, în cazul în care consideră că există un deficit excesiv, Comisia adresează un aviz și o propunere Consiliului în conformitate cu articolul 126 alineatele (5) și (6) din TFUE și informează Parlamentul European.</w:t>
      </w:r>
    </w:p>
    <w:p w14:paraId="02326CFA" w14:textId="39406AFB" w:rsidR="00373AF9" w:rsidRPr="00B528E6" w:rsidRDefault="00373AF9" w:rsidP="00373AF9">
      <w:pPr>
        <w:pStyle w:val="Text1"/>
        <w:spacing w:line="360" w:lineRule="auto"/>
        <w:ind w:left="1417" w:hanging="567"/>
        <w:jc w:val="left"/>
        <w:rPr>
          <w:color w:val="000000"/>
        </w:rPr>
      </w:pPr>
      <w:r w:rsidRPr="00B528E6">
        <w:rPr>
          <w:color w:val="000000"/>
        </w:rPr>
        <w:t>(3)</w:t>
      </w:r>
      <w:r w:rsidRPr="00B528E6">
        <w:rPr>
          <w:color w:val="000000"/>
        </w:rPr>
        <w:tab/>
        <w:t>Consiliul decide cu privire la existența unui deficit excesiv în conformitate cu articolul 126 alineatul (6) din TFUE de regulă în decurs de patru luni de la datele de raportare prevăzute la articolul 3 alineatele (2) și (3) din Regulamentul (CE) nr. 479/2009. Atunci când decide că există un deficit excesiv, Consiliul face, în același timp, recomandări statului membru respectiv în conformitate cu articolul 126 alineatul (7) din TFUE. Consiliul își face publice deciziile în temeiul articolului 126 alineatul (6) din TFUE.</w:t>
      </w:r>
    </w:p>
    <w:p w14:paraId="2DFF9D3B" w14:textId="6C2B0882" w:rsidR="00373AF9" w:rsidRPr="00B528E6" w:rsidRDefault="00373AF9" w:rsidP="00053E26">
      <w:pPr>
        <w:pStyle w:val="Text1"/>
        <w:spacing w:line="360" w:lineRule="auto"/>
        <w:ind w:left="1417" w:hanging="567"/>
        <w:jc w:val="left"/>
        <w:rPr>
          <w:color w:val="000000"/>
        </w:rPr>
      </w:pPr>
      <w:r w:rsidRPr="00B528E6">
        <w:rPr>
          <w:color w:val="000000"/>
        </w:rPr>
        <w:t>(4)</w:t>
      </w:r>
      <w:r w:rsidRPr="00B528E6">
        <w:rPr>
          <w:color w:val="000000"/>
        </w:rPr>
        <w:tab/>
        <w:t>Recomandarea Consiliului emisă în conformitate cu articolul 126 alineatul (7) din TFUE stabilește un termen de maximum șase luni pentru ca respectivul stat membru să întreprindă măsuri eficiente. Atunci când gravitatea situației justifică acest lucru, termenul acordat pentru a întreprinde măsuri eficiente poate fi stabilit la trei luni. Recomandarea Consiliului stabilește, de asemenea, un termen pentru corectarea deficitului excesiv.</w:t>
      </w:r>
      <w:r w:rsidR="00053E26">
        <w:rPr>
          <w:color w:val="000000"/>
        </w:rPr>
        <w:t xml:space="preserve"> </w:t>
      </w:r>
      <w:r w:rsidRPr="00B528E6">
        <w:rPr>
          <w:color w:val="000000"/>
        </w:rPr>
        <w:t>În recomandarea sa, Consiliul solicită totodată ca statul membru să implementeze o traiectorie corectivă a cheltuielilor nete care să garanteze că deficitul public rămâne sub valoarea de referință sau este adus și menținut sub aceasta în termenul stabilit în recomandare.</w:t>
      </w:r>
      <w:r w:rsidR="00053E26">
        <w:rPr>
          <w:color w:val="000000"/>
        </w:rPr>
        <w:t xml:space="preserve"> </w:t>
      </w:r>
      <w:r w:rsidRPr="00B528E6">
        <w:rPr>
          <w:color w:val="000000"/>
        </w:rPr>
        <w:t>În cazul în care procedura aplicabilă deficitelor excesive a fost inițiată pe baza criteriului deficitului, pentru exercițiile în care se preconizează că deficitul public va depăși valoarea de referință, traiectoria corectivă a cheltuielilor nete este în concordanță cu o ajustare structurală anuală minimă de cel puțin 0,5 % din PIB drept criteriu de referință.</w:t>
      </w:r>
    </w:p>
    <w:p w14:paraId="423FAEE2" w14:textId="7754E431" w:rsidR="00373AF9" w:rsidRPr="00B528E6" w:rsidRDefault="00373AF9" w:rsidP="00373AF9">
      <w:pPr>
        <w:pStyle w:val="Text1"/>
        <w:spacing w:line="360" w:lineRule="auto"/>
        <w:ind w:left="1418"/>
        <w:jc w:val="left"/>
        <w:rPr>
          <w:color w:val="000000"/>
        </w:rPr>
      </w:pPr>
      <w:r w:rsidRPr="00B528E6">
        <w:rPr>
          <w:color w:val="000000"/>
        </w:rPr>
        <w:t>În cazul în care procedura aplicabilă deficitelor excesive a fost inițiată pe baza criteriului datoriei, traiectoria corectivă a cheltuielilor nete este cel puțin la fel de exigentă ca traiectoria cheltuielilor nete adoptată de Consiliu în conformitate cu articolul 16 din Regulamentul (UE) [privind componenta preventivă] și corectează, de regulă, abaterile cumulate din contul de control în termenul stabilit de Consiliu.</w:t>
      </w:r>
    </w:p>
    <w:p w14:paraId="2024F4C3" w14:textId="77777777" w:rsidR="00373AF9" w:rsidRPr="00B528E6" w:rsidRDefault="00373AF9" w:rsidP="00373AF9">
      <w:pPr>
        <w:pStyle w:val="Text1"/>
        <w:spacing w:line="360" w:lineRule="auto"/>
        <w:ind w:left="1417" w:hanging="567"/>
        <w:jc w:val="left"/>
        <w:rPr>
          <w:color w:val="000000"/>
        </w:rPr>
      </w:pPr>
      <w:r w:rsidRPr="00B528E6">
        <w:rPr>
          <w:color w:val="000000"/>
        </w:rPr>
        <w:t>(5)</w:t>
      </w:r>
      <w:r w:rsidRPr="00B528E6">
        <w:rPr>
          <w:color w:val="000000"/>
        </w:rPr>
        <w:tab/>
        <w:t>În termenul prevăzut la alineatul (4) de la prezentul articol, statul membru în cauză raportează Consiliului și Comisiei cu privire la măsurile luate ca răspuns la recomandarea Consiliului emisă în conformitate cu articolul 126 alineatul (7) din TFUE. În ceea ce privește cheltuielile și veniturile publice, precum și măsurile discreționare atât pe partea de cheltuieli, cât și pe partea de venituri, raportul include țintele stabilite în conformitate cu recomandarea Consiliului, precum și informații cu privire la măsurile luate și la natura măsurilor preconizate pentru atingerea țintelor. Statul membru publică respectivul raport. Statul membru poate invita instituția fiscal-bugetară independentă relevantă să prezinte un raport separat, fără caracter juridic obligatoriu, în care să analizeze dacă măsurile luate și cele preconizate în raport cu țintele sunt suficiente.</w:t>
      </w:r>
    </w:p>
    <w:p w14:paraId="44CE9C74" w14:textId="0EC310CF" w:rsidR="00373AF9" w:rsidRPr="00B528E6" w:rsidRDefault="00373AF9" w:rsidP="00373AF9">
      <w:pPr>
        <w:pStyle w:val="Text1"/>
        <w:spacing w:line="360" w:lineRule="auto"/>
        <w:ind w:left="1417" w:hanging="567"/>
        <w:jc w:val="left"/>
        <w:rPr>
          <w:color w:val="000000"/>
        </w:rPr>
      </w:pPr>
      <w:r w:rsidRPr="00B528E6">
        <w:rPr>
          <w:color w:val="000000"/>
        </w:rPr>
        <w:t>(6)</w:t>
      </w:r>
      <w:r w:rsidRPr="00B528E6">
        <w:rPr>
          <w:color w:val="000000"/>
        </w:rPr>
        <w:tab/>
        <w:t>Consiliul poate decide, pe baza unei recomandări din partea Comisiei, să adopte o recomandare revizuită în temeiul articolului 126 alineatul (7) din TFUE în cazul în care:</w:t>
      </w:r>
    </w:p>
    <w:p w14:paraId="4554F026" w14:textId="77777777" w:rsidR="00373AF9" w:rsidRPr="00B528E6" w:rsidRDefault="00373AF9" w:rsidP="00373AF9">
      <w:pPr>
        <w:pStyle w:val="Text1"/>
        <w:spacing w:line="360" w:lineRule="auto"/>
        <w:ind w:left="1984" w:hanging="567"/>
        <w:jc w:val="left"/>
        <w:rPr>
          <w:color w:val="000000"/>
        </w:rPr>
      </w:pPr>
      <w:r w:rsidRPr="00B528E6">
        <w:rPr>
          <w:color w:val="000000"/>
        </w:rPr>
        <w:t>(a)</w:t>
      </w:r>
      <w:r w:rsidRPr="00B528E6">
        <w:rPr>
          <w:color w:val="000000"/>
        </w:rPr>
        <w:tab/>
        <w:t>au fost luate măsuri eficiente ca răspuns la o astfel de recomandare și se aplică condițiile menționate la articolul 25 din Regulamentul (UE) [privind componenta preventivă] sau</w:t>
      </w:r>
    </w:p>
    <w:p w14:paraId="668DABC2" w14:textId="77777777" w:rsidR="00373AF9" w:rsidRPr="00B528E6" w:rsidRDefault="00373AF9" w:rsidP="00373AF9">
      <w:pPr>
        <w:pStyle w:val="Text1"/>
        <w:spacing w:line="360" w:lineRule="auto"/>
        <w:ind w:left="1984" w:hanging="567"/>
        <w:jc w:val="left"/>
        <w:rPr>
          <w:color w:val="000000"/>
        </w:rPr>
      </w:pPr>
      <w:r w:rsidRPr="00B528E6">
        <w:rPr>
          <w:color w:val="000000"/>
        </w:rPr>
        <w:t>(b)</w:t>
      </w:r>
      <w:r w:rsidRPr="00B528E6">
        <w:rPr>
          <w:color w:val="000000"/>
        </w:rPr>
        <w:tab/>
        <w:t>se aplică condițiile menționate la articolul 24 din Regulamentul (UE) [privind componenta preventivă].</w:t>
      </w:r>
    </w:p>
    <w:p w14:paraId="64031607" w14:textId="77777777" w:rsidR="00373AF9" w:rsidRPr="00B528E6" w:rsidRDefault="00373AF9" w:rsidP="00373AF9">
      <w:pPr>
        <w:pStyle w:val="Text1"/>
        <w:spacing w:line="360" w:lineRule="auto"/>
        <w:ind w:left="1276"/>
        <w:jc w:val="left"/>
        <w:rPr>
          <w:color w:val="000000"/>
        </w:rPr>
      </w:pPr>
      <w:r w:rsidRPr="00B528E6">
        <w:rPr>
          <w:color w:val="000000"/>
        </w:rPr>
        <w:t>Recomandarea revizuită poate, în particular, prelungi termenul acordat pentru corectarea deficitului excesiv, în principiu cu un an.”</w:t>
      </w:r>
    </w:p>
    <w:p w14:paraId="6571019A" w14:textId="77777777" w:rsidR="00373AF9" w:rsidRPr="00B528E6" w:rsidRDefault="00373AF9" w:rsidP="00373AF9">
      <w:pPr>
        <w:pStyle w:val="Point0"/>
        <w:spacing w:line="360" w:lineRule="auto"/>
        <w:jc w:val="left"/>
        <w:rPr>
          <w:color w:val="000000"/>
        </w:rPr>
      </w:pPr>
      <w:r w:rsidRPr="00B528E6">
        <w:rPr>
          <w:color w:val="000000"/>
        </w:rPr>
        <w:t>3.</w:t>
      </w:r>
      <w:r w:rsidRPr="00B528E6">
        <w:rPr>
          <w:color w:val="000000"/>
        </w:rPr>
        <w:tab/>
        <w:t>Articolul 4 se înlocuiește cu următorul text:</w:t>
      </w:r>
    </w:p>
    <w:p w14:paraId="3B5762D6" w14:textId="77777777" w:rsidR="00373AF9" w:rsidRPr="00B528E6" w:rsidRDefault="00373AF9" w:rsidP="00373AF9">
      <w:pPr>
        <w:pStyle w:val="Titrearticle"/>
        <w:spacing w:before="120" w:line="360" w:lineRule="auto"/>
        <w:rPr>
          <w:color w:val="000000"/>
          <w:szCs w:val="24"/>
        </w:rPr>
      </w:pPr>
      <w:r w:rsidRPr="00B528E6">
        <w:rPr>
          <w:color w:val="000000"/>
        </w:rPr>
        <w:t>„Articolul 4</w:t>
      </w:r>
    </w:p>
    <w:p w14:paraId="2277892E"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Pentru a stabili dacă au fost întreprinse măsuri eficiente ca urmare a recomandărilor sale făcute în temeiul articolului 126 alineatul (7) din TFUE, Consiliul își bazează decizia pe raportul prezentat de către statul membru în cauză în conformitate cu articolul 3 alineatul (5) din prezentul regulament și pe implementarea sa, precum și pe orice alte decizii suficient de detaliate anunțate public de guvernul statului membru în cauză.</w:t>
      </w:r>
    </w:p>
    <w:p w14:paraId="5ED67097" w14:textId="77777777" w:rsidR="00373AF9" w:rsidRPr="00B528E6" w:rsidRDefault="00373AF9" w:rsidP="00373AF9">
      <w:pPr>
        <w:pStyle w:val="Text1"/>
        <w:spacing w:line="360" w:lineRule="auto"/>
        <w:ind w:left="1418"/>
        <w:jc w:val="left"/>
        <w:rPr>
          <w:color w:val="000000"/>
        </w:rPr>
      </w:pPr>
      <w:r w:rsidRPr="00B528E6">
        <w:rPr>
          <w:color w:val="000000"/>
        </w:rPr>
        <w:t>Atunci când stabilește, în conformitate cu articolul 126 alineatul (8) din TFUE, că statul membru în cauză nu a întreprins măsuri eficiente, Consiliul informează în consecință Consiliul European.</w:t>
      </w:r>
    </w:p>
    <w:p w14:paraId="63AA4A9D" w14:textId="6C6882FA" w:rsidR="00373AF9" w:rsidRPr="00B528E6" w:rsidRDefault="00373AF9" w:rsidP="00373AF9">
      <w:pPr>
        <w:pStyle w:val="Text1"/>
        <w:spacing w:line="360" w:lineRule="auto"/>
        <w:ind w:left="1417" w:hanging="567"/>
        <w:jc w:val="left"/>
        <w:rPr>
          <w:color w:val="000000"/>
        </w:rPr>
      </w:pPr>
      <w:r w:rsidRPr="00B528E6">
        <w:rPr>
          <w:color w:val="000000"/>
        </w:rPr>
        <w:t>(2)</w:t>
      </w:r>
      <w:r w:rsidRPr="00B528E6">
        <w:rPr>
          <w:color w:val="000000"/>
        </w:rPr>
        <w:tab/>
        <w:t>Orice decizie a Consiliului în temeiul articolului 126 alineatul (8) din TFUE de a publica recomandările acestuia atunci când se constată că nu au fost întreprinse măsuri eficiente se ia imediat după expirarea termenului stabilit în conformitate cu articolul 3 alineatul (4) din prezentul regulament.”</w:t>
      </w:r>
    </w:p>
    <w:p w14:paraId="16FD493F" w14:textId="77777777" w:rsidR="00373AF9" w:rsidRPr="00B528E6" w:rsidRDefault="00373AF9" w:rsidP="00373AF9">
      <w:pPr>
        <w:pStyle w:val="Point0"/>
        <w:spacing w:line="360" w:lineRule="auto"/>
        <w:jc w:val="left"/>
        <w:rPr>
          <w:color w:val="000000"/>
        </w:rPr>
      </w:pPr>
      <w:r w:rsidRPr="00B528E6">
        <w:rPr>
          <w:color w:val="000000"/>
        </w:rPr>
        <w:t>4.</w:t>
      </w:r>
      <w:r w:rsidRPr="00B528E6">
        <w:rPr>
          <w:color w:val="000000"/>
        </w:rPr>
        <w:tab/>
        <w:t>Articolul 5 se modifică după cum urmează:</w:t>
      </w:r>
    </w:p>
    <w:p w14:paraId="0DEFB20F" w14:textId="77777777" w:rsidR="00373AF9" w:rsidRPr="00B528E6" w:rsidRDefault="00373AF9" w:rsidP="00373AF9">
      <w:pPr>
        <w:pStyle w:val="Point1"/>
        <w:spacing w:line="360" w:lineRule="auto"/>
        <w:jc w:val="left"/>
        <w:rPr>
          <w:color w:val="000000"/>
        </w:rPr>
      </w:pPr>
      <w:r w:rsidRPr="00B528E6">
        <w:rPr>
          <w:color w:val="000000"/>
        </w:rPr>
        <w:t>(a)</w:t>
      </w:r>
      <w:r w:rsidRPr="00B528E6">
        <w:rPr>
          <w:color w:val="000000"/>
        </w:rPr>
        <w:tab/>
        <w:t>alineatul (1) se înlocuiește cu următorul text:</w:t>
      </w:r>
    </w:p>
    <w:p w14:paraId="3F8E9775" w14:textId="77777777" w:rsidR="00373AF9" w:rsidRPr="00B528E6" w:rsidRDefault="00373AF9" w:rsidP="00373AF9">
      <w:pPr>
        <w:pStyle w:val="Text2"/>
        <w:spacing w:line="360" w:lineRule="auto"/>
        <w:ind w:left="1984" w:hanging="567"/>
        <w:jc w:val="left"/>
        <w:rPr>
          <w:color w:val="000000"/>
        </w:rPr>
      </w:pPr>
      <w:r w:rsidRPr="00B528E6">
        <w:rPr>
          <w:color w:val="000000"/>
        </w:rPr>
        <w:t>„(1)</w:t>
      </w:r>
      <w:r w:rsidRPr="00B528E6">
        <w:rPr>
          <w:color w:val="000000"/>
        </w:rPr>
        <w:tab/>
        <w:t>Orice decizie a Consiliului de a soma statul membru participant să ia măsuri de reducere a deficitului în conformitate cu articolul 126 alineatul (9) din TFUE se ia în termen de două luni de la decizia Consiliului adoptată în temeiul articolului 126 alineatul (8) din TFUE prin care se constată că nu s-au întreprins măsuri eficiente. În somația sa, Consiliul solicită ca statul membru să implementeze o traiectorie corectivă a cheltuielilor nete în conformitate cu cerințele stabilite la articolul 3 alineatul (4). Consiliul indică, de asemenea, măsurile care sprijină realizarea traiectoriei corective a cheltuielilor nete.”;</w:t>
      </w:r>
    </w:p>
    <w:p w14:paraId="5C552B35" w14:textId="77777777" w:rsidR="00373AF9" w:rsidRPr="00B528E6" w:rsidRDefault="00373AF9" w:rsidP="00373AF9">
      <w:pPr>
        <w:pStyle w:val="Point1"/>
        <w:spacing w:line="360" w:lineRule="auto"/>
        <w:jc w:val="left"/>
        <w:rPr>
          <w:color w:val="000000"/>
        </w:rPr>
      </w:pPr>
      <w:r w:rsidRPr="00B528E6">
        <w:rPr>
          <w:color w:val="000000"/>
        </w:rPr>
        <w:br w:type="page"/>
        <w:t>(b)</w:t>
      </w:r>
      <w:r w:rsidRPr="00B528E6">
        <w:rPr>
          <w:color w:val="000000"/>
        </w:rPr>
        <w:tab/>
        <w:t>alineatul (2) se înlocuiește cu următorul text:</w:t>
      </w:r>
    </w:p>
    <w:p w14:paraId="4A6789F0" w14:textId="77777777" w:rsidR="00373AF9" w:rsidRPr="00B528E6" w:rsidRDefault="00373AF9" w:rsidP="00373AF9">
      <w:pPr>
        <w:widowControl/>
        <w:spacing w:before="120" w:after="120" w:line="360" w:lineRule="auto"/>
        <w:ind w:left="1984" w:hanging="567"/>
        <w:rPr>
          <w:color w:val="000000"/>
        </w:rPr>
      </w:pPr>
      <w:r w:rsidRPr="00B528E6">
        <w:rPr>
          <w:color w:val="000000"/>
        </w:rPr>
        <w:t>„(2)</w:t>
      </w:r>
      <w:r w:rsidRPr="00B528E6">
        <w:rPr>
          <w:color w:val="000000"/>
        </w:rPr>
        <w:tab/>
        <w:t>Consiliul poate decide, pe baza unei recomandări din partea Comisiei, să adopte o somație revizuită în temeiul articolului 126 alineatul (9) din TFUE în cazul în care:</w:t>
      </w:r>
    </w:p>
    <w:p w14:paraId="0123956E" w14:textId="77777777" w:rsidR="00373AF9" w:rsidRPr="00B528E6" w:rsidRDefault="00373AF9" w:rsidP="00373AF9">
      <w:pPr>
        <w:widowControl/>
        <w:spacing w:before="120" w:after="120" w:line="360" w:lineRule="auto"/>
        <w:ind w:left="2551" w:hanging="567"/>
        <w:rPr>
          <w:color w:val="000000"/>
        </w:rPr>
      </w:pPr>
      <w:r w:rsidRPr="00B528E6">
        <w:rPr>
          <w:color w:val="000000"/>
        </w:rPr>
        <w:t>(a)</w:t>
      </w:r>
      <w:r w:rsidRPr="00B528E6">
        <w:rPr>
          <w:color w:val="000000"/>
        </w:rPr>
        <w:tab/>
        <w:t>au fost luate măsuri eficiente ca răspuns la o astfel de somație și se aplică condițiile menționate la articolul 25 din Regulamentul (UE) [privind componenta preventivă] sau</w:t>
      </w:r>
    </w:p>
    <w:p w14:paraId="4D285D40" w14:textId="77777777" w:rsidR="00373AF9" w:rsidRPr="00B528E6" w:rsidRDefault="00373AF9" w:rsidP="00373AF9">
      <w:pPr>
        <w:widowControl/>
        <w:spacing w:before="120" w:after="120" w:line="360" w:lineRule="auto"/>
        <w:ind w:left="2551" w:hanging="567"/>
        <w:rPr>
          <w:color w:val="000000"/>
        </w:rPr>
      </w:pPr>
      <w:r w:rsidRPr="00B528E6">
        <w:rPr>
          <w:color w:val="000000"/>
        </w:rPr>
        <w:t>(b)</w:t>
      </w:r>
      <w:r w:rsidRPr="00B528E6">
        <w:rPr>
          <w:color w:val="000000"/>
        </w:rPr>
        <w:tab/>
        <w:t>se aplică condițiile menționate la articolul 24 din Regulamentul (UE) [privind componenta preventivă].</w:t>
      </w:r>
    </w:p>
    <w:p w14:paraId="208E343F" w14:textId="77777777" w:rsidR="00373AF9" w:rsidRPr="00B528E6" w:rsidRDefault="00373AF9" w:rsidP="00373AF9">
      <w:pPr>
        <w:spacing w:before="120" w:after="120" w:line="360" w:lineRule="auto"/>
        <w:ind w:left="1985"/>
        <w:rPr>
          <w:color w:val="000000"/>
        </w:rPr>
      </w:pPr>
      <w:r w:rsidRPr="00B528E6">
        <w:rPr>
          <w:color w:val="000000"/>
        </w:rPr>
        <w:t>Somația revizuită poate, în particular, prelungi termenul acordat pentru corectarea deficitului excesiv, în principiu cu un an.”</w:t>
      </w:r>
    </w:p>
    <w:p w14:paraId="0A772B95" w14:textId="77777777" w:rsidR="00373AF9" w:rsidRPr="00B528E6" w:rsidRDefault="00373AF9" w:rsidP="00373AF9">
      <w:pPr>
        <w:pStyle w:val="Point0"/>
        <w:spacing w:line="360" w:lineRule="auto"/>
        <w:jc w:val="left"/>
        <w:rPr>
          <w:color w:val="000000"/>
        </w:rPr>
      </w:pPr>
      <w:r w:rsidRPr="00B528E6">
        <w:rPr>
          <w:color w:val="000000"/>
        </w:rPr>
        <w:t>5.</w:t>
      </w:r>
      <w:r w:rsidRPr="00B528E6">
        <w:rPr>
          <w:color w:val="000000"/>
        </w:rPr>
        <w:tab/>
        <w:t>La articolul 6, alineatul (1) se înlocuiește cu următorul text:</w:t>
      </w:r>
    </w:p>
    <w:p w14:paraId="18CFACAD" w14:textId="77777777" w:rsidR="00373AF9" w:rsidRPr="00B528E6" w:rsidRDefault="00373AF9" w:rsidP="00373AF9">
      <w:pPr>
        <w:pStyle w:val="ListParagraph"/>
        <w:spacing w:line="360" w:lineRule="auto"/>
        <w:ind w:left="1417" w:hanging="567"/>
        <w:contextualSpacing w:val="0"/>
        <w:jc w:val="left"/>
        <w:rPr>
          <w:color w:val="000000"/>
        </w:rPr>
      </w:pPr>
      <w:r w:rsidRPr="00B528E6">
        <w:rPr>
          <w:color w:val="000000"/>
        </w:rPr>
        <w:t>„(1)</w:t>
      </w:r>
      <w:r w:rsidRPr="00B528E6">
        <w:rPr>
          <w:color w:val="000000"/>
        </w:rPr>
        <w:tab/>
        <w:t>Pentru a stabili dacă au fost întreprinse măsuri eficiente ca răspuns la somația sa adoptată în temeiul articolului 126 alineatul (9) din TFUE, Consiliul își bazează decizia pe raportul prezentat de statul membru în cauză în conformitate cu articolul 5 alineatul (1a) din prezentul regulament și pe implementarea acestuia, precum și pe orice alte decizii suficient de detaliate anunțate public de guvernul statului membru în cauză. Se ia în considerare și rezultatul misiunii de supraveghere desfășurate de Comisie în conformitate cu articolul 10a din prezentul regulament.”</w:t>
      </w:r>
    </w:p>
    <w:p w14:paraId="72202F81" w14:textId="0075B05A" w:rsidR="00373AF9" w:rsidRPr="00B528E6" w:rsidRDefault="00373AF9" w:rsidP="00373AF9">
      <w:pPr>
        <w:pStyle w:val="Point0"/>
        <w:spacing w:line="360" w:lineRule="auto"/>
        <w:rPr>
          <w:color w:val="000000"/>
        </w:rPr>
      </w:pPr>
      <w:r w:rsidRPr="00B528E6">
        <w:rPr>
          <w:color w:val="000000"/>
        </w:rPr>
        <w:t>6.</w:t>
      </w:r>
      <w:r w:rsidRPr="00B528E6">
        <w:rPr>
          <w:color w:val="000000"/>
        </w:rPr>
        <w:tab/>
        <w:t>Articolul 8 se înlocuiește cu următorul text:</w:t>
      </w:r>
    </w:p>
    <w:p w14:paraId="57CB4CB7" w14:textId="77777777" w:rsidR="00373AF9" w:rsidRPr="00B528E6" w:rsidRDefault="00373AF9" w:rsidP="00373AF9">
      <w:pPr>
        <w:pStyle w:val="Titrearticle"/>
        <w:spacing w:before="120" w:line="360" w:lineRule="auto"/>
        <w:rPr>
          <w:color w:val="000000"/>
          <w:szCs w:val="24"/>
        </w:rPr>
      </w:pPr>
      <w:r w:rsidRPr="00B528E6">
        <w:rPr>
          <w:color w:val="000000"/>
        </w:rPr>
        <w:t>„Articolul 8</w:t>
      </w:r>
    </w:p>
    <w:p w14:paraId="2D4AF534"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Orice decizie de a înăspri sancțiunile, luată de Consiliu în temeiul articolului 126 alineatul (11) din TFUE, se adoptă în termen de maximum două luni de la datele de raportare prevăzute în Regulamentul (CE) nr. 479/2009.</w:t>
      </w:r>
    </w:p>
    <w:p w14:paraId="2FAD94DF" w14:textId="77777777" w:rsidR="00373AF9" w:rsidRPr="00B528E6" w:rsidRDefault="00373AF9" w:rsidP="00373AF9">
      <w:pPr>
        <w:pStyle w:val="Text1"/>
        <w:spacing w:line="360" w:lineRule="auto"/>
        <w:ind w:left="1417" w:hanging="567"/>
        <w:jc w:val="left"/>
        <w:rPr>
          <w:color w:val="000000"/>
        </w:rPr>
      </w:pPr>
      <w:r w:rsidRPr="00B528E6">
        <w:rPr>
          <w:color w:val="000000"/>
        </w:rPr>
        <w:t>(2)</w:t>
      </w:r>
      <w:r w:rsidRPr="00B528E6">
        <w:rPr>
          <w:color w:val="000000"/>
        </w:rPr>
        <w:tab/>
        <w:t>Orice decizie privind abrogarea unora sau a tuturor deciziilor sale, luată de Consiliu în temeiul articolului 126 alineatul (12) din TFUE, se adoptă cât de curând posibil, în termen de maximum două luni de la datele de raportare prevăzute de Regulamentul (CE) nr. 479/2009.</w:t>
      </w:r>
    </w:p>
    <w:p w14:paraId="313505B4" w14:textId="77777777" w:rsidR="00373AF9" w:rsidRPr="00B528E6" w:rsidRDefault="00373AF9" w:rsidP="00373AF9">
      <w:pPr>
        <w:pStyle w:val="Text1"/>
        <w:spacing w:line="360" w:lineRule="auto"/>
        <w:ind w:left="1417" w:hanging="567"/>
        <w:jc w:val="left"/>
        <w:rPr>
          <w:color w:val="000000"/>
        </w:rPr>
      </w:pPr>
      <w:r w:rsidRPr="00B528E6">
        <w:rPr>
          <w:color w:val="000000"/>
        </w:rPr>
        <w:t>(3)</w:t>
      </w:r>
      <w:r w:rsidRPr="00B528E6">
        <w:rPr>
          <w:color w:val="000000"/>
        </w:rPr>
        <w:tab/>
        <w:t>O decizie a Consiliului se adoptă în temeiul articolului 126 alineatul (12) din TFUE numai în cazul în care deficitul a fost adus sub valoarea de referință și Comisia estimează că va rămâne astfel în exercițiul curent și în exercițiul următor, iar acolo unde procedura aplicabilă deficitelor excesive a fost inițiată pe baza criteriului datoriei, statul membru în cauză a respectat traiectoria corectivă a cheltuielilor nete stabilită de Consiliu în conformitate cu articolul 3 alineatul (4) sau cu articolul 5 alineatul (1) din prezentul regulament.”</w:t>
      </w:r>
    </w:p>
    <w:p w14:paraId="5A28AA4C" w14:textId="3DFB262A" w:rsidR="00373AF9" w:rsidRPr="00B528E6" w:rsidRDefault="00373AF9" w:rsidP="00373AF9">
      <w:pPr>
        <w:pStyle w:val="Point0"/>
        <w:spacing w:line="360" w:lineRule="auto"/>
        <w:jc w:val="left"/>
        <w:rPr>
          <w:color w:val="000000"/>
        </w:rPr>
      </w:pPr>
      <w:r w:rsidRPr="00B528E6">
        <w:rPr>
          <w:color w:val="000000"/>
        </w:rPr>
        <w:t>7.</w:t>
      </w:r>
      <w:r w:rsidRPr="00B528E6">
        <w:rPr>
          <w:color w:val="000000"/>
        </w:rPr>
        <w:tab/>
        <w:t>La articolul 9, alineatul (1) se înlocuiește cu următorul text:</w:t>
      </w:r>
    </w:p>
    <w:p w14:paraId="651A12A1" w14:textId="77777777" w:rsidR="00373AF9" w:rsidRPr="00B528E6" w:rsidRDefault="00373AF9" w:rsidP="00373AF9">
      <w:pPr>
        <w:pStyle w:val="ListParagraph"/>
        <w:spacing w:line="360" w:lineRule="auto"/>
        <w:ind w:left="1417" w:hanging="567"/>
        <w:contextualSpacing w:val="0"/>
        <w:jc w:val="left"/>
        <w:rPr>
          <w:color w:val="000000"/>
        </w:rPr>
      </w:pPr>
      <w:r w:rsidRPr="00B528E6">
        <w:rPr>
          <w:color w:val="000000"/>
        </w:rPr>
        <w:t>„(1)</w:t>
      </w:r>
      <w:r w:rsidRPr="00B528E6">
        <w:rPr>
          <w:color w:val="000000"/>
        </w:rPr>
        <w:tab/>
        <w:t>Procedura aplicabilă deficitelor excesive se suspendă:</w:t>
      </w:r>
    </w:p>
    <w:p w14:paraId="34498F58" w14:textId="77777777" w:rsidR="00373AF9" w:rsidRPr="00B528E6" w:rsidRDefault="00373AF9" w:rsidP="00373AF9">
      <w:pPr>
        <w:pStyle w:val="Point2"/>
        <w:spacing w:line="360" w:lineRule="auto"/>
        <w:jc w:val="left"/>
        <w:rPr>
          <w:color w:val="000000"/>
        </w:rPr>
      </w:pPr>
      <w:r w:rsidRPr="00B528E6">
        <w:rPr>
          <w:color w:val="000000"/>
        </w:rPr>
        <w:t>(a)</w:t>
      </w:r>
      <w:r w:rsidRPr="00B528E6">
        <w:rPr>
          <w:color w:val="000000"/>
        </w:rPr>
        <w:tab/>
        <w:t>dacă statul membru în cauză acționează în conformitate cu recomandările făcute în conformitate cu articolul 126 alineatul (7) din TFUE;</w:t>
      </w:r>
    </w:p>
    <w:p w14:paraId="050CE92E" w14:textId="77777777" w:rsidR="00373AF9" w:rsidRPr="00B528E6" w:rsidRDefault="00373AF9" w:rsidP="00373AF9">
      <w:pPr>
        <w:pStyle w:val="Point2"/>
        <w:spacing w:line="360" w:lineRule="auto"/>
        <w:jc w:val="left"/>
        <w:rPr>
          <w:color w:val="000000"/>
        </w:rPr>
      </w:pPr>
      <w:r w:rsidRPr="00B528E6">
        <w:rPr>
          <w:color w:val="000000"/>
        </w:rPr>
        <w:t>(b)</w:t>
      </w:r>
      <w:r w:rsidRPr="00B528E6">
        <w:rPr>
          <w:color w:val="000000"/>
        </w:rPr>
        <w:tab/>
        <w:t>dacă statul membru participant în cauză acționează în conformitate cu somațiile făcute conform articolului 126 alineatul (9) din TFUE.”</w:t>
      </w:r>
    </w:p>
    <w:p w14:paraId="5B5A44C1" w14:textId="77777777" w:rsidR="00373AF9" w:rsidRPr="00B528E6" w:rsidRDefault="00373AF9" w:rsidP="00373AF9">
      <w:pPr>
        <w:pStyle w:val="Point0"/>
        <w:spacing w:line="360" w:lineRule="auto"/>
        <w:jc w:val="left"/>
        <w:rPr>
          <w:color w:val="000000"/>
        </w:rPr>
      </w:pPr>
      <w:r w:rsidRPr="00B528E6">
        <w:rPr>
          <w:color w:val="000000"/>
        </w:rPr>
        <w:t>8.</w:t>
      </w:r>
      <w:r w:rsidRPr="00B528E6">
        <w:rPr>
          <w:color w:val="000000"/>
        </w:rPr>
        <w:tab/>
        <w:t>Articolul 10 se înlocuiește cu următorul text:</w:t>
      </w:r>
    </w:p>
    <w:p w14:paraId="310C7F0C" w14:textId="77777777" w:rsidR="00373AF9" w:rsidRPr="00B528E6" w:rsidRDefault="00373AF9" w:rsidP="00373AF9">
      <w:pPr>
        <w:pStyle w:val="Titrearticle"/>
        <w:spacing w:before="120" w:line="360" w:lineRule="auto"/>
        <w:rPr>
          <w:color w:val="000000"/>
          <w:szCs w:val="24"/>
        </w:rPr>
      </w:pPr>
      <w:r w:rsidRPr="00B528E6">
        <w:rPr>
          <w:color w:val="000000"/>
        </w:rPr>
        <w:t>„Articolul 10</w:t>
      </w:r>
    </w:p>
    <w:p w14:paraId="4772CE85"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Consiliul și Comisia monitorizează cu regularitate punerea în aplicare a măsurilor întreprinse:</w:t>
      </w:r>
    </w:p>
    <w:p w14:paraId="1A699205" w14:textId="77777777" w:rsidR="00373AF9" w:rsidRPr="00B528E6" w:rsidRDefault="00373AF9" w:rsidP="00373AF9">
      <w:pPr>
        <w:pStyle w:val="Text1"/>
        <w:spacing w:line="360" w:lineRule="auto"/>
        <w:ind w:left="1984" w:hanging="567"/>
        <w:jc w:val="left"/>
        <w:rPr>
          <w:color w:val="000000"/>
        </w:rPr>
      </w:pPr>
      <w:r w:rsidRPr="00B528E6">
        <w:rPr>
          <w:color w:val="000000"/>
        </w:rPr>
        <w:t>- de către statul membru în cauză ca urmare a recomandărilor făcute în temeiul articolului 126 alineatul (7) din TFUE;</w:t>
      </w:r>
    </w:p>
    <w:p w14:paraId="5F138B27" w14:textId="77777777" w:rsidR="00373AF9" w:rsidRPr="00B528E6" w:rsidRDefault="00373AF9" w:rsidP="00373AF9">
      <w:pPr>
        <w:pStyle w:val="Text1"/>
        <w:spacing w:line="360" w:lineRule="auto"/>
        <w:ind w:left="1984" w:hanging="567"/>
        <w:jc w:val="left"/>
        <w:rPr>
          <w:color w:val="000000"/>
        </w:rPr>
      </w:pPr>
      <w:r w:rsidRPr="00B528E6">
        <w:rPr>
          <w:color w:val="000000"/>
        </w:rPr>
        <w:t>- de către statul membru participant în cauză ca urmare a somațiilor făcute în temeiul articolului 126 alineatul (9) din TFUE.</w:t>
      </w:r>
    </w:p>
    <w:p w14:paraId="0BCE3FFF" w14:textId="77777777" w:rsidR="00373AF9" w:rsidRPr="00B528E6" w:rsidRDefault="00373AF9" w:rsidP="00373AF9">
      <w:pPr>
        <w:pStyle w:val="Text1"/>
        <w:spacing w:line="360" w:lineRule="auto"/>
        <w:ind w:left="1417" w:hanging="567"/>
        <w:jc w:val="left"/>
        <w:rPr>
          <w:color w:val="000000"/>
        </w:rPr>
      </w:pPr>
      <w:r w:rsidRPr="00B528E6">
        <w:rPr>
          <w:color w:val="000000"/>
        </w:rPr>
        <w:t>(2)</w:t>
      </w:r>
      <w:r w:rsidRPr="00B528E6">
        <w:rPr>
          <w:color w:val="000000"/>
        </w:rPr>
        <w:tab/>
        <w:t>Atunci când un stat membru participant nu pune în aplicare măsurile sau când, în opinia Consiliului, măsurile se dovedesc a nu fi adecvate, Consiliul ia imediat o decizie în temeiul articolului 126 alineatul (9) din TFUE, respectiv al articolului 126 alineatul (11) din TFUE.</w:t>
      </w:r>
    </w:p>
    <w:p w14:paraId="0279D18A" w14:textId="66F3FF4F" w:rsidR="00373AF9" w:rsidRPr="00B528E6" w:rsidRDefault="00373AF9" w:rsidP="00373AF9">
      <w:pPr>
        <w:pStyle w:val="Text1"/>
        <w:spacing w:line="360" w:lineRule="auto"/>
        <w:ind w:left="1417" w:hanging="567"/>
        <w:jc w:val="left"/>
        <w:rPr>
          <w:color w:val="000000"/>
        </w:rPr>
      </w:pPr>
      <w:r w:rsidRPr="00B528E6">
        <w:rPr>
          <w:color w:val="000000"/>
        </w:rPr>
        <w:t>(3)</w:t>
      </w:r>
      <w:r w:rsidRPr="00B528E6">
        <w:rPr>
          <w:color w:val="000000"/>
        </w:rPr>
        <w:tab/>
        <w:t>Dacă datele reale, conform Regulamentului (CE) nr. 479/2009, indică faptul că un deficit excesiv nu a fost corectat de către un stat membru participant în termenele specificate fie în recomandările emise în temeiul articolului 126 alineatul (7) din TFUE, fie în somațiile emise în temeiul articolului 126 alineatul (9) din TFUE, Consiliul ia imediat o decizie în temeiul articolului 126 alineatul (9) din TFUE sau, respectiv, al articolului 126 alineatul (11) din TFUE.”</w:t>
      </w:r>
    </w:p>
    <w:p w14:paraId="16683B94" w14:textId="77777777" w:rsidR="00373AF9" w:rsidRPr="00B528E6" w:rsidRDefault="00373AF9" w:rsidP="00373AF9">
      <w:pPr>
        <w:pStyle w:val="Point0"/>
        <w:spacing w:line="360" w:lineRule="auto"/>
        <w:jc w:val="left"/>
        <w:rPr>
          <w:color w:val="000000"/>
        </w:rPr>
      </w:pPr>
      <w:r w:rsidRPr="00B528E6">
        <w:rPr>
          <w:color w:val="000000"/>
        </w:rPr>
        <w:t>9.</w:t>
      </w:r>
      <w:r w:rsidRPr="00B528E6">
        <w:rPr>
          <w:color w:val="000000"/>
        </w:rPr>
        <w:tab/>
        <w:t>Articolul 10a se modifică după cum urmează:</w:t>
      </w:r>
    </w:p>
    <w:p w14:paraId="37C26932" w14:textId="77777777" w:rsidR="00373AF9" w:rsidRPr="00B528E6" w:rsidRDefault="00373AF9" w:rsidP="00373AF9">
      <w:pPr>
        <w:pStyle w:val="Point1"/>
        <w:spacing w:line="360" w:lineRule="auto"/>
        <w:jc w:val="left"/>
        <w:rPr>
          <w:color w:val="000000"/>
        </w:rPr>
      </w:pPr>
      <w:r w:rsidRPr="00B528E6">
        <w:rPr>
          <w:color w:val="000000"/>
        </w:rPr>
        <w:t>(a)</w:t>
      </w:r>
      <w:r w:rsidRPr="00B528E6">
        <w:rPr>
          <w:color w:val="000000"/>
        </w:rPr>
        <w:tab/>
        <w:t>alineatul (1) se înlocuiește cu următorul text:</w:t>
      </w:r>
    </w:p>
    <w:p w14:paraId="384A7822" w14:textId="77777777" w:rsidR="00373AF9" w:rsidRPr="00B528E6" w:rsidRDefault="00373AF9" w:rsidP="00373AF9">
      <w:pPr>
        <w:widowControl/>
        <w:spacing w:before="120" w:after="120" w:line="360" w:lineRule="auto"/>
        <w:ind w:left="1984" w:hanging="567"/>
        <w:rPr>
          <w:color w:val="000000"/>
        </w:rPr>
      </w:pPr>
      <w:r w:rsidRPr="00B528E6">
        <w:rPr>
          <w:color w:val="000000"/>
        </w:rPr>
        <w:t>„(1)</w:t>
      </w:r>
      <w:r w:rsidRPr="00B528E6">
        <w:rPr>
          <w:color w:val="000000"/>
        </w:rPr>
        <w:tab/>
      </w:r>
      <w:r w:rsidRPr="00B528E6">
        <w:rPr>
          <w:color w:val="000000"/>
          <w:shd w:val="clear" w:color="auto" w:fill="FFFFFF"/>
        </w:rPr>
        <w:t>Comisia</w:t>
      </w:r>
      <w:r w:rsidRPr="00B528E6">
        <w:rPr>
          <w:color w:val="000000"/>
        </w:rPr>
        <w:t xml:space="preserve"> asigură un dialog permanent cu autoritățile din statele membre în conformitate cu obiectivele prezentului regulament. În acest sens, în special, Comisia desfășoară misiuni pentru a evalua situația economică reală din statul membru, pentru a identifica eventualele riscuri sau dificultăți legate de atingerea obiectivelor prezentului regulament și pentru a permite un dialog cu alte părți interesate relevante, inclusiv cu instituțiile fiscal-bugetare independente naționale.”;</w:t>
      </w:r>
    </w:p>
    <w:p w14:paraId="1BEF8972" w14:textId="39966E23" w:rsidR="00373AF9" w:rsidRPr="00B528E6" w:rsidRDefault="00373AF9" w:rsidP="00373AF9">
      <w:pPr>
        <w:pStyle w:val="Point1"/>
        <w:spacing w:line="360" w:lineRule="auto"/>
        <w:jc w:val="left"/>
        <w:rPr>
          <w:color w:val="000000"/>
        </w:rPr>
      </w:pPr>
      <w:r w:rsidRPr="00B528E6">
        <w:rPr>
          <w:color w:val="000000"/>
        </w:rPr>
        <w:t>(b)</w:t>
      </w:r>
      <w:r w:rsidRPr="00B528E6">
        <w:rPr>
          <w:color w:val="000000"/>
        </w:rPr>
        <w:tab/>
        <w:t>alineatul (2) se înlocuiește cu următorul text:</w:t>
      </w:r>
    </w:p>
    <w:p w14:paraId="4F788CC4" w14:textId="77777777" w:rsidR="00373AF9" w:rsidRPr="00B528E6" w:rsidRDefault="00373AF9" w:rsidP="00373AF9">
      <w:pPr>
        <w:widowControl/>
        <w:spacing w:before="120" w:after="120" w:line="360" w:lineRule="auto"/>
        <w:ind w:left="1984" w:hanging="567"/>
        <w:rPr>
          <w:b/>
          <w:color w:val="000000"/>
          <w:szCs w:val="24"/>
        </w:rPr>
      </w:pPr>
      <w:r w:rsidRPr="00B528E6">
        <w:rPr>
          <w:color w:val="000000"/>
        </w:rPr>
        <w:t>„(2)</w:t>
      </w:r>
      <w:r w:rsidRPr="00B528E6">
        <w:rPr>
          <w:color w:val="000000"/>
        </w:rPr>
        <w:tab/>
        <w:t>În urma adoptării de către Consiliu a unei somații în temeiul articolului 126 alineatul (9) din TFUE și la cererea parlamentului statului membru în cauză, Comisia poate prezenta propria evaluare a situației economice și fiscal-bugetare din statul membru în cauză. Supravegherea consolidată poate fi exercitată în cazul statelor membre care fac obiectul unor recomandări și somații emise în urma unei decizii adoptate în temeiul articolului 126 alineatul (8) și a deciziilor adoptate în temeiul articolului 126 alineatul (11) din TFUE în vederea monitorizării la fața locului. Statele membre în cauză pun la dispoziție toate informațiile necesare pentru pregătirea și desfășurarea misiunii.”</w:t>
      </w:r>
    </w:p>
    <w:p w14:paraId="5EBD1770" w14:textId="77777777" w:rsidR="00373AF9" w:rsidRPr="00B528E6" w:rsidRDefault="00373AF9" w:rsidP="00373AF9">
      <w:pPr>
        <w:pStyle w:val="Point0"/>
        <w:spacing w:line="360" w:lineRule="auto"/>
        <w:jc w:val="left"/>
        <w:rPr>
          <w:color w:val="000000"/>
        </w:rPr>
      </w:pPr>
      <w:r w:rsidRPr="00B528E6">
        <w:rPr>
          <w:color w:val="000000"/>
        </w:rPr>
        <w:t>10.</w:t>
      </w:r>
      <w:r w:rsidRPr="00B528E6">
        <w:rPr>
          <w:color w:val="000000"/>
        </w:rPr>
        <w:tab/>
        <w:t>Articolul 12 se înlocuiește cu următorul text:</w:t>
      </w:r>
    </w:p>
    <w:p w14:paraId="17391488" w14:textId="77777777" w:rsidR="00373AF9" w:rsidRPr="00B528E6" w:rsidRDefault="00373AF9" w:rsidP="00373AF9">
      <w:pPr>
        <w:pStyle w:val="Titrearticle"/>
        <w:spacing w:before="120" w:line="360" w:lineRule="auto"/>
        <w:rPr>
          <w:color w:val="000000"/>
        </w:rPr>
      </w:pPr>
      <w:r w:rsidRPr="00B528E6">
        <w:rPr>
          <w:color w:val="000000"/>
        </w:rPr>
        <w:t>„Articolul 12</w:t>
      </w:r>
    </w:p>
    <w:p w14:paraId="03D56E04"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Cuantumul amenzii se ridică până la 0,05 % din cea mai recentă estimare a PIB-ului anului precedent pentru o perioadă de șase luni și se plătește o dată la șase luni până când, potrivit evaluării Consiliului, statul membru în cauză a luat măsuri eficiente ca răspuns la somația emisă în temeiul articolului 126 alineatul (9) din TFUE.</w:t>
      </w:r>
    </w:p>
    <w:p w14:paraId="2DEA434E" w14:textId="77777777" w:rsidR="00373AF9" w:rsidRPr="00B528E6" w:rsidRDefault="00373AF9" w:rsidP="00373AF9">
      <w:pPr>
        <w:pStyle w:val="Text1"/>
        <w:spacing w:line="360" w:lineRule="auto"/>
        <w:ind w:left="1417" w:hanging="567"/>
        <w:jc w:val="left"/>
        <w:rPr>
          <w:color w:val="000000"/>
        </w:rPr>
      </w:pPr>
      <w:r w:rsidRPr="00B528E6">
        <w:rPr>
          <w:color w:val="000000"/>
        </w:rPr>
        <w:br w:type="page"/>
        <w:t>(2)</w:t>
      </w:r>
      <w:r w:rsidRPr="00B528E6">
        <w:rPr>
          <w:color w:val="000000"/>
        </w:rPr>
        <w:tab/>
        <w:t>În fiecare perioadă de șase luni ulterioară celei în care s-a impus amenda și până la abrogarea deciziei privind existența unui deficit excesiv, Consiliul evaluează dacă respectivul stat membru participant a întreprins măsuri eficiente ca răspuns la somația Consiliului în conformitate cu articolul 126 alineatul (9) din TFUE. În această evaluare bianuală, Consiliul decide, în conformitate cu articolul 126 alineatul (11) din TFUE, înăsprirea sancțiunilor, în afara cazului în care statul membru participant s-a conformat somației Consiliului.”</w:t>
      </w:r>
    </w:p>
    <w:p w14:paraId="0F24D57D" w14:textId="77777777" w:rsidR="00373AF9" w:rsidRPr="00B528E6" w:rsidRDefault="00373AF9" w:rsidP="00373AF9">
      <w:pPr>
        <w:pStyle w:val="Point0"/>
        <w:spacing w:line="360" w:lineRule="auto"/>
        <w:jc w:val="left"/>
        <w:rPr>
          <w:color w:val="000000"/>
        </w:rPr>
      </w:pPr>
      <w:r w:rsidRPr="00B528E6">
        <w:rPr>
          <w:color w:val="000000"/>
        </w:rPr>
        <w:t>11.</w:t>
      </w:r>
      <w:r w:rsidRPr="00B528E6">
        <w:rPr>
          <w:color w:val="000000"/>
        </w:rPr>
        <w:tab/>
        <w:t>Articolele 14 și 15 se înlocuiesc cu următorul text:</w:t>
      </w:r>
    </w:p>
    <w:p w14:paraId="131EE133" w14:textId="77777777" w:rsidR="00373AF9" w:rsidRPr="00B528E6" w:rsidRDefault="00373AF9" w:rsidP="00373AF9">
      <w:pPr>
        <w:pStyle w:val="Titrearticle"/>
        <w:spacing w:before="120" w:line="360" w:lineRule="auto"/>
        <w:rPr>
          <w:color w:val="000000"/>
        </w:rPr>
      </w:pPr>
      <w:r w:rsidRPr="00B528E6">
        <w:rPr>
          <w:color w:val="000000"/>
        </w:rPr>
        <w:t>„Articolul 14</w:t>
      </w:r>
    </w:p>
    <w:p w14:paraId="22B20B44"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În conformitate cu articolul 126 alineatul (12) din TFUE, Consiliul abrogă sancțiunile menționate la articolul 126 alineatul (11) prima și a doua liniuță din TFUE în funcție de amploarea progreselor în corectarea deficitului excesiv obținute de statul membru participant în cauză.</w:t>
      </w:r>
    </w:p>
    <w:p w14:paraId="2366E9D9" w14:textId="77777777" w:rsidR="00373AF9" w:rsidRPr="00B528E6" w:rsidRDefault="00373AF9" w:rsidP="00373AF9">
      <w:pPr>
        <w:pStyle w:val="Titrearticle"/>
        <w:spacing w:before="120" w:line="360" w:lineRule="auto"/>
        <w:rPr>
          <w:color w:val="000000"/>
        </w:rPr>
      </w:pPr>
      <w:r w:rsidRPr="00B528E6">
        <w:rPr>
          <w:color w:val="000000"/>
        </w:rPr>
        <w:t>Articolul 15</w:t>
      </w:r>
    </w:p>
    <w:p w14:paraId="3E2601E0" w14:textId="77777777" w:rsidR="00373AF9" w:rsidRPr="00B528E6" w:rsidRDefault="00373AF9" w:rsidP="00373AF9">
      <w:pPr>
        <w:pStyle w:val="Text1"/>
        <w:spacing w:line="360" w:lineRule="auto"/>
        <w:jc w:val="left"/>
        <w:rPr>
          <w:color w:val="000000"/>
        </w:rPr>
      </w:pPr>
      <w:r w:rsidRPr="00B528E6">
        <w:rPr>
          <w:color w:val="000000"/>
        </w:rPr>
        <w:t>În conformitate cu articolul 126 alineatul (12) din TFUE, Consiliul abrogă toate sancțiunile rămase în vigoare dacă decizia privind existența unui deficit excesiv se abrogă. Amenzile impuse în conformitate cu articolul 12 din prezentul regulament nu se rambursează statului membru participant în cauză.”</w:t>
      </w:r>
    </w:p>
    <w:p w14:paraId="5322B242" w14:textId="5B0C18E5" w:rsidR="00373AF9" w:rsidRPr="00B528E6" w:rsidRDefault="00373AF9" w:rsidP="00373AF9">
      <w:pPr>
        <w:pStyle w:val="Point0"/>
        <w:spacing w:line="360" w:lineRule="auto"/>
        <w:rPr>
          <w:color w:val="000000"/>
        </w:rPr>
      </w:pPr>
      <w:r w:rsidRPr="00B528E6">
        <w:rPr>
          <w:color w:val="000000"/>
        </w:rPr>
        <w:t>12.</w:t>
      </w:r>
      <w:r w:rsidRPr="00B528E6">
        <w:rPr>
          <w:color w:val="000000"/>
        </w:rPr>
        <w:tab/>
        <w:t>Articolul 16 se înlocuiește cu următorul text:</w:t>
      </w:r>
    </w:p>
    <w:p w14:paraId="751D7D8B" w14:textId="77777777" w:rsidR="00373AF9" w:rsidRPr="00B528E6" w:rsidRDefault="00373AF9" w:rsidP="00373AF9">
      <w:pPr>
        <w:pStyle w:val="Titrearticle"/>
        <w:spacing w:before="120" w:line="360" w:lineRule="auto"/>
        <w:rPr>
          <w:color w:val="000000"/>
        </w:rPr>
      </w:pPr>
      <w:r w:rsidRPr="00B528E6">
        <w:rPr>
          <w:color w:val="000000"/>
        </w:rPr>
        <w:t>„Articolul 16</w:t>
      </w:r>
    </w:p>
    <w:p w14:paraId="07662919" w14:textId="77777777" w:rsidR="00373AF9" w:rsidRPr="00B528E6" w:rsidRDefault="00373AF9" w:rsidP="00373AF9">
      <w:pPr>
        <w:spacing w:before="120" w:after="120" w:line="360" w:lineRule="auto"/>
        <w:rPr>
          <w:color w:val="000000"/>
        </w:rPr>
      </w:pPr>
      <w:r w:rsidRPr="00B528E6">
        <w:rPr>
          <w:color w:val="000000"/>
        </w:rPr>
        <w:t>Amenzile menționate la articolul 12 constituie venituri generale pentru bugetul Uniunii.”</w:t>
      </w:r>
    </w:p>
    <w:p w14:paraId="75435143" w14:textId="77777777" w:rsidR="00373AF9" w:rsidRPr="00B528E6" w:rsidRDefault="00373AF9" w:rsidP="00373AF9">
      <w:pPr>
        <w:pStyle w:val="Point0"/>
        <w:spacing w:line="360" w:lineRule="auto"/>
        <w:jc w:val="left"/>
        <w:rPr>
          <w:b/>
          <w:i/>
          <w:color w:val="000000"/>
        </w:rPr>
      </w:pPr>
      <w:r w:rsidRPr="00B528E6">
        <w:rPr>
          <w:b/>
          <w:i/>
          <w:color w:val="000000"/>
        </w:rPr>
        <w:t>12a.</w:t>
      </w:r>
      <w:r w:rsidRPr="00B528E6">
        <w:rPr>
          <w:b/>
          <w:i/>
          <w:color w:val="000000"/>
        </w:rPr>
        <w:tab/>
      </w:r>
      <w:r w:rsidRPr="00B528E6">
        <w:rPr>
          <w:color w:val="000000"/>
        </w:rPr>
        <w:t>Articolul 17 se elimină.</w:t>
      </w:r>
    </w:p>
    <w:p w14:paraId="3291657C" w14:textId="77777777" w:rsidR="00373AF9" w:rsidRPr="00B528E6" w:rsidRDefault="00373AF9" w:rsidP="00373AF9">
      <w:pPr>
        <w:pStyle w:val="Point0"/>
        <w:spacing w:line="360" w:lineRule="auto"/>
        <w:jc w:val="left"/>
        <w:rPr>
          <w:color w:val="000000"/>
        </w:rPr>
      </w:pPr>
      <w:r w:rsidRPr="00B528E6">
        <w:rPr>
          <w:color w:val="000000"/>
        </w:rPr>
        <w:t>13.</w:t>
      </w:r>
      <w:r w:rsidRPr="00B528E6">
        <w:rPr>
          <w:color w:val="000000"/>
        </w:rPr>
        <w:tab/>
        <w:t>Articolul 17a se înlocuiește cu următorul text:</w:t>
      </w:r>
    </w:p>
    <w:p w14:paraId="0EEF207D" w14:textId="77777777" w:rsidR="00373AF9" w:rsidRPr="00B528E6" w:rsidRDefault="00373AF9" w:rsidP="00373AF9">
      <w:pPr>
        <w:pStyle w:val="Text1"/>
        <w:spacing w:line="360" w:lineRule="auto"/>
        <w:ind w:left="1417" w:hanging="567"/>
        <w:jc w:val="left"/>
        <w:rPr>
          <w:color w:val="000000"/>
        </w:rPr>
      </w:pPr>
      <w:r w:rsidRPr="00B528E6">
        <w:rPr>
          <w:color w:val="000000"/>
        </w:rPr>
        <w:t>„(1)</w:t>
      </w:r>
      <w:r w:rsidRPr="00B528E6">
        <w:rPr>
          <w:color w:val="000000"/>
        </w:rPr>
        <w:tab/>
        <w:t>Până la 31 decembrie 2030 și, ulterior, la fiecare cinci ani, Comisia elaborează un raport privind aplicarea prezentului regulament, însoțit, după caz, de o propunere de modificare a prezentului regulament. Comisia asigură publicarea raportului respectiv. În raport se analizează eficacitatea prezentului regulament în ceea ce privește atingerea obiectivelor sale, astfel cum sunt menționate la articolul 1, precum și progresele înregistrate în asigurarea unei coordonări mai strânse a politicilor economice și a unei convergențe durabile a performanțelor economice ale statelor membre, în conformitate cu TFUE.</w:t>
      </w:r>
    </w:p>
    <w:p w14:paraId="06BE181B" w14:textId="77777777" w:rsidR="00373AF9" w:rsidRPr="00B528E6" w:rsidRDefault="00373AF9" w:rsidP="00373AF9">
      <w:pPr>
        <w:pStyle w:val="Text1"/>
        <w:spacing w:line="360" w:lineRule="auto"/>
        <w:ind w:left="1417" w:hanging="567"/>
        <w:jc w:val="left"/>
        <w:rPr>
          <w:color w:val="000000"/>
        </w:rPr>
      </w:pPr>
      <w:r w:rsidRPr="00B528E6">
        <w:rPr>
          <w:color w:val="000000"/>
        </w:rPr>
        <w:t>(3)</w:t>
      </w:r>
      <w:r w:rsidRPr="00B528E6">
        <w:rPr>
          <w:color w:val="000000"/>
        </w:rPr>
        <w:tab/>
        <w:t>Raportul se transmite Parlamentului European și Consiliului.”</w:t>
      </w:r>
    </w:p>
    <w:p w14:paraId="45AF7C3B" w14:textId="7A23DD68" w:rsidR="00373AF9" w:rsidRPr="00B528E6" w:rsidRDefault="00373AF9" w:rsidP="00373AF9">
      <w:pPr>
        <w:pStyle w:val="Point0"/>
        <w:spacing w:line="360" w:lineRule="auto"/>
        <w:rPr>
          <w:color w:val="000000"/>
        </w:rPr>
      </w:pPr>
      <w:r w:rsidRPr="00B528E6">
        <w:rPr>
          <w:color w:val="000000"/>
        </w:rPr>
        <w:t>14.</w:t>
      </w:r>
      <w:r w:rsidRPr="00B528E6">
        <w:rPr>
          <w:color w:val="000000"/>
        </w:rPr>
        <w:tab/>
        <w:t>Se introduce următorul articol 17b:</w:t>
      </w:r>
    </w:p>
    <w:p w14:paraId="783DB4A7" w14:textId="77777777" w:rsidR="00373AF9" w:rsidRPr="00B528E6" w:rsidRDefault="00373AF9" w:rsidP="00373AF9">
      <w:pPr>
        <w:pStyle w:val="Titrearticle"/>
        <w:spacing w:before="120" w:line="360" w:lineRule="auto"/>
        <w:rPr>
          <w:color w:val="000000"/>
        </w:rPr>
      </w:pPr>
      <w:r w:rsidRPr="00B528E6">
        <w:rPr>
          <w:color w:val="000000"/>
        </w:rPr>
        <w:t>„Articolul 17b</w:t>
      </w:r>
    </w:p>
    <w:p w14:paraId="724866F9" w14:textId="77777777" w:rsidR="00373AF9" w:rsidRPr="00B528E6" w:rsidRDefault="00373AF9" w:rsidP="00373AF9">
      <w:pPr>
        <w:pStyle w:val="Text1"/>
        <w:spacing w:line="360" w:lineRule="auto"/>
        <w:jc w:val="left"/>
        <w:rPr>
          <w:color w:val="000000"/>
        </w:rPr>
      </w:pPr>
      <w:r w:rsidRPr="00B528E6">
        <w:rPr>
          <w:color w:val="000000"/>
        </w:rPr>
        <w:t>Consiliul, pe baza unei recomandări din partea Comisiei, adoptă o recomandare revizuită în temeiul articolului 126 alineatul (7) din TFUE sau o somație revizuită în temeiul articolului 126 alineatul (9) din TFUE adresată statelor membre care fac obiectul unei recomandări în temeiul articolului 126 alineatul (7) din TFUE sau al unei somații în temeiul articolului 126 alineatul (9) din TFUE la [data intrării în vigoare a regulamentului de modificare] și care au luat măsuri eficiente.</w:t>
      </w:r>
    </w:p>
    <w:p w14:paraId="5EA3457B" w14:textId="77777777" w:rsidR="00373AF9" w:rsidRPr="00B528E6" w:rsidRDefault="00373AF9" w:rsidP="00373AF9">
      <w:pPr>
        <w:pStyle w:val="Text1"/>
        <w:spacing w:line="360" w:lineRule="auto"/>
        <w:jc w:val="left"/>
        <w:rPr>
          <w:color w:val="000000"/>
        </w:rPr>
      </w:pPr>
      <w:r w:rsidRPr="00B528E6">
        <w:rPr>
          <w:color w:val="000000"/>
        </w:rPr>
        <w:t>Acesta adoptă recomandarea sau somația revizuită împreună cu adoptarea recomandării în temeiul articolului 16 din Regulamentul (UE) [privind componenta preventivă] de stabilire a traiectoriei cheltuielilor nete.”</w:t>
      </w:r>
    </w:p>
    <w:p w14:paraId="38AD7698" w14:textId="4CF1E547" w:rsidR="00373AF9" w:rsidRPr="00B528E6" w:rsidRDefault="00373AF9" w:rsidP="00373AF9">
      <w:pPr>
        <w:pStyle w:val="Point0"/>
        <w:spacing w:line="360" w:lineRule="auto"/>
        <w:rPr>
          <w:color w:val="000000"/>
        </w:rPr>
      </w:pPr>
      <w:r w:rsidRPr="00B528E6">
        <w:rPr>
          <w:color w:val="000000"/>
        </w:rPr>
        <w:t>15.</w:t>
      </w:r>
      <w:r w:rsidRPr="00B528E6">
        <w:rPr>
          <w:color w:val="000000"/>
        </w:rPr>
        <w:tab/>
        <w:t>Anexa se elimină.</w:t>
      </w:r>
    </w:p>
    <w:p w14:paraId="71AB892C" w14:textId="77777777" w:rsidR="00373AF9" w:rsidRPr="00B528E6" w:rsidRDefault="00373AF9" w:rsidP="00373AF9">
      <w:pPr>
        <w:pStyle w:val="Titrearticle"/>
        <w:spacing w:before="120" w:line="360" w:lineRule="auto"/>
        <w:rPr>
          <w:color w:val="000000"/>
        </w:rPr>
      </w:pPr>
      <w:r w:rsidRPr="00B528E6">
        <w:rPr>
          <w:color w:val="000000"/>
        </w:rPr>
        <w:t>Articolul 2</w:t>
      </w:r>
    </w:p>
    <w:p w14:paraId="5CBA42A9" w14:textId="77777777" w:rsidR="00373AF9" w:rsidRPr="00B528E6" w:rsidRDefault="00373AF9" w:rsidP="00373AF9">
      <w:pPr>
        <w:spacing w:before="120" w:after="120" w:line="360" w:lineRule="auto"/>
        <w:jc w:val="center"/>
        <w:rPr>
          <w:color w:val="000000"/>
        </w:rPr>
      </w:pPr>
      <w:r w:rsidRPr="00B528E6">
        <w:rPr>
          <w:color w:val="000000"/>
        </w:rPr>
        <w:t>Intrarea în vigoare</w:t>
      </w:r>
    </w:p>
    <w:p w14:paraId="709C39F7" w14:textId="77777777" w:rsidR="00373AF9" w:rsidRPr="00B528E6" w:rsidRDefault="00373AF9" w:rsidP="00373AF9">
      <w:pPr>
        <w:spacing w:before="120" w:after="120" w:line="360" w:lineRule="auto"/>
        <w:rPr>
          <w:color w:val="000000"/>
        </w:rPr>
      </w:pPr>
      <w:r w:rsidRPr="00B528E6">
        <w:rPr>
          <w:color w:val="000000"/>
        </w:rPr>
        <w:t xml:space="preserve">Prezentul regulament intră în vigoare în ziua următoare datei publicării în </w:t>
      </w:r>
      <w:r w:rsidRPr="00B528E6">
        <w:rPr>
          <w:i/>
          <w:color w:val="000000"/>
        </w:rPr>
        <w:t>Jurnalul Oficial al Uniunii Europene</w:t>
      </w:r>
      <w:r w:rsidRPr="00B528E6">
        <w:rPr>
          <w:color w:val="000000"/>
        </w:rPr>
        <w:t>.</w:t>
      </w:r>
    </w:p>
    <w:p w14:paraId="34689A23" w14:textId="77777777" w:rsidR="00373AF9" w:rsidRPr="00B528E6" w:rsidRDefault="00373AF9" w:rsidP="00373AF9">
      <w:pPr>
        <w:pStyle w:val="Applicationdirecte"/>
        <w:spacing w:before="120" w:line="360" w:lineRule="auto"/>
        <w:rPr>
          <w:color w:val="000000"/>
        </w:rPr>
      </w:pPr>
      <w:r w:rsidRPr="00B528E6">
        <w:rPr>
          <w:color w:val="000000"/>
        </w:rPr>
        <w:t>Prezentul regulament este obligatoriu în toate elementele sale și se aplică direct în toate statele membre.</w:t>
      </w:r>
    </w:p>
    <w:p w14:paraId="2BEE0FA7" w14:textId="77777777" w:rsidR="00373AF9" w:rsidRPr="00B528E6" w:rsidRDefault="00373AF9" w:rsidP="00373AF9">
      <w:pPr>
        <w:pStyle w:val="Fait"/>
        <w:spacing w:after="120" w:line="360" w:lineRule="auto"/>
        <w:rPr>
          <w:color w:val="000000"/>
        </w:rPr>
      </w:pPr>
      <w:r w:rsidRPr="00B528E6">
        <w:rPr>
          <w:color w:val="000000"/>
        </w:rPr>
        <w:t>Adoptat la Bruxelles,</w:t>
      </w:r>
    </w:p>
    <w:p w14:paraId="4A7E4B6B" w14:textId="77777777" w:rsidR="00373AF9" w:rsidRPr="00B528E6" w:rsidRDefault="00373AF9" w:rsidP="00373AF9">
      <w:pPr>
        <w:pStyle w:val="Institutionquisigne"/>
        <w:spacing w:before="120" w:after="120" w:line="360" w:lineRule="auto"/>
        <w:rPr>
          <w:color w:val="000000"/>
        </w:rPr>
      </w:pPr>
    </w:p>
    <w:p w14:paraId="701B795F" w14:textId="77777777" w:rsidR="00373AF9" w:rsidRPr="00B528E6" w:rsidRDefault="00373AF9" w:rsidP="00373AF9">
      <w:pPr>
        <w:pStyle w:val="Institutionquisigne"/>
        <w:spacing w:before="120" w:after="120" w:line="360" w:lineRule="auto"/>
        <w:rPr>
          <w:color w:val="000000"/>
        </w:rPr>
      </w:pPr>
    </w:p>
    <w:p w14:paraId="0F587F38" w14:textId="77777777" w:rsidR="00373AF9" w:rsidRPr="00B528E6" w:rsidRDefault="00373AF9" w:rsidP="00373AF9">
      <w:pPr>
        <w:pStyle w:val="Institutionquisigne"/>
        <w:spacing w:before="120" w:after="120" w:line="360" w:lineRule="auto"/>
        <w:rPr>
          <w:color w:val="000000"/>
        </w:rPr>
      </w:pPr>
    </w:p>
    <w:p w14:paraId="66DB3276" w14:textId="25C19E06" w:rsidR="00373AF9" w:rsidRPr="00B528E6" w:rsidRDefault="00B528E6" w:rsidP="00373AF9">
      <w:pPr>
        <w:pStyle w:val="Institutionquisigne"/>
        <w:spacing w:before="120" w:after="120" w:line="360" w:lineRule="auto"/>
        <w:rPr>
          <w:color w:val="000000"/>
        </w:rPr>
      </w:pPr>
      <w:r w:rsidRPr="00B528E6">
        <w:rPr>
          <w:color w:val="000000"/>
        </w:rPr>
        <w:t>Pentru Consiliu</w:t>
      </w:r>
      <w:r w:rsidR="00373AF9" w:rsidRPr="00B528E6">
        <w:rPr>
          <w:color w:val="000000"/>
        </w:rPr>
        <w:tab/>
      </w:r>
      <w:r w:rsidR="00373AF9" w:rsidRPr="00B528E6">
        <w:rPr>
          <w:color w:val="000000"/>
        </w:rPr>
        <w:tab/>
        <w:t>Președintele</w:t>
      </w:r>
    </w:p>
    <w:p w14:paraId="022BCCEF" w14:textId="77777777" w:rsidR="00373AF9" w:rsidRPr="00B528E6" w:rsidRDefault="00373AF9" w:rsidP="00373AF9">
      <w:pPr>
        <w:pStyle w:val="NormalCenter12a"/>
        <w:spacing w:before="120" w:after="120" w:line="360" w:lineRule="auto"/>
      </w:pPr>
    </w:p>
    <w:p w14:paraId="15C52F69" w14:textId="6FD68796" w:rsidR="00E365E1" w:rsidRPr="00B528E6" w:rsidRDefault="00E365E1" w:rsidP="00373AF9">
      <w:pPr>
        <w:pStyle w:val="AmOrLang"/>
        <w:spacing w:before="120" w:after="120" w:line="360" w:lineRule="auto"/>
      </w:pPr>
    </w:p>
    <w:sectPr w:rsidR="00E365E1" w:rsidRPr="00B528E6" w:rsidSect="003D3E9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7722D" w14:textId="77777777" w:rsidR="008A6A10" w:rsidRPr="003D3E99" w:rsidRDefault="008A6A10">
      <w:r w:rsidRPr="003D3E99">
        <w:separator/>
      </w:r>
    </w:p>
  </w:endnote>
  <w:endnote w:type="continuationSeparator" w:id="0">
    <w:p w14:paraId="34873128" w14:textId="77777777" w:rsidR="008A6A10" w:rsidRPr="003D3E99" w:rsidRDefault="008A6A10">
      <w:r w:rsidRPr="003D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BD364" w14:textId="77777777" w:rsidR="00064002" w:rsidRPr="003D3E9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9243" w14:textId="77777777" w:rsidR="00064002" w:rsidRPr="003D3E9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F056E" w14:textId="77777777" w:rsidR="00064002" w:rsidRPr="003D3E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27539" w14:textId="77777777" w:rsidR="008A6A10" w:rsidRPr="003D3E99" w:rsidRDefault="008A6A10">
      <w:r w:rsidRPr="003D3E99">
        <w:separator/>
      </w:r>
    </w:p>
  </w:footnote>
  <w:footnote w:type="continuationSeparator" w:id="0">
    <w:p w14:paraId="70996C75" w14:textId="77777777" w:rsidR="008A6A10" w:rsidRPr="003D3E99" w:rsidRDefault="008A6A10">
      <w:r w:rsidRPr="003D3E99">
        <w:continuationSeparator/>
      </w:r>
    </w:p>
  </w:footnote>
  <w:footnote w:id="1">
    <w:p w14:paraId="780023D7" w14:textId="77777777" w:rsidR="009B3208" w:rsidRPr="00373AF9" w:rsidRDefault="009B3208" w:rsidP="003D3E99">
      <w:pPr>
        <w:pStyle w:val="FootnoteText"/>
        <w:ind w:left="567" w:hanging="567"/>
        <w:rPr>
          <w:sz w:val="24"/>
          <w:lang w:val="ro-RO"/>
        </w:rPr>
      </w:pPr>
      <w:r w:rsidRPr="00373AF9">
        <w:rPr>
          <w:rStyle w:val="FootnoteReference"/>
          <w:sz w:val="24"/>
          <w:lang w:val="ro-RO"/>
        </w:rPr>
        <w:t>*</w:t>
      </w:r>
      <w:r w:rsidR="003D3E99" w:rsidRPr="00373AF9">
        <w:rPr>
          <w:sz w:val="24"/>
          <w:lang w:val="ro-RO"/>
        </w:rPr>
        <w:t xml:space="preserve"> </w:t>
      </w:r>
      <w:r w:rsidR="003D3E99" w:rsidRPr="00373AF9">
        <w:rPr>
          <w:sz w:val="24"/>
          <w:lang w:val="ro-RO"/>
        </w:rPr>
        <w:tab/>
      </w:r>
      <w:r w:rsidRPr="00373AF9">
        <w:rPr>
          <w:sz w:val="24"/>
          <w:lang w:val="ro-RO"/>
        </w:rPr>
        <w:t>Amendamente: textul nou sau modificat este marcat cu caractere cursive aldine; textul eliminat este marcat prin simbolul ▌.</w:t>
      </w:r>
    </w:p>
  </w:footnote>
  <w:footnote w:id="2">
    <w:p w14:paraId="3760F2FD" w14:textId="17753AD9" w:rsidR="00373AF9" w:rsidRPr="00373AF9" w:rsidRDefault="00373AF9" w:rsidP="0074257C">
      <w:pPr>
        <w:pStyle w:val="FootnoteText"/>
        <w:ind w:left="850" w:hanging="850"/>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r>
      <w:r w:rsidRPr="00373AF9">
        <w:rPr>
          <w:color w:val="000000"/>
          <w:sz w:val="24"/>
          <w:szCs w:val="24"/>
          <w:lang w:val="ro-RO"/>
        </w:rPr>
        <w:t>JO C</w:t>
      </w:r>
      <w:r w:rsidR="00053E26">
        <w:rPr>
          <w:color w:val="000000"/>
          <w:sz w:val="24"/>
          <w:szCs w:val="24"/>
          <w:lang w:val="ro-RO"/>
        </w:rPr>
        <w:t xml:space="preserve"> </w:t>
      </w:r>
      <w:r w:rsidRPr="00373AF9">
        <w:rPr>
          <w:color w:val="000000"/>
          <w:sz w:val="24"/>
          <w:szCs w:val="24"/>
          <w:lang w:val="ro-RO"/>
        </w:rPr>
        <w:t>, p</w:t>
      </w:r>
      <w:r w:rsidR="00053E26">
        <w:rPr>
          <w:color w:val="000000"/>
          <w:sz w:val="24"/>
          <w:szCs w:val="24"/>
          <w:lang w:val="ro-RO"/>
        </w:rPr>
        <w:t xml:space="preserve">. </w:t>
      </w:r>
      <w:r w:rsidRPr="00373AF9">
        <w:rPr>
          <w:color w:val="000000"/>
          <w:sz w:val="24"/>
          <w:szCs w:val="24"/>
          <w:lang w:val="ro-RO"/>
        </w:rPr>
        <w:t>.</w:t>
      </w:r>
    </w:p>
  </w:footnote>
  <w:footnote w:id="3">
    <w:p w14:paraId="1D56A822" w14:textId="5395E9CA" w:rsidR="00373AF9" w:rsidRPr="00373AF9" w:rsidRDefault="00373AF9" w:rsidP="0074257C">
      <w:pPr>
        <w:pStyle w:val="FootnoteText"/>
        <w:ind w:left="850" w:hanging="850"/>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t>JO C 290, 18.8.2023, p. 17.</w:t>
      </w:r>
    </w:p>
  </w:footnote>
  <w:footnote w:id="4">
    <w:p w14:paraId="207CDA20" w14:textId="0CDB66D8" w:rsidR="00373AF9" w:rsidRPr="00373AF9" w:rsidRDefault="00373AF9" w:rsidP="0074257C">
      <w:pPr>
        <w:pStyle w:val="FootnoteText"/>
        <w:ind w:left="850" w:hanging="850"/>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t>Regulamentul (CE) nr. 1466/97 al Consiliului din 7 iulie 1997 privind consolidarea supravegherii pozițiilor bugetare și supravegherea și coordonarea politicilor economice (JO L 209, 2.8.1997, p. 1).</w:t>
      </w:r>
    </w:p>
  </w:footnote>
  <w:footnote w:id="5">
    <w:p w14:paraId="70C8B2D2" w14:textId="77777777" w:rsidR="00373AF9" w:rsidRPr="00373AF9" w:rsidRDefault="00373AF9" w:rsidP="0074257C">
      <w:pPr>
        <w:pStyle w:val="FootnoteText"/>
        <w:ind w:left="850" w:hanging="850"/>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t>Regulamentul (CE) nr. 1467/97 al Consiliului din 7 iulie 1997 privind accelerarea și clarificarea aplicării procedurii de deficit excesiv (JO L 209, 2.8.1997, p. 6).</w:t>
      </w:r>
    </w:p>
  </w:footnote>
  <w:footnote w:id="6">
    <w:p w14:paraId="5E812124" w14:textId="645A589E" w:rsidR="00373AF9" w:rsidRPr="00373AF9" w:rsidRDefault="00373AF9" w:rsidP="0074257C">
      <w:pPr>
        <w:pStyle w:val="FootnoteText"/>
        <w:ind w:left="850" w:hanging="850"/>
        <w:rPr>
          <w:color w:val="000000"/>
          <w:sz w:val="24"/>
          <w:szCs w:val="24"/>
          <w:lang w:val="ro-RO"/>
        </w:rPr>
      </w:pPr>
      <w:r w:rsidRPr="00373AF9">
        <w:rPr>
          <w:rStyle w:val="FootnoteReference"/>
          <w:color w:val="000000"/>
          <w:sz w:val="24"/>
          <w:szCs w:val="24"/>
          <w:lang w:val="ro-RO"/>
        </w:rPr>
        <w:footnoteRef/>
      </w:r>
      <w:r w:rsidRPr="00373AF9">
        <w:rPr>
          <w:color w:val="000000"/>
          <w:sz w:val="24"/>
          <w:szCs w:val="24"/>
          <w:lang w:val="ro-RO"/>
        </w:rPr>
        <w:tab/>
        <w:t>Rezoluția Consiliului European privind Pactul de stabilitate și de creștere, Amsterdam, 17 iunie 1997 (JO C 236, 2.8.1997, p. 1).</w:t>
      </w:r>
    </w:p>
  </w:footnote>
  <w:footnote w:id="7">
    <w:p w14:paraId="1AE14FDA" w14:textId="77777777" w:rsidR="00373AF9" w:rsidRPr="00373AF9" w:rsidRDefault="00373AF9" w:rsidP="0074257C">
      <w:pPr>
        <w:pStyle w:val="FootnoteText"/>
        <w:ind w:left="850" w:hanging="850"/>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t>Legea europeană a climei stabilește un obiectiv de neutralitate climatică la nivelul Uniunii până în 2050 și impune instituțiilor Uniunii și statelor membre să înregistreze progrese în ceea ce privește consolidarea capacității de adaptare, prevăzând investiții publice semnificative pentru a reduce impactul socioeconomic negativ al schimbărilor climatice asupra UE și a statelor sale membre, inclusiv impactul negativ asupra creșterii economice și a sustenabilității bugetare.</w:t>
      </w:r>
    </w:p>
  </w:footnote>
  <w:footnote w:id="8">
    <w:p w14:paraId="50C115A4" w14:textId="209BC4F4" w:rsidR="00373AF9" w:rsidRPr="00373AF9" w:rsidRDefault="00373AF9" w:rsidP="0074257C">
      <w:pPr>
        <w:pStyle w:val="FootnoteText"/>
        <w:ind w:left="850" w:hanging="850"/>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t>Regulamentul (UE) [ ...] al Parlamentului European și al Consiliului din [ ...] [privind coordonarea eficientă a politicilor economice și supravegherea bugetară multilaterală]</w:t>
      </w:r>
      <w:r w:rsidR="00B528E6">
        <w:rPr>
          <w:color w:val="000000"/>
          <w:sz w:val="24"/>
          <w:szCs w:val="24"/>
          <w:lang w:val="ro-RO"/>
        </w:rPr>
        <w:t xml:space="preserve"> </w:t>
      </w:r>
      <w:r w:rsidRPr="00373AF9">
        <w:rPr>
          <w:color w:val="000000"/>
          <w:sz w:val="24"/>
          <w:szCs w:val="24"/>
          <w:lang w:val="ro-RO"/>
        </w:rPr>
        <w:t>(JO L ..., ..., p…).</w:t>
      </w:r>
    </w:p>
  </w:footnote>
  <w:footnote w:id="9">
    <w:p w14:paraId="1A681E4E" w14:textId="77777777" w:rsidR="00373AF9" w:rsidRPr="00373AF9" w:rsidRDefault="00373AF9" w:rsidP="0074257C">
      <w:pPr>
        <w:pStyle w:val="FootnoteText"/>
        <w:ind w:left="850" w:hanging="850"/>
        <w:contextualSpacing/>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t>Tratatul privind stabilitatea, coordonarea și guvernanța în cadrul uniunii economice și monetare</w:t>
      </w:r>
      <w:bookmarkStart w:id="8" w:name="_GoBack"/>
      <w:bookmarkEnd w:id="8"/>
      <w:r w:rsidRPr="00373AF9">
        <w:rPr>
          <w:color w:val="000000"/>
          <w:sz w:val="24"/>
          <w:szCs w:val="24"/>
          <w:lang w:val="ro-RO"/>
        </w:rPr>
        <w:t xml:space="preserve"> din 2 martie 2012.</w:t>
      </w:r>
    </w:p>
  </w:footnote>
  <w:footnote w:id="10">
    <w:p w14:paraId="275F5521" w14:textId="391A32CC" w:rsidR="00373AF9" w:rsidRPr="00373AF9" w:rsidRDefault="00373AF9" w:rsidP="0074257C">
      <w:pPr>
        <w:pStyle w:val="FootnoteText"/>
        <w:ind w:left="850" w:hanging="850"/>
        <w:rPr>
          <w:color w:val="000000"/>
          <w:sz w:val="24"/>
          <w:szCs w:val="24"/>
          <w:lang w:val="ro-RO"/>
        </w:rPr>
      </w:pPr>
      <w:r w:rsidRPr="00373AF9">
        <w:rPr>
          <w:rStyle w:val="FootnoteReference"/>
          <w:b/>
          <w:bCs/>
          <w:color w:val="000000"/>
          <w:sz w:val="24"/>
          <w:szCs w:val="24"/>
          <w:lang w:val="ro-RO"/>
        </w:rPr>
        <w:footnoteRef/>
      </w:r>
      <w:r w:rsidRPr="00373AF9">
        <w:rPr>
          <w:color w:val="000000"/>
          <w:sz w:val="24"/>
          <w:szCs w:val="24"/>
          <w:lang w:val="ro-RO"/>
        </w:rPr>
        <w:tab/>
      </w:r>
      <w:r w:rsidRPr="00373AF9">
        <w:rPr>
          <w:color w:val="000000"/>
          <w:sz w:val="24"/>
          <w:szCs w:val="24"/>
          <w:lang w:val="ro-RO"/>
        </w:rPr>
        <w:t>Comunicarea COM(2012)</w:t>
      </w:r>
      <w:r w:rsidR="00053E26">
        <w:rPr>
          <w:color w:val="000000"/>
          <w:sz w:val="24"/>
          <w:szCs w:val="24"/>
          <w:lang w:val="ro-RO"/>
        </w:rPr>
        <w:t>0</w:t>
      </w:r>
      <w:r w:rsidRPr="00373AF9">
        <w:rPr>
          <w:color w:val="000000"/>
          <w:sz w:val="24"/>
          <w:szCs w:val="24"/>
          <w:lang w:val="ro-RO"/>
        </w:rPr>
        <w:t xml:space="preserve">342 </w:t>
      </w:r>
      <w:r w:rsidR="00053E26">
        <w:rPr>
          <w:color w:val="000000"/>
          <w:sz w:val="24"/>
          <w:szCs w:val="24"/>
          <w:lang w:val="ro-RO"/>
        </w:rPr>
        <w:t xml:space="preserve">final </w:t>
      </w:r>
      <w:r w:rsidRPr="00373AF9">
        <w:rPr>
          <w:color w:val="000000"/>
          <w:sz w:val="24"/>
          <w:szCs w:val="24"/>
          <w:lang w:val="ro-RO"/>
        </w:rPr>
        <w:t>a Comisiei din 20 iunie 2012 intitulată „Principii comune privind mecanismele naționale de corecție fiscală”.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B186D" w14:textId="77777777" w:rsidR="00064002" w:rsidRPr="003D3E9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EB81C" w14:textId="77777777" w:rsidR="00064002" w:rsidRPr="003D3E9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1C7BE" w14:textId="77777777" w:rsidR="00064002" w:rsidRPr="003D3E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RO"/>
    <w:docVar w:name="dvnumam" w:val="0"/>
    <w:docVar w:name="dvpe" w:val="757.279"/>
    <w:docVar w:name="dvrapporteur" w:val="Raportori: "/>
    <w:docVar w:name="dvstar" w:val="*"/>
    <w:docVar w:name="dvtitre" w:val="Rezoluția legislativă a Parlamentului European din 23 aprilie 2024 referitoare la propunerea de regulament al Consiliului de modificare a Regulamentului (CE) nr. 1467/97 privind accelerarea și clarificarea aplicării procedurii de deficit excesiv(COM(2023)0241 – C9-0172/2023 – 2023/0137(CNS))"/>
  </w:docVars>
  <w:rsids>
    <w:rsidRoot w:val="008A6A10"/>
    <w:rsid w:val="00002272"/>
    <w:rsid w:val="00014076"/>
    <w:rsid w:val="00053E26"/>
    <w:rsid w:val="00064002"/>
    <w:rsid w:val="000677B9"/>
    <w:rsid w:val="000831BA"/>
    <w:rsid w:val="000A42CC"/>
    <w:rsid w:val="000E7DD9"/>
    <w:rsid w:val="0010095E"/>
    <w:rsid w:val="001216FE"/>
    <w:rsid w:val="00125B37"/>
    <w:rsid w:val="00187494"/>
    <w:rsid w:val="00192958"/>
    <w:rsid w:val="001F32AE"/>
    <w:rsid w:val="00234EB8"/>
    <w:rsid w:val="002767FF"/>
    <w:rsid w:val="002B18FE"/>
    <w:rsid w:val="002B5493"/>
    <w:rsid w:val="00343214"/>
    <w:rsid w:val="00361C00"/>
    <w:rsid w:val="00373AF9"/>
    <w:rsid w:val="00395FA1"/>
    <w:rsid w:val="003D3E9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33B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A10"/>
    <w:rsid w:val="008C2AC6"/>
    <w:rsid w:val="00930C23"/>
    <w:rsid w:val="0093193B"/>
    <w:rsid w:val="009509D8"/>
    <w:rsid w:val="00950B64"/>
    <w:rsid w:val="00981893"/>
    <w:rsid w:val="009B3208"/>
    <w:rsid w:val="00A1687D"/>
    <w:rsid w:val="00A43E52"/>
    <w:rsid w:val="00A4678D"/>
    <w:rsid w:val="00A778C7"/>
    <w:rsid w:val="00AB441E"/>
    <w:rsid w:val="00AB6293"/>
    <w:rsid w:val="00AE0928"/>
    <w:rsid w:val="00AF3B82"/>
    <w:rsid w:val="00B12E95"/>
    <w:rsid w:val="00B22876"/>
    <w:rsid w:val="00B528E6"/>
    <w:rsid w:val="00B558F0"/>
    <w:rsid w:val="00BB217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72199"/>
  <w15:chartTrackingRefBased/>
  <w15:docId w15:val="{8B46EC72-03AE-4DC3-966B-0265CCE0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32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3208"/>
    <w:pPr>
      <w:spacing w:before="480" w:after="240"/>
    </w:pPr>
  </w:style>
  <w:style w:type="paragraph" w:customStyle="1" w:styleId="NormalBold">
    <w:name w:val="NormalBold"/>
    <w:basedOn w:val="Normal"/>
    <w:rsid w:val="009B3208"/>
    <w:rPr>
      <w:b/>
    </w:rPr>
  </w:style>
  <w:style w:type="paragraph" w:customStyle="1" w:styleId="NormalHanging12a">
    <w:name w:val="NormalHanging12a"/>
    <w:basedOn w:val="Normal"/>
    <w:rsid w:val="009B3208"/>
    <w:pPr>
      <w:spacing w:after="240"/>
      <w:ind w:left="567" w:hanging="567"/>
    </w:pPr>
  </w:style>
  <w:style w:type="paragraph" w:styleId="Header">
    <w:name w:val="header"/>
    <w:basedOn w:val="Normal"/>
    <w:link w:val="HeaderChar"/>
    <w:rsid w:val="009B3208"/>
    <w:pPr>
      <w:tabs>
        <w:tab w:val="center" w:pos="4513"/>
        <w:tab w:val="right" w:pos="9026"/>
      </w:tabs>
    </w:pPr>
  </w:style>
  <w:style w:type="character" w:customStyle="1" w:styleId="HeaderChar">
    <w:name w:val="Header Char"/>
    <w:basedOn w:val="DefaultParagraphFont"/>
    <w:link w:val="Header"/>
    <w:rsid w:val="009B3208"/>
    <w:rPr>
      <w:sz w:val="24"/>
      <w:lang w:val="ro-RO"/>
    </w:rPr>
  </w:style>
  <w:style w:type="paragraph" w:customStyle="1" w:styleId="AmNumberTabs">
    <w:name w:val="AmNumberTabs"/>
    <w:basedOn w:val="Normal"/>
    <w:rsid w:val="009B32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3208"/>
    <w:pPr>
      <w:spacing w:before="240"/>
    </w:pPr>
    <w:rPr>
      <w:b/>
    </w:rPr>
  </w:style>
  <w:style w:type="paragraph" w:customStyle="1" w:styleId="EPFooter">
    <w:name w:val="EPFooter"/>
    <w:basedOn w:val="Normal"/>
    <w:rsid w:val="009B3208"/>
    <w:pPr>
      <w:tabs>
        <w:tab w:val="center" w:pos="4535"/>
        <w:tab w:val="right" w:pos="9071"/>
      </w:tabs>
      <w:spacing w:before="240" w:after="240"/>
    </w:pPr>
    <w:rPr>
      <w:color w:val="010000"/>
      <w:sz w:val="22"/>
    </w:rPr>
  </w:style>
  <w:style w:type="paragraph" w:customStyle="1" w:styleId="NormalCenter12a">
    <w:name w:val="NormalCenter12a"/>
    <w:basedOn w:val="Normal"/>
    <w:rsid w:val="009B3208"/>
    <w:pPr>
      <w:spacing w:after="240"/>
      <w:jc w:val="center"/>
    </w:pPr>
  </w:style>
  <w:style w:type="paragraph" w:customStyle="1" w:styleId="AmHeadingConsam">
    <w:name w:val="AmHeadingConsam"/>
    <w:basedOn w:val="Normal"/>
    <w:next w:val="NormalCenter12a"/>
    <w:rsid w:val="009B3208"/>
    <w:pPr>
      <w:spacing w:before="720" w:after="240"/>
      <w:jc w:val="center"/>
    </w:pPr>
  </w:style>
  <w:style w:type="paragraph" w:customStyle="1" w:styleId="Statut">
    <w:name w:val="Statut"/>
    <w:basedOn w:val="Normal"/>
    <w:next w:val="Normal"/>
    <w:rsid w:val="009B3208"/>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B3208"/>
    <w:pPr>
      <w:widowControl/>
      <w:ind w:left="5103"/>
    </w:pPr>
    <w:rPr>
      <w:rFonts w:eastAsiaTheme="minorHAnsi"/>
      <w:szCs w:val="22"/>
      <w:lang w:eastAsia="en-US"/>
    </w:rPr>
  </w:style>
  <w:style w:type="paragraph" w:customStyle="1" w:styleId="Typedudocument">
    <w:name w:val="Type du document"/>
    <w:basedOn w:val="Normal"/>
    <w:next w:val="Normal"/>
    <w:rsid w:val="009B3208"/>
    <w:pPr>
      <w:widowControl/>
      <w:spacing w:before="360"/>
      <w:jc w:val="center"/>
    </w:pPr>
    <w:rPr>
      <w:rFonts w:eastAsiaTheme="minorHAnsi"/>
      <w:b/>
      <w:szCs w:val="22"/>
      <w:lang w:eastAsia="en-US"/>
    </w:rPr>
  </w:style>
  <w:style w:type="character" w:customStyle="1" w:styleId="boldface">
    <w:name w:val="boldface"/>
    <w:basedOn w:val="DefaultParagraphFont"/>
    <w:rsid w:val="009B3208"/>
  </w:style>
  <w:style w:type="paragraph" w:customStyle="1" w:styleId="Text1">
    <w:name w:val="Text 1"/>
    <w:basedOn w:val="Normal"/>
    <w:rsid w:val="009B3208"/>
    <w:pPr>
      <w:widowControl/>
      <w:spacing w:before="120" w:after="120"/>
      <w:ind w:left="850"/>
      <w:jc w:val="both"/>
    </w:pPr>
    <w:rPr>
      <w:rFonts w:eastAsiaTheme="minorHAnsi"/>
      <w:szCs w:val="22"/>
      <w:lang w:eastAsia="en-US"/>
    </w:rPr>
  </w:style>
  <w:style w:type="paragraph" w:customStyle="1" w:styleId="Text2">
    <w:name w:val="Text 2"/>
    <w:basedOn w:val="Normal"/>
    <w:rsid w:val="009B3208"/>
    <w:pPr>
      <w:widowControl/>
      <w:spacing w:before="120" w:after="120"/>
      <w:ind w:left="1417"/>
      <w:jc w:val="both"/>
    </w:pPr>
    <w:rPr>
      <w:rFonts w:eastAsiaTheme="minorHAnsi"/>
      <w:szCs w:val="22"/>
      <w:lang w:eastAsia="en-US"/>
    </w:rPr>
  </w:style>
  <w:style w:type="paragraph" w:customStyle="1" w:styleId="Point0">
    <w:name w:val="Point 0"/>
    <w:basedOn w:val="Normal"/>
    <w:rsid w:val="009B3208"/>
    <w:pPr>
      <w:widowControl/>
      <w:spacing w:before="120" w:after="120"/>
      <w:ind w:left="850" w:hanging="850"/>
      <w:jc w:val="both"/>
    </w:pPr>
    <w:rPr>
      <w:rFonts w:eastAsiaTheme="minorHAnsi"/>
      <w:szCs w:val="22"/>
      <w:lang w:eastAsia="en-US"/>
    </w:rPr>
  </w:style>
  <w:style w:type="paragraph" w:customStyle="1" w:styleId="Point1">
    <w:name w:val="Point 1"/>
    <w:basedOn w:val="Normal"/>
    <w:rsid w:val="009B320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B3208"/>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9B320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9B320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9B320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B320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9B320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9B320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9B3208"/>
    <w:pPr>
      <w:widowControl/>
      <w:tabs>
        <w:tab w:val="left" w:pos="4252"/>
      </w:tabs>
    </w:pPr>
    <w:rPr>
      <w:rFonts w:eastAsiaTheme="minorHAnsi"/>
      <w:i/>
      <w:szCs w:val="22"/>
      <w:lang w:eastAsia="en-US"/>
    </w:rPr>
  </w:style>
  <w:style w:type="paragraph" w:customStyle="1" w:styleId="Titrearticle">
    <w:name w:val="Titre article"/>
    <w:basedOn w:val="Normal"/>
    <w:next w:val="Normal"/>
    <w:rsid w:val="009B3208"/>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9B3208"/>
    <w:pPr>
      <w:widowControl/>
      <w:spacing w:before="360" w:after="360"/>
      <w:jc w:val="center"/>
    </w:pPr>
    <w:rPr>
      <w:rFonts w:eastAsiaTheme="minorHAnsi"/>
      <w:b/>
      <w:szCs w:val="22"/>
      <w:lang w:eastAsia="en-US"/>
    </w:rPr>
  </w:style>
  <w:style w:type="character" w:styleId="CommentReference">
    <w:name w:val="annotation reference"/>
    <w:basedOn w:val="DefaultParagraphFont"/>
    <w:rsid w:val="00192958"/>
    <w:rPr>
      <w:sz w:val="16"/>
      <w:szCs w:val="16"/>
    </w:rPr>
  </w:style>
  <w:style w:type="paragraph" w:styleId="CommentText">
    <w:name w:val="annotation text"/>
    <w:basedOn w:val="Normal"/>
    <w:link w:val="CommentTextChar"/>
    <w:rsid w:val="00192958"/>
    <w:rPr>
      <w:sz w:val="20"/>
    </w:rPr>
  </w:style>
  <w:style w:type="character" w:customStyle="1" w:styleId="CommentTextChar">
    <w:name w:val="Comment Text Char"/>
    <w:basedOn w:val="DefaultParagraphFont"/>
    <w:link w:val="CommentText"/>
    <w:rsid w:val="00192958"/>
    <w:rPr>
      <w:lang w:val="ro-RO"/>
    </w:rPr>
  </w:style>
  <w:style w:type="paragraph" w:styleId="CommentSubject">
    <w:name w:val="annotation subject"/>
    <w:basedOn w:val="CommentText"/>
    <w:next w:val="CommentText"/>
    <w:link w:val="CommentSubjectChar"/>
    <w:rsid w:val="00192958"/>
    <w:rPr>
      <w:b/>
      <w:bCs/>
    </w:rPr>
  </w:style>
  <w:style w:type="character" w:customStyle="1" w:styleId="CommentSubjectChar">
    <w:name w:val="Comment Subject Char"/>
    <w:basedOn w:val="CommentTextChar"/>
    <w:link w:val="CommentSubject"/>
    <w:rsid w:val="00192958"/>
    <w:rPr>
      <w:b/>
      <w:bCs/>
      <w:lang w:val="ro-RO"/>
    </w:rPr>
  </w:style>
  <w:style w:type="paragraph" w:styleId="BalloonText">
    <w:name w:val="Balloon Text"/>
    <w:basedOn w:val="Normal"/>
    <w:link w:val="BalloonTextChar"/>
    <w:rsid w:val="00192958"/>
    <w:rPr>
      <w:rFonts w:ascii="Segoe UI" w:hAnsi="Segoe UI" w:cs="Segoe UI"/>
      <w:sz w:val="18"/>
      <w:szCs w:val="18"/>
    </w:rPr>
  </w:style>
  <w:style w:type="character" w:customStyle="1" w:styleId="BalloonTextChar">
    <w:name w:val="Balloon Text Char"/>
    <w:basedOn w:val="DefaultParagraphFont"/>
    <w:link w:val="BalloonText"/>
    <w:rsid w:val="00192958"/>
    <w:rPr>
      <w:rFonts w:ascii="Segoe UI" w:hAnsi="Segoe UI" w:cs="Segoe UI"/>
      <w:sz w:val="18"/>
      <w:szCs w:val="18"/>
      <w:lang w:val="ro-RO"/>
    </w:rPr>
  </w:style>
  <w:style w:type="paragraph" w:customStyle="1" w:styleId="AmDocTypeTab">
    <w:name w:val="AmDocTypeTab"/>
    <w:basedOn w:val="Normal"/>
    <w:rsid w:val="00373AF9"/>
    <w:pPr>
      <w:tabs>
        <w:tab w:val="right" w:pos="9072"/>
      </w:tabs>
    </w:pPr>
    <w:rPr>
      <w:b/>
    </w:rPr>
  </w:style>
  <w:style w:type="paragraph" w:customStyle="1" w:styleId="Normal12a">
    <w:name w:val="Normal12a"/>
    <w:basedOn w:val="Normal"/>
    <w:rsid w:val="00373AF9"/>
    <w:pPr>
      <w:spacing w:after="240"/>
    </w:pPr>
  </w:style>
  <w:style w:type="paragraph" w:customStyle="1" w:styleId="AmOrLang">
    <w:name w:val="AmOrLang"/>
    <w:basedOn w:val="Normal"/>
    <w:rsid w:val="00373AF9"/>
    <w:pPr>
      <w:spacing w:before="240" w:after="240"/>
      <w:jc w:val="right"/>
    </w:pPr>
  </w:style>
  <w:style w:type="paragraph" w:customStyle="1" w:styleId="AmDateTab">
    <w:name w:val="AmDateTab"/>
    <w:basedOn w:val="Normal"/>
    <w:rsid w:val="00373AF9"/>
    <w:pPr>
      <w:tabs>
        <w:tab w:val="right" w:pos="9072"/>
      </w:tabs>
    </w:pPr>
  </w:style>
  <w:style w:type="paragraph" w:styleId="ListParagraph">
    <w:name w:val="List Paragraph"/>
    <w:aliases w:val="1st level - Bullet List Paragraph,List Paragraph1,Lettre d'introduction,Paragrafo elenco,Medium Grid 1 - Accent 21,Dot pt,F5 List Paragraph,No Spacing1,List Paragraph Char Char Char,Indicator Text,Colorful List - Accent 11"/>
    <w:basedOn w:val="Normal"/>
    <w:link w:val="ListParagraphChar"/>
    <w:uiPriority w:val="34"/>
    <w:qFormat/>
    <w:rsid w:val="00373AF9"/>
    <w:pPr>
      <w:widowControl/>
      <w:spacing w:before="120" w:after="120"/>
      <w:ind w:left="720"/>
      <w:contextualSpacing/>
      <w:jc w:val="both"/>
    </w:pPr>
    <w:rPr>
      <w:rFonts w:eastAsiaTheme="minorHAnsi"/>
      <w:szCs w:val="22"/>
      <w:lang w:eastAsia="en-US"/>
    </w:rPr>
  </w:style>
  <w:style w:type="character" w:customStyle="1" w:styleId="ListParagraphChar">
    <w:name w:val="List Paragraph Char"/>
    <w:aliases w:val="1st level - Bullet List Paragraph Char,List Paragraph1 Char,Lettre d'introduction Char,Paragrafo elenco Char,Medium Grid 1 - Accent 21 Char,Dot pt Char,F5 List Paragraph Char,No Spacing1 Char,List Paragraph Char Char Char Char"/>
    <w:basedOn w:val="DefaultParagraphFont"/>
    <w:link w:val="ListParagraph"/>
    <w:uiPriority w:val="34"/>
    <w:qFormat/>
    <w:locked/>
    <w:rsid w:val="00373AF9"/>
    <w:rPr>
      <w:rFonts w:eastAsiaTheme="minorHAnsi"/>
      <w:sz w:val="24"/>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4E8E8-DDE4-4E0D-AD3F-A4CE18D85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5920</Words>
  <Characters>35343</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2024-10-03T19:35:00Z</dcterms:created>
  <dcterms:modified xsi:type="dcterms:W3CDTF">2024-10-03T19:35:00Z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P9_TA(2024)0312_</vt:lpwstr>
  </property>
  <property fmtid="{D5CDD505-2E9C-101B-9397-08002B2CF9AE}" pid="4" name="&lt;Type&gt;">
    <vt:lpwstr>RR</vt:lpwstr>
  </property>
</Properties>
</file>