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653D" w14:paraId="38754761" w14:textId="77777777" w:rsidTr="0010095E">
        <w:trPr>
          <w:trHeight w:hRule="exact" w:val="1418"/>
        </w:trPr>
        <w:tc>
          <w:tcPr>
            <w:tcW w:w="6804" w:type="dxa"/>
            <w:shd w:val="clear" w:color="auto" w:fill="auto"/>
            <w:vAlign w:val="center"/>
          </w:tcPr>
          <w:p w14:paraId="265A423C" w14:textId="77777777" w:rsidR="00751A4A" w:rsidRPr="0063653D" w:rsidRDefault="001C7B85" w:rsidP="0010095E">
            <w:pPr>
              <w:pStyle w:val="EPName"/>
            </w:pPr>
            <w:r w:rsidRPr="0063653D">
              <w:t>Evropský parlament</w:t>
            </w:r>
          </w:p>
          <w:p w14:paraId="6FABC233" w14:textId="77777777" w:rsidR="00751A4A" w:rsidRPr="0063653D" w:rsidRDefault="00817416" w:rsidP="00756632">
            <w:pPr>
              <w:pStyle w:val="EPTerm"/>
              <w:rPr>
                <w:rStyle w:val="HideTWBExt"/>
                <w:noProof w:val="0"/>
                <w:vanish w:val="0"/>
                <w:color w:val="auto"/>
              </w:rPr>
            </w:pPr>
            <w:r w:rsidRPr="0063653D">
              <w:t>2019-2024</w:t>
            </w:r>
          </w:p>
        </w:tc>
        <w:tc>
          <w:tcPr>
            <w:tcW w:w="2268" w:type="dxa"/>
            <w:shd w:val="clear" w:color="auto" w:fill="auto"/>
          </w:tcPr>
          <w:p w14:paraId="2B460688" w14:textId="77777777" w:rsidR="00751A4A" w:rsidRPr="0063653D" w:rsidRDefault="00187494" w:rsidP="0010095E">
            <w:pPr>
              <w:pStyle w:val="EPLogo"/>
            </w:pPr>
            <w:r w:rsidRPr="0063653D">
              <w:rPr>
                <w:noProof/>
                <w:lang w:val="en-GB"/>
              </w:rPr>
              <w:drawing>
                <wp:inline distT="0" distB="0" distL="0" distR="0" wp14:anchorId="39278AD6" wp14:editId="3D05FD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02205" w14:textId="77777777" w:rsidR="00D058B8" w:rsidRPr="0063653D" w:rsidRDefault="00D058B8" w:rsidP="004C5D52">
      <w:pPr>
        <w:pStyle w:val="LineTop"/>
      </w:pPr>
    </w:p>
    <w:p w14:paraId="6565BBC2" w14:textId="77777777" w:rsidR="00680577" w:rsidRPr="0063653D" w:rsidRDefault="001C7B85" w:rsidP="00680577">
      <w:pPr>
        <w:pStyle w:val="EPBodyTA1"/>
      </w:pPr>
      <w:r w:rsidRPr="0063653D">
        <w:t>PŘIJATÉ TEXTY</w:t>
      </w:r>
    </w:p>
    <w:p w14:paraId="0AE0E62F" w14:textId="77777777" w:rsidR="00D058B8" w:rsidRPr="0063653D" w:rsidRDefault="00D058B8" w:rsidP="00D058B8">
      <w:pPr>
        <w:pStyle w:val="LineBottom"/>
      </w:pPr>
    </w:p>
    <w:p w14:paraId="70EB5158" w14:textId="25B73E83" w:rsidR="001C7B85" w:rsidRPr="0063653D" w:rsidRDefault="001C7B85" w:rsidP="001C7B85">
      <w:pPr>
        <w:pStyle w:val="ATHeading1"/>
      </w:pPr>
      <w:bookmarkStart w:id="0" w:name="TANumber"/>
      <w:r w:rsidRPr="0063653D">
        <w:t>P9_TA(2024)0</w:t>
      </w:r>
      <w:r w:rsidR="006072B8">
        <w:t>313</w:t>
      </w:r>
      <w:bookmarkEnd w:id="0"/>
    </w:p>
    <w:p w14:paraId="0E9C869F" w14:textId="657E2BB8" w:rsidR="001C7B85" w:rsidRPr="0063653D" w:rsidRDefault="007817B3" w:rsidP="001C7B85">
      <w:pPr>
        <w:pStyle w:val="ATHeading2"/>
      </w:pPr>
      <w:bookmarkStart w:id="1" w:name="title"/>
      <w:r w:rsidRPr="00BD259E">
        <w:t>P</w:t>
      </w:r>
      <w:r w:rsidR="001C7B85" w:rsidRPr="00BD259E">
        <w:t>ožadav</w:t>
      </w:r>
      <w:r w:rsidRPr="0085795F">
        <w:t>ky</w:t>
      </w:r>
      <w:r w:rsidR="001C7B85" w:rsidRPr="0085795F">
        <w:t xml:space="preserve"> na rozpočtové rámce členských států</w:t>
      </w:r>
      <w:bookmarkEnd w:id="1"/>
      <w:r w:rsidR="00BD259E" w:rsidRPr="00AC08D3">
        <w:t xml:space="preserve"> </w:t>
      </w:r>
      <w:r w:rsidR="00BD259E" w:rsidRPr="00221620">
        <w:t>– pozměňující směrnice</w:t>
      </w:r>
    </w:p>
    <w:p w14:paraId="25E539BC" w14:textId="7141C3C4" w:rsidR="001C7B85" w:rsidRPr="0063653D" w:rsidRDefault="001C7B85" w:rsidP="001C7B85">
      <w:pPr>
        <w:rPr>
          <w:i/>
          <w:vanish/>
        </w:rPr>
      </w:pPr>
      <w:r w:rsidRPr="0063653D">
        <w:rPr>
          <w:i/>
        </w:rPr>
        <w:fldChar w:fldCharType="begin"/>
      </w:r>
      <w:r w:rsidRPr="0063653D">
        <w:rPr>
          <w:i/>
        </w:rPr>
        <w:instrText xml:space="preserve"> TC"(</w:instrText>
      </w:r>
      <w:bookmarkStart w:id="2" w:name="DocNumber"/>
      <w:r w:rsidRPr="0063653D">
        <w:rPr>
          <w:i/>
        </w:rPr>
        <w:instrText>A9-0440/2023</w:instrText>
      </w:r>
      <w:bookmarkEnd w:id="2"/>
      <w:r w:rsidRPr="0063653D">
        <w:rPr>
          <w:i/>
        </w:rPr>
        <w:instrText xml:space="preserve"> - Zpravodaj</w:instrText>
      </w:r>
      <w:r w:rsidR="00E879CB">
        <w:rPr>
          <w:i/>
        </w:rPr>
        <w:instrText>ové</w:instrText>
      </w:r>
      <w:r w:rsidRPr="0063653D">
        <w:rPr>
          <w:i/>
        </w:rPr>
        <w:instrText xml:space="preserve">: </w:instrText>
      </w:r>
      <w:r w:rsidR="00E879CB" w:rsidRPr="002F7AAC">
        <w:rPr>
          <w:i/>
        </w:rPr>
        <w:instrText xml:space="preserve">Markus </w:instrText>
      </w:r>
      <w:proofErr w:type="spellStart"/>
      <w:r w:rsidR="00E879CB" w:rsidRPr="002F7AAC">
        <w:rPr>
          <w:i/>
        </w:rPr>
        <w:instrText>Ferber</w:instrText>
      </w:r>
      <w:proofErr w:type="spellEnd"/>
      <w:r w:rsidRPr="0063653D">
        <w:rPr>
          <w:i/>
        </w:rPr>
        <w:instrText xml:space="preserve">, </w:instrText>
      </w:r>
      <w:proofErr w:type="spellStart"/>
      <w:r w:rsidRPr="0063653D">
        <w:rPr>
          <w:i/>
        </w:rPr>
        <w:instrText>Margarida</w:instrText>
      </w:r>
      <w:proofErr w:type="spellEnd"/>
      <w:r w:rsidRPr="0063653D">
        <w:rPr>
          <w:i/>
        </w:rPr>
        <w:instrText xml:space="preserve"> </w:instrText>
      </w:r>
      <w:proofErr w:type="spellStart"/>
      <w:r w:rsidRPr="0063653D">
        <w:rPr>
          <w:i/>
        </w:rPr>
        <w:instrText>Marques</w:instrText>
      </w:r>
      <w:proofErr w:type="spellEnd"/>
      <w:r w:rsidRPr="0063653D">
        <w:rPr>
          <w:i/>
        </w:rPr>
        <w:instrText xml:space="preserve">)"\l3 \n&gt; \* MERGEFORMAT </w:instrText>
      </w:r>
      <w:r w:rsidRPr="0063653D">
        <w:rPr>
          <w:i/>
        </w:rPr>
        <w:fldChar w:fldCharType="end"/>
      </w:r>
    </w:p>
    <w:p w14:paraId="65E4AF12" w14:textId="77777777" w:rsidR="001C7B85" w:rsidRPr="0063653D" w:rsidRDefault="001C7B85" w:rsidP="001C7B85">
      <w:pPr>
        <w:rPr>
          <w:vanish/>
        </w:rPr>
      </w:pPr>
      <w:bookmarkStart w:id="3" w:name="Commission"/>
      <w:r w:rsidRPr="0063653D">
        <w:rPr>
          <w:vanish/>
        </w:rPr>
        <w:t>Hospodářský a měnový výbor</w:t>
      </w:r>
      <w:bookmarkEnd w:id="3"/>
    </w:p>
    <w:p w14:paraId="111D3436" w14:textId="77777777" w:rsidR="001C7B85" w:rsidRPr="0063653D" w:rsidRDefault="001C7B85" w:rsidP="001C7B85">
      <w:pPr>
        <w:rPr>
          <w:vanish/>
        </w:rPr>
      </w:pPr>
      <w:bookmarkStart w:id="4" w:name="PE"/>
      <w:r w:rsidRPr="0063653D">
        <w:rPr>
          <w:vanish/>
        </w:rPr>
        <w:t>PE757.278</w:t>
      </w:r>
      <w:bookmarkEnd w:id="4"/>
    </w:p>
    <w:p w14:paraId="2868B9F6" w14:textId="0E1EB4D1" w:rsidR="001C7B85" w:rsidRPr="0063653D" w:rsidRDefault="001C7B85" w:rsidP="001C7B85">
      <w:pPr>
        <w:pStyle w:val="ATHeading3"/>
      </w:pPr>
      <w:bookmarkStart w:id="5" w:name="Sujet"/>
      <w:r w:rsidRPr="0063653D">
        <w:t xml:space="preserve">Legislativní usnesení Evropského parlamentu ze dne 23. dubna 2024 o návrhu směrnice Rady, kterou se mění směrnice 2011/85/EU o požadavcích na rozpočtové rámce členských </w:t>
      </w:r>
      <w:r w:rsidRPr="002D5D0A">
        <w:t>států</w:t>
      </w:r>
      <w:bookmarkEnd w:id="5"/>
      <w:r w:rsidRPr="002D5D0A">
        <w:t xml:space="preserve"> </w:t>
      </w:r>
      <w:bookmarkStart w:id="6" w:name="References"/>
      <w:r w:rsidRPr="00F23CE2">
        <w:t>(</w:t>
      </w:r>
      <w:r w:rsidR="007F4057" w:rsidRPr="002F7AAC">
        <w:t>1</w:t>
      </w:r>
      <w:r w:rsidR="007F4057" w:rsidRPr="002D5D0A">
        <w:t>5396</w:t>
      </w:r>
      <w:r w:rsidR="007F4057" w:rsidRPr="00EA5557">
        <w:t>/</w:t>
      </w:r>
      <w:r w:rsidR="007F4057">
        <w:t>20</w:t>
      </w:r>
      <w:r w:rsidR="007F4057" w:rsidRPr="00EA5557">
        <w:t>23</w:t>
      </w:r>
      <w:r w:rsidRPr="0063653D">
        <w:t xml:space="preserve"> – C9-0</w:t>
      </w:r>
      <w:r w:rsidR="007F4057">
        <w:t>006</w:t>
      </w:r>
      <w:r w:rsidRPr="0063653D">
        <w:t>/202</w:t>
      </w:r>
      <w:r w:rsidR="007F4057">
        <w:t>4</w:t>
      </w:r>
      <w:r w:rsidRPr="0063653D">
        <w:t xml:space="preserve"> – 2023/0136(NLE))</w:t>
      </w:r>
      <w:bookmarkEnd w:id="6"/>
    </w:p>
    <w:p w14:paraId="54B2CAA3" w14:textId="77777777" w:rsidR="001C7B85" w:rsidRPr="0063653D" w:rsidRDefault="001C7B85" w:rsidP="001C7B85"/>
    <w:p w14:paraId="6A14B8DD" w14:textId="77777777" w:rsidR="00261DD7" w:rsidRPr="0063653D" w:rsidRDefault="00261DD7" w:rsidP="00261DD7">
      <w:pPr>
        <w:pStyle w:val="NormalBold"/>
      </w:pPr>
      <w:bookmarkStart w:id="7" w:name="TextBodyBegin"/>
      <w:bookmarkEnd w:id="7"/>
      <w:r w:rsidRPr="0063653D">
        <w:t>(Konzultace)</w:t>
      </w:r>
    </w:p>
    <w:p w14:paraId="3804D479" w14:textId="77777777" w:rsidR="00261DD7" w:rsidRPr="0063653D" w:rsidRDefault="00261DD7" w:rsidP="00261DD7">
      <w:pPr>
        <w:pStyle w:val="EPComma"/>
      </w:pPr>
      <w:r w:rsidRPr="0063653D">
        <w:rPr>
          <w:i/>
          <w:iCs/>
        </w:rPr>
        <w:t>Evropský parlament</w:t>
      </w:r>
      <w:r w:rsidRPr="0063653D">
        <w:t>,</w:t>
      </w:r>
    </w:p>
    <w:p w14:paraId="2C57E5CC" w14:textId="1BDFFB46" w:rsidR="00261DD7" w:rsidRPr="0063653D" w:rsidRDefault="00261DD7" w:rsidP="00261DD7">
      <w:pPr>
        <w:pStyle w:val="NormalHanging12a"/>
      </w:pPr>
      <w:r w:rsidRPr="0063653D">
        <w:t>–</w:t>
      </w:r>
      <w:r w:rsidRPr="0063653D">
        <w:tab/>
        <w:t xml:space="preserve">s ohledem na návrh </w:t>
      </w:r>
      <w:r w:rsidR="00F23CE2">
        <w:t>Rady (</w:t>
      </w:r>
      <w:r w:rsidR="00F23CE2" w:rsidRPr="00F23CE2">
        <w:t>15396/2023</w:t>
      </w:r>
      <w:r w:rsidR="00F23CE2">
        <w:t>)</w:t>
      </w:r>
      <w:r w:rsidRPr="0063653D">
        <w:t>,</w:t>
      </w:r>
    </w:p>
    <w:p w14:paraId="431793A8" w14:textId="235CD59B" w:rsidR="00261DD7" w:rsidRPr="0063653D" w:rsidRDefault="00261DD7" w:rsidP="00261DD7">
      <w:pPr>
        <w:pStyle w:val="NormalHanging12a"/>
      </w:pPr>
      <w:r w:rsidRPr="0063653D">
        <w:t>–</w:t>
      </w:r>
      <w:r w:rsidRPr="0063653D">
        <w:tab/>
        <w:t xml:space="preserve">s ohledem na čl. 126 odst. 14 třetí pododstavec Smlouvy o </w:t>
      </w:r>
      <w:r w:rsidR="002867C1">
        <w:t xml:space="preserve">fungování </w:t>
      </w:r>
      <w:r w:rsidRPr="0063653D">
        <w:t>Evropské uni</w:t>
      </w:r>
      <w:r w:rsidR="002867C1">
        <w:t>e</w:t>
      </w:r>
      <w:r w:rsidRPr="0063653D">
        <w:t>, podle kterého Rada konzultovala s Parlamentem (C9</w:t>
      </w:r>
      <w:r w:rsidRPr="0063653D">
        <w:noBreakHyphen/>
        <w:t>0</w:t>
      </w:r>
      <w:r w:rsidR="007B71CA">
        <w:t>006</w:t>
      </w:r>
      <w:r w:rsidRPr="0063653D">
        <w:t>/202</w:t>
      </w:r>
      <w:r w:rsidR="007B71CA">
        <w:t>4</w:t>
      </w:r>
      <w:r w:rsidRPr="0063653D">
        <w:t>),</w:t>
      </w:r>
    </w:p>
    <w:p w14:paraId="7A8877FB" w14:textId="77777777" w:rsidR="00261DD7" w:rsidRPr="0063653D" w:rsidRDefault="00261DD7" w:rsidP="00261DD7">
      <w:pPr>
        <w:pStyle w:val="NormalHanging12a"/>
      </w:pPr>
      <w:r w:rsidRPr="0063653D">
        <w:t>–</w:t>
      </w:r>
      <w:r w:rsidRPr="0063653D">
        <w:tab/>
        <w:t>s ohledem na článek 82 jednacího řádu,</w:t>
      </w:r>
    </w:p>
    <w:p w14:paraId="606FE439" w14:textId="77777777" w:rsidR="00261DD7" w:rsidRPr="0063653D" w:rsidRDefault="00261DD7" w:rsidP="00261DD7">
      <w:pPr>
        <w:pStyle w:val="NormalHanging12a"/>
      </w:pPr>
      <w:r w:rsidRPr="0063653D">
        <w:t>–</w:t>
      </w:r>
      <w:r w:rsidRPr="0063653D">
        <w:tab/>
        <w:t>s ohledem na zprávu Hospodářského a měnového výboru (A9-0440/2023),</w:t>
      </w:r>
    </w:p>
    <w:p w14:paraId="3F934B47" w14:textId="544D6B52" w:rsidR="00261DD7" w:rsidRPr="0063653D" w:rsidRDefault="00261DD7" w:rsidP="00261DD7">
      <w:pPr>
        <w:pStyle w:val="NormalHanging12a"/>
      </w:pPr>
      <w:r w:rsidRPr="0063653D">
        <w:t>1.</w:t>
      </w:r>
      <w:r w:rsidRPr="0063653D">
        <w:tab/>
        <w:t xml:space="preserve">schvaluje pozměněný návrh </w:t>
      </w:r>
      <w:r w:rsidR="007B71CA">
        <w:t>Rady</w:t>
      </w:r>
      <w:r w:rsidRPr="0063653D">
        <w:t>;</w:t>
      </w:r>
    </w:p>
    <w:p w14:paraId="0E62B777" w14:textId="29D054FC" w:rsidR="00261DD7" w:rsidRPr="0063653D" w:rsidRDefault="009739A9" w:rsidP="00261DD7">
      <w:pPr>
        <w:pStyle w:val="NormalHanging12a"/>
      </w:pPr>
      <w:r>
        <w:t>2</w:t>
      </w:r>
      <w:r w:rsidR="00261DD7" w:rsidRPr="0063653D">
        <w:t>.</w:t>
      </w:r>
      <w:r w:rsidR="00261DD7" w:rsidRPr="0063653D">
        <w:tab/>
        <w:t>vyzývá Radu, aby informovala Parlament, bude-li mít v úmyslu odchýlit se od znění schváleného Parlamentem;</w:t>
      </w:r>
    </w:p>
    <w:p w14:paraId="7C250906" w14:textId="06C7AAFC" w:rsidR="00261DD7" w:rsidRPr="0063653D" w:rsidRDefault="009739A9" w:rsidP="00261DD7">
      <w:pPr>
        <w:pStyle w:val="NormalHanging12a"/>
      </w:pPr>
      <w:r>
        <w:t>3</w:t>
      </w:r>
      <w:r w:rsidR="00261DD7" w:rsidRPr="0063653D">
        <w:t>.</w:t>
      </w:r>
      <w:r w:rsidR="00261DD7" w:rsidRPr="0063653D">
        <w:tab/>
        <w:t xml:space="preserve">vyzývá Radu, aby znovu konzultovala s Parlamentem, bude-li mít v úmyslu </w:t>
      </w:r>
      <w:r w:rsidR="00021192">
        <w:t xml:space="preserve">svůj </w:t>
      </w:r>
      <w:r w:rsidR="00021192" w:rsidRPr="0063653D">
        <w:t xml:space="preserve">návrh </w:t>
      </w:r>
      <w:r w:rsidR="00261DD7" w:rsidRPr="0063653D">
        <w:t>podstatně změnit;</w:t>
      </w:r>
    </w:p>
    <w:p w14:paraId="33D81F3F" w14:textId="34F7435D" w:rsidR="00261DD7" w:rsidRPr="0063653D" w:rsidRDefault="009739A9" w:rsidP="00261DD7">
      <w:pPr>
        <w:pStyle w:val="NormalHanging12a"/>
      </w:pPr>
      <w:r>
        <w:t>4</w:t>
      </w:r>
      <w:r w:rsidR="00261DD7" w:rsidRPr="0063653D">
        <w:t>.</w:t>
      </w:r>
      <w:r w:rsidR="00261DD7" w:rsidRPr="0063653D">
        <w:tab/>
        <w:t>pověřuje svou předsedkyni, aby předal</w:t>
      </w:r>
      <w:r>
        <w:t>a</w:t>
      </w:r>
      <w:r w:rsidR="00261DD7" w:rsidRPr="0063653D">
        <w:t xml:space="preserve"> postoj Parlamentu Radě a Komisi.</w:t>
      </w:r>
    </w:p>
    <w:p w14:paraId="0533754E" w14:textId="77777777" w:rsidR="00261DD7" w:rsidRPr="0063653D" w:rsidRDefault="00261DD7" w:rsidP="00261DD7">
      <w:pPr>
        <w:widowControl/>
      </w:pPr>
      <w:r w:rsidRPr="0063653D">
        <w:br w:type="page"/>
      </w:r>
    </w:p>
    <w:p w14:paraId="2227D468" w14:textId="77777777" w:rsidR="00261DD7" w:rsidRPr="0063653D" w:rsidRDefault="00261DD7" w:rsidP="00261DD7"/>
    <w:p w14:paraId="6D0C4D8E" w14:textId="4C08AF84" w:rsidR="00261DD7" w:rsidRPr="0063653D" w:rsidRDefault="00261DD7" w:rsidP="00261DD7">
      <w:pPr>
        <w:pStyle w:val="AmNumberTabs"/>
        <w:keepNext/>
      </w:pPr>
      <w:r w:rsidRPr="0063653D">
        <w:t>Pozměňovací návrh</w:t>
      </w:r>
      <w:r w:rsidRPr="0063653D">
        <w:tab/>
      </w:r>
      <w:r w:rsidRPr="0063653D">
        <w:tab/>
      </w:r>
      <w:r w:rsidR="00BD259E">
        <w:t>2</w:t>
      </w:r>
    </w:p>
    <w:p w14:paraId="0C082E22" w14:textId="77777777" w:rsidR="00261DD7" w:rsidRPr="0063653D" w:rsidRDefault="00261DD7" w:rsidP="00261DD7">
      <w:pPr>
        <w:pStyle w:val="AmHeadingConsam"/>
      </w:pPr>
      <w:r w:rsidRPr="0063653D">
        <w:t>POZMĚŇOVACÍ NÁVRHY EVROPSKÉHO PARLAMENTU</w:t>
      </w:r>
      <w:r w:rsidRPr="0063653D">
        <w:rPr>
          <w:rStyle w:val="FootnoteReference"/>
        </w:rPr>
        <w:footnoteReference w:customMarkFollows="1" w:id="1"/>
        <w:t>*</w:t>
      </w:r>
    </w:p>
    <w:p w14:paraId="30DE9768" w14:textId="5073E528" w:rsidR="00261DD7" w:rsidRPr="0063653D" w:rsidRDefault="00261DD7" w:rsidP="00261DD7">
      <w:pPr>
        <w:pStyle w:val="NormalCenter12a"/>
      </w:pPr>
      <w:r w:rsidRPr="0063653D">
        <w:t xml:space="preserve">k návrhu </w:t>
      </w:r>
      <w:r w:rsidR="00BD259E">
        <w:t>Rady</w:t>
      </w:r>
    </w:p>
    <w:p w14:paraId="66634E71" w14:textId="77777777" w:rsidR="00261DD7" w:rsidRPr="0063653D" w:rsidRDefault="00261DD7" w:rsidP="00261DD7">
      <w:pPr>
        <w:pStyle w:val="NormalCenter12a"/>
      </w:pPr>
      <w:r w:rsidRPr="0063653D">
        <w:t>---------------------------------------------------------</w:t>
      </w:r>
    </w:p>
    <w:p w14:paraId="33DA4FF4" w14:textId="77777777" w:rsidR="00E93045" w:rsidRPr="00221620" w:rsidRDefault="00E93045" w:rsidP="00E93045">
      <w:pPr>
        <w:widowControl/>
        <w:spacing w:before="360" w:line="360" w:lineRule="auto"/>
        <w:jc w:val="center"/>
        <w:rPr>
          <w:rFonts w:eastAsia="Calibri"/>
          <w:szCs w:val="22"/>
          <w:lang w:eastAsia="en-US"/>
        </w:rPr>
      </w:pPr>
      <w:r w:rsidRPr="00221620">
        <w:rPr>
          <w:rFonts w:eastAsia="Calibri"/>
          <w:szCs w:val="22"/>
          <w:lang w:eastAsia="en-US"/>
        </w:rPr>
        <w:t>SMĚRNICE RADY,</w:t>
      </w:r>
    </w:p>
    <w:p w14:paraId="593A08E0" w14:textId="77777777" w:rsidR="00E93045" w:rsidRPr="00221620" w:rsidRDefault="00E93045" w:rsidP="00E93045">
      <w:pPr>
        <w:widowControl/>
        <w:spacing w:before="360" w:after="360" w:line="360" w:lineRule="auto"/>
        <w:jc w:val="center"/>
        <w:rPr>
          <w:rFonts w:eastAsia="Calibri"/>
          <w:szCs w:val="22"/>
          <w:lang w:eastAsia="en-US"/>
        </w:rPr>
      </w:pPr>
      <w:r w:rsidRPr="00221620">
        <w:rPr>
          <w:rFonts w:eastAsia="Calibri"/>
          <w:szCs w:val="22"/>
          <w:lang w:eastAsia="en-US"/>
        </w:rPr>
        <w:t>kterou se mění směrnice 2011/85/EU o požadavcích na rozpočtové rámce členských států</w:t>
      </w:r>
    </w:p>
    <w:p w14:paraId="22734CEC" w14:textId="77777777" w:rsidR="00E93045" w:rsidRPr="00E93045" w:rsidRDefault="00E93045" w:rsidP="00E93045">
      <w:pPr>
        <w:keepNext/>
        <w:widowControl/>
        <w:spacing w:before="600" w:after="120" w:line="360" w:lineRule="auto"/>
        <w:jc w:val="both"/>
        <w:rPr>
          <w:rFonts w:eastAsia="Calibri"/>
          <w:szCs w:val="22"/>
          <w:lang w:eastAsia="en-US"/>
        </w:rPr>
      </w:pPr>
      <w:r w:rsidRPr="00E93045">
        <w:rPr>
          <w:rFonts w:eastAsia="Calibri"/>
          <w:szCs w:val="22"/>
          <w:lang w:eastAsia="en-US"/>
        </w:rPr>
        <w:t>RADA EVROPSKÉ UNIE,</w:t>
      </w:r>
    </w:p>
    <w:p w14:paraId="3C5AC184" w14:textId="77777777" w:rsidR="00E93045" w:rsidRPr="00E93045" w:rsidRDefault="00E93045" w:rsidP="00E93045">
      <w:pPr>
        <w:widowControl/>
        <w:spacing w:before="120" w:after="120" w:line="360" w:lineRule="auto"/>
        <w:rPr>
          <w:rFonts w:eastAsia="Calibri"/>
          <w:szCs w:val="22"/>
          <w:lang w:eastAsia="en-US"/>
        </w:rPr>
      </w:pPr>
      <w:r w:rsidRPr="00E93045">
        <w:rPr>
          <w:rFonts w:eastAsia="Calibri"/>
          <w:szCs w:val="22"/>
          <w:lang w:eastAsia="en-US"/>
        </w:rPr>
        <w:t>s ohledem na Smlouvu o fungování Evropské unie, a zejména na čl. 126 odst. 14 třetí pododstavec této smlouvy,</w:t>
      </w:r>
    </w:p>
    <w:p w14:paraId="00BEBF3F" w14:textId="77777777" w:rsidR="00E93045" w:rsidRPr="00E93045" w:rsidRDefault="00E93045" w:rsidP="00E93045">
      <w:pPr>
        <w:widowControl/>
        <w:spacing w:before="120" w:after="120" w:line="360" w:lineRule="auto"/>
        <w:rPr>
          <w:rFonts w:eastAsia="Calibri"/>
          <w:szCs w:val="22"/>
          <w:lang w:eastAsia="en-US"/>
        </w:rPr>
      </w:pPr>
      <w:r w:rsidRPr="00E93045">
        <w:rPr>
          <w:rFonts w:eastAsia="Calibri"/>
          <w:szCs w:val="22"/>
          <w:lang w:eastAsia="en-US"/>
        </w:rPr>
        <w:t>s ohledem na návrh Evropské komise,</w:t>
      </w:r>
    </w:p>
    <w:p w14:paraId="30BB82A5" w14:textId="77777777" w:rsidR="00E93045" w:rsidRPr="00E93045" w:rsidRDefault="00E93045" w:rsidP="00E93045">
      <w:pPr>
        <w:widowControl/>
        <w:spacing w:before="120" w:after="120" w:line="360" w:lineRule="auto"/>
        <w:rPr>
          <w:rFonts w:eastAsia="Calibri"/>
          <w:szCs w:val="22"/>
          <w:lang w:eastAsia="en-US"/>
        </w:rPr>
      </w:pPr>
      <w:r w:rsidRPr="00E93045">
        <w:rPr>
          <w:rFonts w:eastAsia="Calibri"/>
          <w:szCs w:val="22"/>
          <w:lang w:eastAsia="en-US"/>
        </w:rPr>
        <w:t>s ohledem na stanovisko Evropského parlamentu,</w:t>
      </w:r>
    </w:p>
    <w:p w14:paraId="248FB49C" w14:textId="77777777" w:rsidR="00E93045" w:rsidRPr="00E93045" w:rsidRDefault="00E93045" w:rsidP="00E93045">
      <w:pPr>
        <w:widowControl/>
        <w:spacing w:before="120" w:after="120" w:line="360" w:lineRule="auto"/>
        <w:rPr>
          <w:rFonts w:eastAsia="Calibri"/>
          <w:szCs w:val="22"/>
          <w:lang w:eastAsia="en-US"/>
        </w:rPr>
      </w:pPr>
      <w:r w:rsidRPr="00E93045">
        <w:rPr>
          <w:rFonts w:eastAsia="Calibri"/>
          <w:szCs w:val="22"/>
          <w:lang w:eastAsia="en-US"/>
        </w:rPr>
        <w:t>s ohledem na stanovisko Evropské centrální banky</w:t>
      </w:r>
      <w:r w:rsidRPr="00E93045">
        <w:rPr>
          <w:rFonts w:eastAsia="Calibri"/>
          <w:szCs w:val="22"/>
          <w:vertAlign w:val="superscript"/>
          <w:lang w:eastAsia="en-US"/>
        </w:rPr>
        <w:footnoteReference w:id="2"/>
      </w:r>
      <w:r w:rsidRPr="00E93045">
        <w:rPr>
          <w:rFonts w:eastAsia="Calibri"/>
          <w:szCs w:val="22"/>
          <w:lang w:eastAsia="en-US"/>
        </w:rPr>
        <w:t>,</w:t>
      </w:r>
    </w:p>
    <w:p w14:paraId="38107A49" w14:textId="77777777" w:rsidR="00E93045" w:rsidRPr="00E93045" w:rsidRDefault="00E93045" w:rsidP="00E93045">
      <w:pPr>
        <w:widowControl/>
        <w:spacing w:before="120" w:after="120" w:line="360" w:lineRule="auto"/>
        <w:rPr>
          <w:rFonts w:eastAsia="Calibri"/>
          <w:szCs w:val="22"/>
          <w:lang w:eastAsia="en-US"/>
        </w:rPr>
      </w:pPr>
      <w:r w:rsidRPr="00E93045">
        <w:rPr>
          <w:rFonts w:eastAsia="Calibri"/>
          <w:szCs w:val="22"/>
          <w:lang w:eastAsia="en-US"/>
        </w:rPr>
        <w:t>vzhledem k těmto důvodům:</w:t>
      </w:r>
    </w:p>
    <w:p w14:paraId="6B3007CA"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w:t>
      </w:r>
      <w:r w:rsidRPr="00E93045">
        <w:rPr>
          <w:rFonts w:eastAsia="Calibri"/>
          <w:szCs w:val="22"/>
          <w:lang w:eastAsia="en-US"/>
        </w:rPr>
        <w:tab/>
        <w:t>S cílem zajistit, aby členské státy plnily povinnosti vyplývající ze Smlouvy o fungování Evropské unie (dále jen „Smlouva o fungování EU“) v oblasti rozpočtové politiky, a zejména s ohledem na zamezení nadměrným schodkům veřejných financí, stanovila směrnice Rady 2011/85/EU</w:t>
      </w:r>
      <w:r w:rsidRPr="00E93045">
        <w:rPr>
          <w:rFonts w:eastAsia="Calibri"/>
          <w:szCs w:val="22"/>
          <w:vertAlign w:val="superscript"/>
          <w:lang w:eastAsia="en-US"/>
        </w:rPr>
        <w:footnoteReference w:id="3"/>
      </w:r>
      <w:r w:rsidRPr="00E93045">
        <w:rPr>
          <w:rFonts w:eastAsia="Calibri"/>
          <w:szCs w:val="22"/>
          <w:lang w:eastAsia="en-US"/>
        </w:rPr>
        <w:t xml:space="preserve"> podrobná pravidla týkající se charakteristických rysů rozpočtových rámců členských států.</w:t>
      </w:r>
    </w:p>
    <w:p w14:paraId="2CA7BAA2"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(2)</w:t>
      </w:r>
      <w:r w:rsidRPr="00E93045">
        <w:rPr>
          <w:rFonts w:eastAsia="Calibri"/>
          <w:szCs w:val="22"/>
          <w:lang w:eastAsia="en-US"/>
        </w:rPr>
        <w:tab/>
        <w:t>Na základě zkušeností s hospodářskou a měnovou unií od vstupu směrnice 2011/85/EU v platnost je nutné změnit její požadavky týkající se pravidel a postupů, které tvoří rozpočtové rámce členských států.</w:t>
      </w:r>
    </w:p>
    <w:p w14:paraId="39AFA235"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lastRenderedPageBreak/>
        <w:t>(3)</w:t>
      </w:r>
      <w:r w:rsidRPr="00E93045">
        <w:rPr>
          <w:rFonts w:eastAsia="Calibri"/>
          <w:szCs w:val="22"/>
          <w:lang w:eastAsia="en-US"/>
        </w:rPr>
        <w:tab/>
        <w:t>V roce 2019 zveřejnil Evropský účetní dvůr zprávu, ve které zkoumá požadavky Unie na vnitrostátní rozpočtové rámce a doporučuje Komisi, aby tyto požadavky přezkoumala s ohledem na mezinárodní standardy a osvědčené postupy. Evropský účetní dvůr navrhl konkrétní opatření za účelem zlepšení působnosti a účinnosti vnitrostátních rozpočtových rámců, zejména pokud jde o střednědobé rozpočtové rámce a nezávislé fiskální instituce</w:t>
      </w:r>
      <w:r w:rsidRPr="00E93045">
        <w:rPr>
          <w:rFonts w:eastAsia="Calibri"/>
          <w:szCs w:val="22"/>
          <w:vertAlign w:val="superscript"/>
          <w:lang w:eastAsia="en-US"/>
        </w:rPr>
        <w:footnoteReference w:id="4"/>
      </w:r>
      <w:r w:rsidRPr="00E93045">
        <w:rPr>
          <w:rFonts w:eastAsia="Calibri"/>
          <w:szCs w:val="22"/>
          <w:lang w:eastAsia="en-US"/>
        </w:rPr>
        <w:t>.</w:t>
      </w:r>
    </w:p>
    <w:p w14:paraId="21EE9E6D"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(4)</w:t>
      </w:r>
      <w:r w:rsidRPr="00E93045">
        <w:rPr>
          <w:rFonts w:eastAsia="Calibri"/>
          <w:szCs w:val="22"/>
          <w:lang w:eastAsia="en-US"/>
        </w:rPr>
        <w:tab/>
        <w:t>Komise ve sdělení ze dne 5. února 2020</w:t>
      </w:r>
      <w:r w:rsidRPr="00E93045">
        <w:rPr>
          <w:rFonts w:eastAsia="Calibri"/>
          <w:szCs w:val="22"/>
          <w:vertAlign w:val="superscript"/>
          <w:lang w:eastAsia="en-US"/>
        </w:rPr>
        <w:footnoteReference w:id="5"/>
      </w:r>
      <w:r w:rsidRPr="00E93045">
        <w:rPr>
          <w:rFonts w:eastAsia="Calibri"/>
          <w:szCs w:val="22"/>
          <w:lang w:eastAsia="en-US"/>
        </w:rPr>
        <w:t xml:space="preserve"> poukázala na značný, avšak nerovnoměrný pokrok ve vývoji vnitrostátních rozpočtových rámců, vzhledem k tomu, že právo Unie stanoví pouze minimální požadavky a že provádění a dodržování vnitrostátních předpisů bylo velmi rozdílné. Uvedené sdělení se rovněž zabývalo tím, do jaké míry by rámec podporoval potřeby v oblasti hospodářské, environmentální a sociální politiky v souvislosti s přechodem ke klimaticky neutrálnímu a digitálnímu evropskému hospodářství účinně využívajícímu zdroje tím, že bude doplňovat klíčovou úlohu regulačního prostředí a strukturálních reforem.</w:t>
      </w:r>
    </w:p>
    <w:p w14:paraId="5A4086E6"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(5)</w:t>
      </w:r>
      <w:r w:rsidRPr="00E93045">
        <w:rPr>
          <w:rFonts w:eastAsia="Calibri"/>
          <w:szCs w:val="22"/>
          <w:lang w:eastAsia="en-US"/>
        </w:rPr>
        <w:tab/>
        <w:t>Komise ve sdělení ze dne 11. prosince 2019 o Zelené dohodě pro Evropu</w:t>
      </w:r>
      <w:r w:rsidRPr="00E93045">
        <w:rPr>
          <w:rFonts w:eastAsia="Calibri"/>
          <w:szCs w:val="22"/>
          <w:vertAlign w:val="superscript"/>
          <w:lang w:eastAsia="en-US"/>
        </w:rPr>
        <w:footnoteReference w:id="6"/>
      </w:r>
      <w:r w:rsidRPr="00E93045">
        <w:rPr>
          <w:rFonts w:eastAsia="Calibri"/>
          <w:szCs w:val="22"/>
          <w:lang w:eastAsia="en-US"/>
        </w:rPr>
        <w:t xml:space="preserve"> vyzvala k většímu využívání ekologických rozpočtových nástrojů s cílem přesměrovat veřejné investice, spotřebu a zdanění na ekologické priority a vyhnout se škodlivým dotacím. Evropský právní rámec pro klima stanoví cíl klimatické neutrality pro celou Unii do roku 2050 a požaduje, aby orgány Unie a členské státy pokročily ve zvyšování adaptační kapacity. Komise se zavázala spolupracovat s členskými státy na kontrole a porovnávání ekologických rozpočtových postupů. Ve sdělení ze dne 24. února 2021 o nové strategii EU pro přizpůsobení se změně klimatu</w:t>
      </w:r>
      <w:r w:rsidRPr="00E93045">
        <w:rPr>
          <w:rFonts w:eastAsia="Calibri"/>
          <w:szCs w:val="22"/>
          <w:vertAlign w:val="superscript"/>
          <w:lang w:eastAsia="en-US"/>
        </w:rPr>
        <w:footnoteReference w:id="7"/>
      </w:r>
      <w:r w:rsidRPr="00E93045">
        <w:rPr>
          <w:rFonts w:eastAsia="Calibri"/>
          <w:szCs w:val="22"/>
          <w:lang w:eastAsia="en-US"/>
        </w:rPr>
        <w:t xml:space="preserve"> Komise poukázala na </w:t>
      </w:r>
      <w:proofErr w:type="spellStart"/>
      <w:r w:rsidRPr="00E93045">
        <w:rPr>
          <w:rFonts w:eastAsia="Calibri"/>
          <w:szCs w:val="22"/>
          <w:lang w:eastAsia="en-US"/>
        </w:rPr>
        <w:t>makrofiskální</w:t>
      </w:r>
      <w:proofErr w:type="spellEnd"/>
      <w:r w:rsidRPr="00E93045">
        <w:rPr>
          <w:rFonts w:eastAsia="Calibri"/>
          <w:szCs w:val="22"/>
          <w:lang w:eastAsia="en-US"/>
        </w:rPr>
        <w:t xml:space="preserve"> význam změny klimatu a zdůraznilo potřebu zvýšit odolnost Unie vůči dopadům změny klimatu. Evropský semestr poskytuje další rámec na podporu tohoto úsilí a Nástroj pro technickou podporu nabízí praktickou pomoc při jeho provádění.</w:t>
      </w:r>
    </w:p>
    <w:p w14:paraId="78841472"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lastRenderedPageBreak/>
        <w:t>(6)</w:t>
      </w:r>
      <w:r w:rsidRPr="00E93045">
        <w:rPr>
          <w:rFonts w:eastAsia="Calibri"/>
          <w:szCs w:val="22"/>
          <w:lang w:eastAsia="en-US"/>
        </w:rPr>
        <w:tab/>
        <w:t>Ve sdělení ze dne 9. listopadu 2022 o směrech pro reformu rámce správy ekonomických záležitostí EU</w:t>
      </w:r>
      <w:r w:rsidRPr="00E93045">
        <w:rPr>
          <w:rFonts w:eastAsia="Calibri"/>
          <w:szCs w:val="22"/>
          <w:vertAlign w:val="superscript"/>
          <w:lang w:eastAsia="en-US"/>
        </w:rPr>
        <w:footnoteReference w:id="8"/>
      </w:r>
      <w:r w:rsidRPr="00E93045">
        <w:rPr>
          <w:rFonts w:eastAsia="Calibri"/>
          <w:szCs w:val="22"/>
          <w:lang w:eastAsia="en-US"/>
        </w:rPr>
        <w:t xml:space="preserve"> Komise zdůraznila potřebu posílit udržitelnost dluhu a snížit vysokou míru veřejného zadlužení a zároveň podpořit udržitelný a inkluzivní růst ve všech členských státech. Hlavními cíli těchto směrů je zlepšit odpovědnost jednotlivých států, zjednodušit rámec a více se zaměřit na střednědobý horizont spolu s důraznějším a soudržnějším prosazováním.</w:t>
      </w:r>
    </w:p>
    <w:p w14:paraId="7E115305"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(7)</w:t>
      </w:r>
      <w:r w:rsidRPr="00E93045">
        <w:rPr>
          <w:rFonts w:eastAsia="Calibri"/>
          <w:szCs w:val="22"/>
          <w:lang w:eastAsia="en-US"/>
        </w:rPr>
        <w:tab/>
        <w:t>S cílem zlepšit dodržování ustanovení Smlouvy o fungování EU, a zejména předcházet vzniku nadměrných schodků veřejných financí ve smyslu článku 126 Smlouvy o fungování EU by měla být v právních předpisech členských států přijata zvláštní ustanovení k posílení vnitrostátní odpovědnosti v souladu se sdělením Komise ze dne 9. listopadu 2022 o směrech pro reformu rámce správy ekonomických záležitostí EU, a to nad rámec ustanovení, která jsou v současnosti vyžadována směrnicí 2011/85/EU. Na základě zjištění o provádění uvedené směrnice by se změny měly týkat také ustanovení o transparentnosti a statistice, prognózách a sestavování střednědobých rozpočtů s cílem odstranit nedostatky zjištěné během provádění.</w:t>
      </w:r>
    </w:p>
    <w:p w14:paraId="2B4E097F" w14:textId="1BEADB9F" w:rsidR="00E93045" w:rsidRPr="00E93045" w:rsidRDefault="00E93045" w:rsidP="003E4358">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(8)</w:t>
      </w:r>
      <w:r w:rsidRPr="00E93045">
        <w:rPr>
          <w:rFonts w:eastAsia="Calibri"/>
          <w:szCs w:val="22"/>
          <w:lang w:eastAsia="en-US"/>
        </w:rPr>
        <w:tab/>
        <w:t>Tato směrnice je součástí balíčku společně s nařízením Parlamentu a Rady (EU) [XXX]</w:t>
      </w:r>
      <w:r w:rsidRPr="00E93045">
        <w:rPr>
          <w:rFonts w:eastAsia="Calibri"/>
          <w:szCs w:val="22"/>
          <w:vertAlign w:val="superscript"/>
          <w:lang w:eastAsia="en-US"/>
        </w:rPr>
        <w:footnoteReference w:id="9"/>
      </w:r>
      <w:r w:rsidRPr="00E93045">
        <w:rPr>
          <w:rFonts w:eastAsia="Calibri"/>
          <w:szCs w:val="22"/>
          <w:lang w:eastAsia="en-US"/>
        </w:rPr>
        <w:t>, kterým se nahrazuje nařízení (ES) č. 1466/97</w:t>
      </w:r>
      <w:r w:rsidRPr="00E93045">
        <w:rPr>
          <w:rFonts w:eastAsia="Calibri"/>
          <w:szCs w:val="22"/>
          <w:vertAlign w:val="superscript"/>
          <w:lang w:eastAsia="en-US"/>
        </w:rPr>
        <w:footnoteReference w:id="10"/>
      </w:r>
      <w:r w:rsidRPr="00E93045">
        <w:rPr>
          <w:rFonts w:eastAsia="Calibri"/>
          <w:szCs w:val="22"/>
          <w:lang w:eastAsia="en-US"/>
        </w:rPr>
        <w:t xml:space="preserve"> (preventivní složka Paktu o stabilitě a růstu), a nařízením Rady [XXX]</w:t>
      </w:r>
      <w:r w:rsidRPr="00E93045">
        <w:rPr>
          <w:rFonts w:eastAsia="Calibri"/>
          <w:szCs w:val="22"/>
          <w:vertAlign w:val="superscript"/>
          <w:lang w:eastAsia="en-US"/>
        </w:rPr>
        <w:footnoteReference w:id="11"/>
      </w:r>
      <w:r w:rsidRPr="00E93045">
        <w:rPr>
          <w:rFonts w:eastAsia="Calibri"/>
          <w:szCs w:val="22"/>
          <w:lang w:eastAsia="en-US"/>
        </w:rPr>
        <w:t>, kterým se mění nařízení Rady (ES) č. 1467/97</w:t>
      </w:r>
      <w:r w:rsidRPr="00E93045">
        <w:rPr>
          <w:rFonts w:eastAsia="Calibri"/>
          <w:szCs w:val="22"/>
          <w:vertAlign w:val="superscript"/>
          <w:lang w:eastAsia="en-US"/>
        </w:rPr>
        <w:footnoteReference w:id="12"/>
      </w:r>
      <w:r w:rsidRPr="00E93045">
        <w:rPr>
          <w:rFonts w:eastAsia="Calibri"/>
          <w:szCs w:val="22"/>
          <w:lang w:eastAsia="en-US"/>
        </w:rPr>
        <w:t xml:space="preserve"> (nápravná složka Paktu o stabilitě a růstu). Společně zavádějí reformovaný rámec správy ekonomických záležitostí Unie, který do práva Unie začleňuje podstatu hlavy III „Rozpočtový pakt“ mezivládní Smlouvy o stabilitě, koordinaci a správě v hospodářské a měnové unii</w:t>
      </w:r>
      <w:r w:rsidRPr="00E93045">
        <w:rPr>
          <w:rFonts w:eastAsia="Calibri"/>
          <w:szCs w:val="22"/>
          <w:vertAlign w:val="superscript"/>
          <w:lang w:eastAsia="en-US"/>
        </w:rPr>
        <w:footnoteReference w:id="13"/>
      </w:r>
      <w:r w:rsidRPr="00E93045">
        <w:rPr>
          <w:rFonts w:eastAsia="Calibri"/>
          <w:szCs w:val="22"/>
          <w:lang w:eastAsia="en-US"/>
        </w:rPr>
        <w:t xml:space="preserve"> v souladu s článkem 16 této smlouvy.</w:t>
      </w:r>
      <w:r w:rsidR="003E4358">
        <w:rPr>
          <w:rFonts w:eastAsia="Calibri"/>
          <w:szCs w:val="22"/>
          <w:lang w:eastAsia="en-US"/>
        </w:rPr>
        <w:t xml:space="preserve"> </w:t>
      </w:r>
      <w:r w:rsidRPr="00E93045">
        <w:rPr>
          <w:rFonts w:eastAsia="Calibri"/>
          <w:szCs w:val="22"/>
          <w:lang w:eastAsia="en-US"/>
        </w:rPr>
        <w:t xml:space="preserve">Tento balíček vychází ze zkušeností s prováděním Smlouvy o stabilitě, koordinaci a správě ze strany členských států a zachovává střednědobé zaměření </w:t>
      </w:r>
      <w:r w:rsidRPr="00E93045">
        <w:rPr>
          <w:rFonts w:eastAsia="Calibri"/>
          <w:szCs w:val="22"/>
          <w:lang w:eastAsia="en-US"/>
        </w:rPr>
        <w:lastRenderedPageBreak/>
        <w:t>rozpočtového paktu jako nástroje k dosažení rozpočtové kázně a podpory růstu. Balíček obsahuje posílený rozměr pro jednotlivé země, jehož cílem je posílit odpovědnost jednotlivých států, mimo jiné zachováním úlohy nezávislých fiskálních institucí, která vychází ze společných zásad rozpočtového paktu navržených Komisí</w:t>
      </w:r>
      <w:r w:rsidRPr="00E93045">
        <w:rPr>
          <w:rFonts w:eastAsia="Calibri"/>
          <w:szCs w:val="22"/>
          <w:vertAlign w:val="superscript"/>
          <w:lang w:eastAsia="en-US"/>
        </w:rPr>
        <w:footnoteReference w:id="14"/>
      </w:r>
      <w:r w:rsidRPr="00E93045">
        <w:rPr>
          <w:rFonts w:eastAsia="Calibri"/>
          <w:szCs w:val="22"/>
          <w:lang w:eastAsia="en-US"/>
        </w:rPr>
        <w:t xml:space="preserve"> v souladu s čl. 3 odst. 2 Smlouvy o stabilitě, koordinaci a správě. Analýza výdajů očištěných o vliv diskrečních opatření na straně příjmů pro celkové posouzení souladu požadované rozpočtovým paktem je stanovena v nařízení [XXX], kterým se nahrazuje nařízení (E</w:t>
      </w:r>
      <w:r w:rsidR="003E4358">
        <w:rPr>
          <w:rFonts w:eastAsia="Calibri"/>
          <w:szCs w:val="22"/>
          <w:lang w:eastAsia="en-US"/>
        </w:rPr>
        <w:t>S</w:t>
      </w:r>
      <w:r w:rsidRPr="00E93045">
        <w:rPr>
          <w:rFonts w:eastAsia="Calibri"/>
          <w:szCs w:val="22"/>
          <w:lang w:eastAsia="en-US"/>
        </w:rPr>
        <w:t>) č. 1466/97. Stejně jako v rozpočtovém paktu jsou v nařízení [XXX], kterým se nahrazuje nařízení (E</w:t>
      </w:r>
      <w:r w:rsidR="003E4358">
        <w:rPr>
          <w:rFonts w:eastAsia="Calibri"/>
          <w:szCs w:val="22"/>
          <w:lang w:eastAsia="en-US"/>
        </w:rPr>
        <w:t>S</w:t>
      </w:r>
      <w:bookmarkStart w:id="8" w:name="_GoBack"/>
      <w:bookmarkEnd w:id="8"/>
      <w:r w:rsidRPr="00E93045">
        <w:rPr>
          <w:rFonts w:eastAsia="Calibri"/>
          <w:szCs w:val="22"/>
          <w:lang w:eastAsia="en-US"/>
        </w:rPr>
        <w:t>) č. 1466/97, dočasné odchylky od střednědobého plánu povoleny pouze za výjimečných okolností. Obdobně v případě významných odchylek od střednědobého plánu by měla být provedena opatření za účelem nápravy těchto odchylek ve vymezeném časovém období. Balíček posiluje fiskální dohled a postupy vymáhání, aby byl naplněn závazek podporovat zdravé a udržitelné veřejné finance a udržitelný a inkluzivní růst. Reforma rámce správy ekonomických záležitostí tak zachovává základní cíle rozpočtové kázně a udržitelnosti dluhu stanovené ve Smlouvě o stabilitě, koordinaci a správě.</w:t>
      </w:r>
    </w:p>
    <w:p w14:paraId="6BCF23AD"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(9)</w:t>
      </w:r>
      <w:r w:rsidRPr="00E93045">
        <w:rPr>
          <w:rFonts w:eastAsia="Calibri"/>
          <w:szCs w:val="22"/>
          <w:lang w:eastAsia="en-US"/>
        </w:rPr>
        <w:tab/>
        <w:t xml:space="preserve">Předpokladem tvorby vysoce kvalitních statistik, které je možno porovnávat mezi všemi členskými státy, jsou kompletní a spolehlivé postupy veřejného účetnictví pro všechny </w:t>
      </w:r>
      <w:proofErr w:type="spellStart"/>
      <w:r w:rsidRPr="00E93045">
        <w:rPr>
          <w:rFonts w:eastAsia="Calibri"/>
          <w:szCs w:val="22"/>
          <w:lang w:eastAsia="en-US"/>
        </w:rPr>
        <w:t>subsektory</w:t>
      </w:r>
      <w:proofErr w:type="spellEnd"/>
      <w:r w:rsidRPr="00E93045">
        <w:rPr>
          <w:rFonts w:eastAsia="Calibri"/>
          <w:szCs w:val="22"/>
          <w:lang w:eastAsia="en-US"/>
        </w:rPr>
        <w:t xml:space="preserve"> sektoru vládních institucí. Dostupnost a kvalita statistik vycházejících z Evropského systému národních a regionálních účtů (ESA) je zásadní pro zajištění řádného fungování rámce fiskálního dohledu Unie. Systém ESA 2010 vychází z informací poskytovaných na akruální bázi. Je proto žádoucí zlepšit sběr akruálních údajů a informací potřebných k vytváření statistik na akruální bázi, a to komplexním a důsledným způsobem ve všech </w:t>
      </w:r>
      <w:proofErr w:type="spellStart"/>
      <w:r w:rsidRPr="00E93045">
        <w:rPr>
          <w:rFonts w:eastAsia="Calibri"/>
          <w:szCs w:val="22"/>
          <w:lang w:eastAsia="en-US"/>
        </w:rPr>
        <w:t>subsektorech</w:t>
      </w:r>
      <w:proofErr w:type="spellEnd"/>
      <w:r w:rsidRPr="00E93045">
        <w:rPr>
          <w:rFonts w:eastAsia="Calibri"/>
          <w:szCs w:val="22"/>
          <w:lang w:eastAsia="en-US"/>
        </w:rPr>
        <w:t xml:space="preserve"> sektoru vládních institucí.</w:t>
      </w:r>
    </w:p>
    <w:p w14:paraId="04989C30"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(10)</w:t>
      </w:r>
      <w:r w:rsidRPr="00E93045">
        <w:rPr>
          <w:rFonts w:eastAsia="Calibri"/>
          <w:szCs w:val="22"/>
          <w:lang w:eastAsia="en-US"/>
        </w:rPr>
        <w:tab/>
        <w:t>Dostupnost údajů s vyšší četností může odhalit vzorce, které si zaslouží bližší sledování, a zlepšit kvalitu rozpočtových prognóz. Členské státy a Komise (</w:t>
      </w:r>
      <w:proofErr w:type="spellStart"/>
      <w:r w:rsidRPr="00E93045">
        <w:rPr>
          <w:rFonts w:eastAsia="Calibri"/>
          <w:szCs w:val="22"/>
          <w:lang w:eastAsia="en-US"/>
        </w:rPr>
        <w:t>Eurostat</w:t>
      </w:r>
      <w:proofErr w:type="spellEnd"/>
      <w:r w:rsidRPr="00E93045">
        <w:rPr>
          <w:rFonts w:eastAsia="Calibri"/>
          <w:szCs w:val="22"/>
          <w:lang w:eastAsia="en-US"/>
        </w:rPr>
        <w:t xml:space="preserve">) by měly zveřejňovat čtvrtletní údaje o schodku a dluhu s použitím definic uvedených v článku 2 Protokolu (č. 12) o postupu při nadměrném schodku, který je připojen ke Smlouvě o Evropské unii (Smlouvě o EU) a ke Smlouvě o fungování EU. Zveřejňování rozpočtových údajů s vyšší četností přizpůsobených vnitrostátním </w:t>
      </w:r>
      <w:r w:rsidRPr="00E93045">
        <w:rPr>
          <w:rFonts w:eastAsia="Calibri"/>
          <w:szCs w:val="22"/>
          <w:lang w:eastAsia="en-US"/>
        </w:rPr>
        <w:lastRenderedPageBreak/>
        <w:t>rozpočtovým definicím, by mělo být stanoveno na základě vnitrostátních požadavků na transparentnost a potřeb uživatelů s cílem zlepšit odpovědnost členských států.</w:t>
      </w:r>
    </w:p>
    <w:p w14:paraId="6DAC861F"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(11)</w:t>
      </w:r>
      <w:r w:rsidRPr="00E93045">
        <w:rPr>
          <w:rFonts w:eastAsia="Calibri"/>
          <w:szCs w:val="22"/>
          <w:lang w:eastAsia="en-US"/>
        </w:rPr>
        <w:tab/>
        <w:t>Zkreslené a nerealistické makroekonomické a rozpočtové prognózy pro právní předpisy týkající se ročních a víceletých rozpočtů mohou značně narušit účinnost fiskálního plánování a v důsledku toho poškodit závazek k rozpočtové kázni. V zájmu zlepšení výchozích předpokladů by členské státy měly porovnat své makroekonomické a rozpočtové prognózy s nejaktuálnějšími prognózami Komise a případně s prognózami jiných nezávislých subjektů.</w:t>
      </w:r>
    </w:p>
    <w:p w14:paraId="0EA2454E"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(12)</w:t>
      </w:r>
      <w:r w:rsidRPr="00E93045">
        <w:rPr>
          <w:rFonts w:eastAsia="Calibri"/>
          <w:szCs w:val="22"/>
          <w:lang w:eastAsia="en-US"/>
        </w:rPr>
        <w:tab/>
        <w:t>Makroekonomické a rozpočtové prognózy pro roční a víceleté fiskální plánování sektoru vládních institucí by měly být předmětem pravidelných, objektivních a komplexních následných hodnocení prováděných nezávislým subjektem nebo jinými subjekty, které jsou ve vztahu k fiskálním orgánům členských států funkčně samostatné, odlišnými od subjektu, který prognózu sestavuje, aby se zvýšila jejich kvalita. Tato hodnocení by měla zahrnovat podrobné zkoumání hospodářských předpokladů, porovnání s prognózami připravenými jinými institucemi a hodnocení úspěšnosti minulých prognóz.</w:t>
      </w:r>
    </w:p>
    <w:p w14:paraId="02498680"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(13)</w:t>
      </w:r>
      <w:r w:rsidRPr="00E93045">
        <w:rPr>
          <w:rFonts w:eastAsia="Calibri"/>
          <w:szCs w:val="22"/>
          <w:lang w:eastAsia="en-US"/>
        </w:rPr>
        <w:tab/>
        <w:t>Nezávislé subjekty pověřené sledováním veřejných financí v členských státech jsou účinným stavebním kamenem rozpočtových rámců. Nařízení Evropského parlamentu a Rady (EU) č. 473/2013</w:t>
      </w:r>
      <w:r w:rsidRPr="00E93045">
        <w:rPr>
          <w:rFonts w:eastAsia="Calibri"/>
          <w:szCs w:val="22"/>
          <w:vertAlign w:val="superscript"/>
          <w:lang w:eastAsia="en-US"/>
        </w:rPr>
        <w:footnoteReference w:id="15"/>
      </w:r>
      <w:r w:rsidRPr="00E93045">
        <w:rPr>
          <w:rFonts w:eastAsia="Calibri"/>
          <w:szCs w:val="22"/>
          <w:lang w:eastAsia="en-US"/>
        </w:rPr>
        <w:t xml:space="preserve"> vyžaduje, aby členské státy, jejichž měnou je euro, měly nezávislé fiskální instituce pověřené schvalováním nebo vypracováváním makroekonomických prognóz, přičemž stanoví zvláštní záruky týkající se jejich nezávislosti a technické způsobilosti. Aniž jsou dotčeny požadavky podle nařízení (EU) č. 473/2013, měl by úkol nezávislých fiskálních institucí vypracovávat, posuzovat nebo schvalovat makroekonomické prognózy v souladu s čl. 8 odst. 4 zohledňovat zavedené vnitrostátní postupy a praxi v členských státech, včetně postupů a praxe týkajících se okamžiku, kdy je daný úkol prováděn.</w:t>
      </w:r>
    </w:p>
    <w:p w14:paraId="59B982B6"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(14)</w:t>
      </w:r>
      <w:r w:rsidRPr="00E93045">
        <w:rPr>
          <w:rFonts w:eastAsia="Calibri"/>
          <w:szCs w:val="22"/>
          <w:lang w:eastAsia="en-US"/>
        </w:rPr>
        <w:tab/>
        <w:t xml:space="preserve">Aby bylo možné posílit odpovědnost ve fiskální politice, měly by mít nezávislé fiskální instituce vysokou míru provozní nezávislosti, potřebné zdroje k plnění svých úkolů a rozsáhlý a včasný přístup k potřebným informacím. Členské státy mohou </w:t>
      </w:r>
      <w:r w:rsidRPr="00E93045">
        <w:rPr>
          <w:rFonts w:eastAsia="Calibri"/>
          <w:szCs w:val="22"/>
          <w:lang w:eastAsia="en-US"/>
        </w:rPr>
        <w:lastRenderedPageBreak/>
        <w:t>zřídit více než jednu nezávislou fiskální instituci a každá z nich může plnit jeden nebo více úkolů stanovených v této směrnici, pokud je jasně rozdělena odpovědnost a nedochází k překrývání jejich pravomocí. Je třeba se vyvarovat nadměrné fragmentace úkolů v oblasti sledování mezi různé instituce. Koncepce těchto subjektů provádějících sledování by měla zohledňovat stávající institucionální uspořádání a administrativní strukturu dotčeného členského státu.</w:t>
      </w:r>
    </w:p>
    <w:p w14:paraId="3CD87263"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(15)</w:t>
      </w:r>
      <w:r w:rsidRPr="00E93045">
        <w:rPr>
          <w:rFonts w:eastAsia="Calibri"/>
          <w:szCs w:val="22"/>
          <w:lang w:eastAsia="en-US"/>
        </w:rPr>
        <w:tab/>
        <w:t xml:space="preserve">V zájmu zlepšení rozpočtového plánování je třeba věnovat v co největší míře náležitou pozornost </w:t>
      </w:r>
      <w:proofErr w:type="spellStart"/>
      <w:r w:rsidRPr="00E93045">
        <w:rPr>
          <w:rFonts w:eastAsia="Calibri"/>
          <w:szCs w:val="22"/>
          <w:lang w:eastAsia="en-US"/>
        </w:rPr>
        <w:t>makrofiskálním</w:t>
      </w:r>
      <w:proofErr w:type="spellEnd"/>
      <w:r w:rsidRPr="00E93045">
        <w:rPr>
          <w:rFonts w:eastAsia="Calibri"/>
          <w:szCs w:val="22"/>
          <w:lang w:eastAsia="en-US"/>
        </w:rPr>
        <w:t xml:space="preserve"> rizikům spojeným se změnou klimatu, včetně jejích environmentálních a distribučních dopadů. Pochopení potenciálních mechanismů působení otřesů souvisejících s klimatem na veřejné finance je klíčové pro vnitrostátní strategie omezování a řízení fiskálních rizik plynoucích ze změny klimatu a souvisejících katastrof.</w:t>
      </w:r>
    </w:p>
    <w:p w14:paraId="56A90A84"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(16)</w:t>
      </w:r>
      <w:r w:rsidRPr="00E93045">
        <w:rPr>
          <w:rFonts w:eastAsia="Calibri"/>
          <w:szCs w:val="22"/>
          <w:lang w:eastAsia="en-US"/>
        </w:rPr>
        <w:tab/>
        <w:t>Ačkoli je schvalování právních předpisů o ročním rozpočtu klíčovým krokem v rozpočtovém procesu pro demokratickou odpovědnost, jednoletá perspektiva rozpočtového plánování poskytuje pouze omezený základ pro zdravou fiskální politiku, neboť většina opatření má dopady, které značně přesahují roční rozpočtový cyklus. Účinné střednědobé fiskální plánování tak posiluje důvěryhodnost fiskální politiky a zároveň zohledňuje udržitelnost dluhu. Mělo by se opírat o jasné a konzistentní vymezení střednědobých vnitrostátních rozpočtových cílů pro sektor vládních institucí, které jsou uvedeny v národních střednědobých plánech. V zájmu posílení víceletého rozpočtového výhledu by mělo být plánování právních předpisů týkajících se ročních rozpočtů v souladu se střednědobými vnitrostátními rozpočtovými cíli uvedenými v čl. 2 písm. e).</w:t>
      </w:r>
    </w:p>
    <w:p w14:paraId="2E055FE4"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(17)</w:t>
      </w:r>
      <w:r w:rsidRPr="00E93045">
        <w:rPr>
          <w:rFonts w:eastAsia="Calibri"/>
          <w:szCs w:val="22"/>
          <w:lang w:eastAsia="en-US"/>
        </w:rPr>
        <w:tab/>
        <w:t xml:space="preserve">Aby rozpočtové rámce účinně podporovaly rozpočtovou kázeň a udržitelnost veřejných financí, měly by komplexně pokrývat veškeré veřejné finance. Z toho důvodu by měla být zvláštní pozornost věnována operacím těch subjektů a fondů sektoru vládních institucí, které nejsou součástí řádných rozpočtů, ale jsou součástí sektoru vládních institucí, včetně </w:t>
      </w:r>
      <w:proofErr w:type="spellStart"/>
      <w:r w:rsidRPr="00E93045">
        <w:rPr>
          <w:rFonts w:eastAsia="Calibri"/>
          <w:szCs w:val="22"/>
          <w:lang w:eastAsia="en-US"/>
        </w:rPr>
        <w:t>subsektorů</w:t>
      </w:r>
      <w:proofErr w:type="spellEnd"/>
      <w:r w:rsidRPr="00E93045">
        <w:rPr>
          <w:rFonts w:eastAsia="Calibri"/>
          <w:szCs w:val="22"/>
          <w:lang w:eastAsia="en-US"/>
        </w:rPr>
        <w:t>, a které mají okamžitý nebo střednědobý dopad na rozpočtové pozice členských států. Členské státy rovněž zveřejní hodnoty odpovídající souhrnnému dopadu těchto subjektů a fondů na saldo a dluhy sektoru vládních institucí. Měly by se zveřejňovat podrobné informace o dopadu daňových výdajů na příjmy.</w:t>
      </w:r>
    </w:p>
    <w:p w14:paraId="6F9DC342"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lastRenderedPageBreak/>
        <w:t>(19)</w:t>
      </w:r>
      <w:r w:rsidRPr="00E93045">
        <w:rPr>
          <w:rFonts w:eastAsia="Calibri"/>
          <w:szCs w:val="22"/>
          <w:lang w:eastAsia="en-US"/>
        </w:rPr>
        <w:tab/>
        <w:t>Ekologické rozpočtové nástroje mohou pomoci přesměrovat veřejné příjmy a výdaje na ekologické priority. Pravidelné podávání příslušných informací v tomto ohledu zlepšuje projednávání rozpočtu. Členské státy by mohly zveřejňovat informace o tom, jak příslušné prvky jejich rozpočtů přispívají k plnění vnitrostátních a mezinárodních závazků v oblasti klimatu a životního prostředí, a použitou metodiku. Členské státy by měly zveřejňovat údaje a popisné informace zvlášť pro položky výdajů, daňových výdajů a příjmů. Členské státy by mohly zveřejňovat informace o distribučním dopadu rozpočtových politik a při ekologickém sestavování rozpočtu zohledňovat aspekty zaměstnanosti, sociální aspekty a distribuční aspekty</w:t>
      </w:r>
      <w:r w:rsidRPr="00E93045">
        <w:rPr>
          <w:szCs w:val="22"/>
          <w:vertAlign w:val="superscript"/>
          <w:lang w:eastAsia="en-US"/>
        </w:rPr>
        <w:footnoteReference w:id="16"/>
      </w:r>
      <w:r w:rsidRPr="00E93045">
        <w:rPr>
          <w:rFonts w:eastAsia="Calibri"/>
          <w:szCs w:val="22"/>
          <w:lang w:eastAsia="en-US"/>
        </w:rPr>
        <w:t>.</w:t>
      </w:r>
    </w:p>
    <w:p w14:paraId="1258A29B"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(20)</w:t>
      </w:r>
      <w:r w:rsidRPr="00E93045">
        <w:rPr>
          <w:rFonts w:eastAsia="Calibri"/>
          <w:szCs w:val="22"/>
          <w:lang w:eastAsia="en-US"/>
        </w:rPr>
        <w:tab/>
        <w:t>Náležitá pozornost by měla být věnována existenci podmíněných závazků. Podmíněné závazky konkrétně zahrnují potenciální závazky v závislosti na výskytu nejisté budoucí události nebo současné závazky, u nichž není platba pravděpodobná nebo částku pravděpodobné platby nelze spolehlivě stanovit. Patří k nim například vládní záruky, úvěry se selháním, závazky vyplývající z provozu veřejných podniků a v rozsahu, v jakém je to možné, podmíněné závazky související s katastrofami a klimatem.</w:t>
      </w:r>
    </w:p>
    <w:p w14:paraId="6D62CFE0"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(21)</w:t>
      </w:r>
      <w:r w:rsidRPr="00E93045">
        <w:rPr>
          <w:rFonts w:eastAsia="Calibri"/>
          <w:szCs w:val="22"/>
          <w:lang w:eastAsia="en-US"/>
        </w:rPr>
        <w:tab/>
        <w:t>Přírodní katastrofy a extrémní povětrnostní události postihly většinu členských států a očekává se, že změna klimatu zvýší četnost a intenzitu těchto jevů. Vlády investují do opatření na přizpůsobení se změně klimatu a přispívají k pokrytí nákladů na pomoc při katastrofách, na obnovu a rekonstrukci a v některých případech působí jako pojistitel poslední instance. Vzhledem ke stávajícím a budoucím výzvám v oblasti udržitelnosti veřejných financí by zvláštní pozornost měla být věnována vládním závazkům a rizikům pro finance sektoru vládních institucí vyplývajícím z přírodních katastrof a otřesů souvisejících s klimatem, počínaje shromažďováním a zveřejňováním informací o fiskálních nákladech minulých událostí, je-li to možné.</w:t>
      </w:r>
    </w:p>
    <w:p w14:paraId="02CDADBA" w14:textId="77777777" w:rsidR="00E93045" w:rsidRPr="00221620" w:rsidRDefault="00E93045" w:rsidP="00E93045">
      <w:pPr>
        <w:widowControl/>
        <w:spacing w:before="120" w:after="120" w:line="360" w:lineRule="auto"/>
        <w:ind w:left="850" w:hanging="850"/>
        <w:rPr>
          <w:rFonts w:eastAsia="Calibri"/>
          <w:szCs w:val="22"/>
          <w:lang w:eastAsia="en-US"/>
        </w:rPr>
      </w:pPr>
      <w:r w:rsidRPr="00E93045">
        <w:rPr>
          <w:rFonts w:eastAsia="Calibri"/>
          <w:b/>
          <w:i/>
          <w:szCs w:val="22"/>
          <w:lang w:eastAsia="en-US"/>
        </w:rPr>
        <w:t>(21a)</w:t>
      </w:r>
      <w:r w:rsidRPr="00E93045">
        <w:rPr>
          <w:rFonts w:eastAsia="Calibri"/>
          <w:b/>
          <w:i/>
          <w:szCs w:val="22"/>
          <w:lang w:eastAsia="en-US"/>
        </w:rPr>
        <w:tab/>
      </w:r>
      <w:r w:rsidRPr="00221620">
        <w:rPr>
          <w:rFonts w:eastAsia="Calibri"/>
          <w:szCs w:val="22"/>
          <w:lang w:eastAsia="en-US"/>
        </w:rPr>
        <w:t>Podávání zpráv o </w:t>
      </w:r>
      <w:proofErr w:type="spellStart"/>
      <w:r w:rsidRPr="00221620">
        <w:rPr>
          <w:rFonts w:eastAsia="Calibri"/>
          <w:szCs w:val="22"/>
          <w:lang w:eastAsia="en-US"/>
        </w:rPr>
        <w:t>makrofiskálních</w:t>
      </w:r>
      <w:proofErr w:type="spellEnd"/>
      <w:r w:rsidRPr="00221620">
        <w:rPr>
          <w:rFonts w:eastAsia="Calibri"/>
          <w:szCs w:val="22"/>
          <w:lang w:eastAsia="en-US"/>
        </w:rPr>
        <w:t xml:space="preserve"> rizicích vyplývajících ze změny klimatu, podmíněných závazcích souvisejících se změnou klimatu a fiskálních nákladech katastrof se zlepšuje, stále však zůstává v počáteční fázi a metodiky a ukazatele pro </w:t>
      </w:r>
      <w:r w:rsidRPr="00221620">
        <w:rPr>
          <w:rFonts w:eastAsia="Calibri"/>
          <w:szCs w:val="22"/>
          <w:lang w:eastAsia="en-US"/>
        </w:rPr>
        <w:lastRenderedPageBreak/>
        <w:t>tyto zprávy se stále vyvíjejí. Přizpůsobení se tomuto podávání zpráv bude od orgánů veřejné správy vyžadovat značné úsilí. S ohledem na tyto výzvy by se mělo podávání zpráv v těchto oblastech v maximální možné míře provádět a vyvíjet souběžně s takovým metodickým pokrokem.</w:t>
      </w:r>
    </w:p>
    <w:p w14:paraId="278E7B09"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(22)</w:t>
      </w:r>
      <w:r w:rsidRPr="00E93045">
        <w:rPr>
          <w:rFonts w:eastAsia="Calibri"/>
          <w:szCs w:val="22"/>
          <w:lang w:eastAsia="en-US"/>
        </w:rPr>
        <w:tab/>
        <w:t>Komise by měla nadále pravidelně monitorovat provádění směrnice 2011/85/EU. Měly by být určeny a sdíleny osvědčené postupy týkající se provádění ustanovení uvedené směrnice.</w:t>
      </w:r>
    </w:p>
    <w:p w14:paraId="2012C02C" w14:textId="77777777" w:rsidR="00E93045" w:rsidRPr="00E93045" w:rsidRDefault="00E93045" w:rsidP="00E93045">
      <w:pPr>
        <w:widowControl/>
        <w:tabs>
          <w:tab w:val="left" w:pos="850"/>
        </w:tabs>
        <w:spacing w:before="120" w:after="120" w:line="360" w:lineRule="auto"/>
        <w:ind w:left="850" w:hanging="850"/>
        <w:rPr>
          <w:rFonts w:eastAsia="Calibri"/>
          <w:szCs w:val="22"/>
          <w:lang w:eastAsia="en-US"/>
        </w:rPr>
      </w:pPr>
      <w:r w:rsidRPr="00E93045">
        <w:rPr>
          <w:rFonts w:eastAsia="Calibri"/>
          <w:szCs w:val="22"/>
          <w:lang w:eastAsia="en-US"/>
        </w:rPr>
        <w:t>(23)</w:t>
      </w:r>
      <w:r w:rsidRPr="00E93045">
        <w:rPr>
          <w:rFonts w:eastAsia="Calibri"/>
          <w:szCs w:val="22"/>
          <w:lang w:eastAsia="en-US"/>
        </w:rPr>
        <w:tab/>
        <w:t>Směrnice 2011/85/EU by proto měla být odpovídajícím způsobem změněna,</w:t>
      </w:r>
    </w:p>
    <w:p w14:paraId="0A630F6F" w14:textId="77777777" w:rsidR="00E93045" w:rsidRPr="00E93045" w:rsidRDefault="00E93045" w:rsidP="00E93045">
      <w:pPr>
        <w:keepNext/>
        <w:widowControl/>
        <w:spacing w:before="120" w:after="120" w:line="360" w:lineRule="auto"/>
        <w:rPr>
          <w:rFonts w:eastAsia="Calibri"/>
          <w:szCs w:val="22"/>
          <w:lang w:eastAsia="en-US"/>
        </w:rPr>
      </w:pPr>
      <w:r w:rsidRPr="00E93045">
        <w:rPr>
          <w:rFonts w:eastAsia="Calibri"/>
          <w:szCs w:val="22"/>
          <w:lang w:eastAsia="en-US"/>
        </w:rPr>
        <w:t>PŘIJALA TUTO SMĚRNICI:</w:t>
      </w:r>
    </w:p>
    <w:p w14:paraId="1553D8B0" w14:textId="77777777" w:rsidR="00E93045" w:rsidRPr="00E93045" w:rsidRDefault="00E93045" w:rsidP="00E93045">
      <w:pPr>
        <w:widowControl/>
        <w:spacing w:before="120" w:after="120" w:line="360" w:lineRule="auto"/>
        <w:rPr>
          <w:rFonts w:eastAsia="Calibri"/>
          <w:szCs w:val="22"/>
          <w:lang w:eastAsia="en-US"/>
        </w:rPr>
      </w:pPr>
      <w:r w:rsidRPr="00E93045">
        <w:rPr>
          <w:rFonts w:eastAsia="Calibri"/>
          <w:szCs w:val="22"/>
          <w:lang w:eastAsia="en-US"/>
        </w:rPr>
        <w:t>Směrnice 2011/85/EU se mění takto:</w:t>
      </w:r>
    </w:p>
    <w:p w14:paraId="4CAC96BA" w14:textId="77777777" w:rsidR="00E93045" w:rsidRPr="00E93045" w:rsidRDefault="00E93045" w:rsidP="00E93045">
      <w:pPr>
        <w:widowControl/>
        <w:shd w:val="clear" w:color="auto" w:fill="FFFFFF"/>
        <w:spacing w:before="120" w:after="120" w:line="360" w:lineRule="auto"/>
        <w:ind w:left="851" w:hanging="851"/>
        <w:rPr>
          <w:rFonts w:eastAsia="Calibri"/>
          <w:color w:val="000000"/>
          <w:szCs w:val="24"/>
          <w:lang w:eastAsia="en-US"/>
        </w:rPr>
      </w:pPr>
      <w:r w:rsidRPr="00E93045">
        <w:rPr>
          <w:rFonts w:eastAsia="Calibri"/>
          <w:color w:val="000000"/>
          <w:szCs w:val="22"/>
          <w:lang w:eastAsia="en-US"/>
        </w:rPr>
        <w:t>1)</w:t>
      </w:r>
      <w:r w:rsidRPr="00E93045">
        <w:rPr>
          <w:rFonts w:eastAsia="Calibri"/>
          <w:color w:val="000000"/>
          <w:szCs w:val="22"/>
          <w:lang w:eastAsia="en-US"/>
        </w:rPr>
        <w:tab/>
        <w:t>Článek 2 se mění takto:</w:t>
      </w:r>
    </w:p>
    <w:p w14:paraId="141F3FA8" w14:textId="77777777" w:rsidR="00E93045" w:rsidRPr="00E93045" w:rsidRDefault="00E93045" w:rsidP="00E93045">
      <w:pPr>
        <w:widowControl/>
        <w:tabs>
          <w:tab w:val="left" w:pos="1418"/>
        </w:tabs>
        <w:spacing w:before="120" w:after="120" w:line="360" w:lineRule="auto"/>
        <w:ind w:left="1418" w:hanging="567"/>
        <w:rPr>
          <w:rFonts w:eastAsia="Calibri"/>
          <w:szCs w:val="22"/>
          <w:lang w:eastAsia="en-US"/>
        </w:rPr>
      </w:pPr>
      <w:r w:rsidRPr="00E93045">
        <w:rPr>
          <w:rFonts w:eastAsia="Calibri"/>
          <w:szCs w:val="22"/>
          <w:lang w:eastAsia="en-US"/>
        </w:rPr>
        <w:t>a)</w:t>
      </w:r>
      <w:r w:rsidRPr="00E93045">
        <w:rPr>
          <w:rFonts w:eastAsia="Calibri"/>
          <w:szCs w:val="22"/>
          <w:lang w:eastAsia="en-US"/>
        </w:rPr>
        <w:tab/>
        <w:t>v prvním pododstavci se druhá věta nahrazuje tímto:</w:t>
      </w:r>
    </w:p>
    <w:p w14:paraId="0DD9BA98" w14:textId="77777777" w:rsidR="00E93045" w:rsidRPr="00E93045" w:rsidRDefault="00E93045" w:rsidP="00E93045">
      <w:pPr>
        <w:widowControl/>
        <w:shd w:val="clear" w:color="auto" w:fill="FFFFFF"/>
        <w:spacing w:before="120" w:after="120" w:line="360" w:lineRule="auto"/>
        <w:ind w:left="1418"/>
        <w:contextualSpacing/>
        <w:rPr>
          <w:rFonts w:eastAsia="Calibri"/>
          <w:noProof/>
          <w:szCs w:val="24"/>
          <w:lang w:eastAsia="en-US"/>
        </w:rPr>
      </w:pPr>
      <w:r w:rsidRPr="00E93045">
        <w:rPr>
          <w:rFonts w:eastAsia="Calibri"/>
          <w:noProof/>
          <w:szCs w:val="24"/>
          <w:lang w:eastAsia="en-US"/>
        </w:rPr>
        <w:t>„Použije se definice subsektorů sektoru vládních institucí uvedená v příloze A nařízení Evropského parlamentu a Rady (EU) č. 549/2013.</w:t>
      </w:r>
      <w:r w:rsidRPr="00E93045">
        <w:rPr>
          <w:rFonts w:eastAsia="Calibri"/>
          <w:noProof/>
          <w:szCs w:val="24"/>
          <w:vertAlign w:val="superscript"/>
          <w:lang w:eastAsia="en-US"/>
        </w:rPr>
        <w:t>*</w:t>
      </w:r>
    </w:p>
    <w:p w14:paraId="74D81349" w14:textId="77777777" w:rsidR="00E93045" w:rsidRPr="00E93045" w:rsidRDefault="00E93045" w:rsidP="00E93045">
      <w:pPr>
        <w:widowControl/>
        <w:shd w:val="clear" w:color="auto" w:fill="FFFFFF"/>
        <w:spacing w:before="120" w:after="120" w:line="360" w:lineRule="auto"/>
        <w:ind w:left="1985" w:hanging="567"/>
        <w:contextualSpacing/>
        <w:rPr>
          <w:rFonts w:eastAsia="Calibri"/>
          <w:noProof/>
          <w:color w:val="000000"/>
          <w:szCs w:val="22"/>
          <w:lang w:eastAsia="en-US"/>
        </w:rPr>
      </w:pPr>
      <w:r w:rsidRPr="00E93045">
        <w:rPr>
          <w:rFonts w:eastAsia="Calibri" w:cs="Arial"/>
          <w:noProof/>
          <w:color w:val="000000"/>
          <w:szCs w:val="22"/>
          <w:lang w:eastAsia="en-US"/>
        </w:rPr>
        <w:t>___________</w:t>
      </w:r>
    </w:p>
    <w:p w14:paraId="2068CEF5" w14:textId="77777777" w:rsidR="00E93045" w:rsidRPr="00E93045" w:rsidRDefault="00E93045" w:rsidP="00E93045">
      <w:pPr>
        <w:widowControl/>
        <w:shd w:val="clear" w:color="auto" w:fill="FFFFFF"/>
        <w:spacing w:before="120" w:after="120" w:line="360" w:lineRule="auto"/>
        <w:ind w:left="1985" w:hanging="567"/>
        <w:contextualSpacing/>
        <w:rPr>
          <w:rFonts w:eastAsia="Calibri"/>
          <w:noProof/>
          <w:szCs w:val="22"/>
          <w:lang w:eastAsia="en-US"/>
        </w:rPr>
      </w:pPr>
      <w:r w:rsidRPr="00E93045">
        <w:rPr>
          <w:rFonts w:eastAsia="Calibri" w:cs="Arial"/>
          <w:noProof/>
          <w:szCs w:val="22"/>
          <w:vertAlign w:val="superscript"/>
          <w:lang w:eastAsia="en-US"/>
        </w:rPr>
        <w:t>*</w:t>
      </w:r>
      <w:r w:rsidRPr="00E93045">
        <w:rPr>
          <w:rFonts w:eastAsia="Calibri" w:cs="Arial"/>
          <w:noProof/>
          <w:szCs w:val="22"/>
          <w:lang w:eastAsia="en-US"/>
        </w:rPr>
        <w:tab/>
        <w:t>Úř. věst. L 174, 26.6.2013, s. 1.“</w:t>
      </w:r>
    </w:p>
    <w:p w14:paraId="6FD85528" w14:textId="77777777" w:rsidR="00E93045" w:rsidRPr="00E93045" w:rsidRDefault="00E93045" w:rsidP="00E93045">
      <w:pPr>
        <w:widowControl/>
        <w:tabs>
          <w:tab w:val="left" w:pos="1418"/>
        </w:tabs>
        <w:spacing w:before="120" w:after="120" w:line="360" w:lineRule="auto"/>
        <w:ind w:left="1418" w:hanging="567"/>
        <w:rPr>
          <w:rFonts w:eastAsia="Calibri"/>
          <w:szCs w:val="22"/>
          <w:lang w:eastAsia="en-US"/>
        </w:rPr>
      </w:pPr>
      <w:r w:rsidRPr="00E93045">
        <w:rPr>
          <w:rFonts w:eastAsia="Calibri"/>
          <w:szCs w:val="22"/>
          <w:lang w:eastAsia="en-US"/>
        </w:rPr>
        <w:t>b)</w:t>
      </w:r>
      <w:r w:rsidRPr="00E93045">
        <w:rPr>
          <w:rFonts w:eastAsia="Calibri"/>
          <w:szCs w:val="22"/>
          <w:lang w:eastAsia="en-US"/>
        </w:rPr>
        <w:tab/>
        <w:t>druhý pododstavec se mění takto:</w:t>
      </w:r>
    </w:p>
    <w:p w14:paraId="5947DCA9" w14:textId="77777777" w:rsidR="00E93045" w:rsidRPr="00E93045" w:rsidRDefault="00E93045" w:rsidP="00E93045">
      <w:pPr>
        <w:widowControl/>
        <w:spacing w:before="120" w:after="120" w:line="360" w:lineRule="auto"/>
        <w:ind w:left="1985" w:hanging="567"/>
        <w:rPr>
          <w:rFonts w:eastAsia="Calibri"/>
          <w:szCs w:val="22"/>
          <w:lang w:eastAsia="en-US"/>
        </w:rPr>
      </w:pPr>
      <w:r w:rsidRPr="00E93045">
        <w:rPr>
          <w:rFonts w:eastAsia="Calibri"/>
          <w:szCs w:val="22"/>
          <w:lang w:eastAsia="en-US"/>
        </w:rPr>
        <w:t>i)</w:t>
      </w:r>
      <w:r w:rsidRPr="00E93045">
        <w:rPr>
          <w:rFonts w:eastAsia="Calibri"/>
          <w:szCs w:val="22"/>
          <w:lang w:eastAsia="en-US"/>
        </w:rPr>
        <w:tab/>
        <w:t>písmeno a) se nahrazuje tímto:</w:t>
      </w:r>
    </w:p>
    <w:p w14:paraId="34E9266C" w14:textId="77777777" w:rsidR="00E93045" w:rsidRPr="00E93045" w:rsidRDefault="00E93045" w:rsidP="00E93045">
      <w:pPr>
        <w:widowControl/>
        <w:shd w:val="clear" w:color="auto" w:fill="FFFFFF"/>
        <w:spacing w:before="120" w:after="120" w:line="360" w:lineRule="auto"/>
        <w:ind w:left="2552" w:hanging="567"/>
        <w:contextualSpacing/>
        <w:rPr>
          <w:rFonts w:eastAsia="Calibri"/>
          <w:noProof/>
          <w:szCs w:val="22"/>
          <w:lang w:eastAsia="en-US"/>
        </w:rPr>
      </w:pPr>
      <w:r w:rsidRPr="00E93045">
        <w:rPr>
          <w:rFonts w:eastAsia="Calibri" w:cs="Arial"/>
          <w:noProof/>
          <w:szCs w:val="22"/>
          <w:lang w:eastAsia="en-US"/>
        </w:rPr>
        <w:t>„a)</w:t>
      </w:r>
      <w:r w:rsidRPr="00E93045">
        <w:rPr>
          <w:rFonts w:eastAsia="Calibri" w:cs="Arial"/>
          <w:noProof/>
          <w:szCs w:val="22"/>
          <w:lang w:eastAsia="en-US"/>
        </w:rPr>
        <w:tab/>
        <w:t>systémy veřejného účetnictví a statistického výkaznictví vládních institucí;“</w:t>
      </w:r>
    </w:p>
    <w:p w14:paraId="6F73CDB4" w14:textId="77777777" w:rsidR="00E93045" w:rsidRPr="00E93045" w:rsidRDefault="00E93045" w:rsidP="00E93045">
      <w:pPr>
        <w:widowControl/>
        <w:spacing w:before="120" w:after="120" w:line="360" w:lineRule="auto"/>
        <w:ind w:left="1985" w:hanging="567"/>
        <w:rPr>
          <w:rFonts w:eastAsia="Calibri"/>
          <w:szCs w:val="22"/>
          <w:lang w:eastAsia="en-US"/>
        </w:rPr>
      </w:pPr>
      <w:proofErr w:type="spellStart"/>
      <w:r w:rsidRPr="00E93045">
        <w:rPr>
          <w:rFonts w:eastAsia="Calibri"/>
          <w:szCs w:val="22"/>
          <w:lang w:eastAsia="en-US"/>
        </w:rPr>
        <w:t>ii</w:t>
      </w:r>
      <w:proofErr w:type="spellEnd"/>
      <w:r w:rsidRPr="00E93045">
        <w:rPr>
          <w:rFonts w:eastAsia="Calibri"/>
          <w:szCs w:val="22"/>
          <w:lang w:eastAsia="en-US"/>
        </w:rPr>
        <w:t>)</w:t>
      </w:r>
      <w:r w:rsidRPr="00E93045">
        <w:rPr>
          <w:rFonts w:eastAsia="Calibri"/>
          <w:szCs w:val="22"/>
          <w:lang w:eastAsia="en-US"/>
        </w:rPr>
        <w:tab/>
        <w:t>písmeno c) se nahrazuje tímto:</w:t>
      </w:r>
    </w:p>
    <w:p w14:paraId="48A775BD" w14:textId="77777777" w:rsidR="00E93045" w:rsidRPr="00E93045" w:rsidRDefault="00E93045" w:rsidP="00E93045">
      <w:pPr>
        <w:widowControl/>
        <w:shd w:val="clear" w:color="auto" w:fill="FFFFFF"/>
        <w:spacing w:before="120" w:after="120" w:line="360" w:lineRule="auto"/>
        <w:ind w:left="2552" w:hanging="567"/>
        <w:contextualSpacing/>
        <w:rPr>
          <w:rFonts w:eastAsia="Calibri"/>
          <w:noProof/>
          <w:szCs w:val="22"/>
          <w:lang w:eastAsia="en-US"/>
        </w:rPr>
      </w:pPr>
      <w:r w:rsidRPr="00E93045">
        <w:rPr>
          <w:rFonts w:eastAsia="Calibri" w:cs="Arial"/>
          <w:noProof/>
          <w:szCs w:val="22"/>
          <w:lang w:eastAsia="en-US"/>
        </w:rPr>
        <w:t>„c)</w:t>
      </w:r>
      <w:r w:rsidRPr="00E93045">
        <w:rPr>
          <w:rFonts w:eastAsia="Calibri" w:cs="Arial"/>
          <w:noProof/>
          <w:szCs w:val="22"/>
          <w:lang w:eastAsia="en-US"/>
        </w:rPr>
        <w:tab/>
        <w:t>numerická fiskální pravidla specifická pro danou zemi, která přispívají k souladu provádění fiskální politiky členských států s jejich příslušnými závazky podle Smlouvy o fungování EU, vyjádřená jako ukazatel rozpočtových výsledků, jako například schodek veřejných financí, výpůjčky, dluh nebo jejich hlavní složky;“</w:t>
      </w:r>
    </w:p>
    <w:p w14:paraId="5B5CBD88" w14:textId="77777777" w:rsidR="00E93045" w:rsidRPr="00E93045" w:rsidRDefault="00E93045" w:rsidP="00E93045">
      <w:pPr>
        <w:widowControl/>
        <w:spacing w:before="120" w:after="120" w:line="360" w:lineRule="auto"/>
        <w:ind w:left="1985" w:hanging="567"/>
        <w:rPr>
          <w:rFonts w:eastAsia="Calibri"/>
          <w:szCs w:val="22"/>
          <w:lang w:eastAsia="en-US"/>
        </w:rPr>
      </w:pPr>
      <w:proofErr w:type="spellStart"/>
      <w:r w:rsidRPr="00E93045">
        <w:rPr>
          <w:rFonts w:eastAsia="Calibri"/>
          <w:szCs w:val="22"/>
          <w:lang w:eastAsia="en-US"/>
        </w:rPr>
        <w:t>iii</w:t>
      </w:r>
      <w:proofErr w:type="spellEnd"/>
      <w:r w:rsidRPr="00E93045">
        <w:rPr>
          <w:rFonts w:eastAsia="Calibri"/>
          <w:szCs w:val="22"/>
          <w:lang w:eastAsia="en-US"/>
        </w:rPr>
        <w:t>)</w:t>
      </w:r>
      <w:r w:rsidRPr="00E93045">
        <w:rPr>
          <w:rFonts w:eastAsia="Calibri"/>
          <w:szCs w:val="22"/>
          <w:lang w:eastAsia="en-US"/>
        </w:rPr>
        <w:tab/>
        <w:t>písmeno e) se nahrazuje tímto:</w:t>
      </w:r>
    </w:p>
    <w:p w14:paraId="0FDFFD80" w14:textId="77777777" w:rsidR="00E93045" w:rsidRPr="00E93045" w:rsidRDefault="00E93045" w:rsidP="00E93045">
      <w:pPr>
        <w:widowControl/>
        <w:spacing w:before="120" w:after="120" w:line="360" w:lineRule="auto"/>
        <w:ind w:left="2552" w:hanging="567"/>
        <w:rPr>
          <w:rFonts w:ascii="inherit" w:hAnsi="inherit"/>
          <w:color w:val="000000"/>
          <w:szCs w:val="24"/>
          <w:lang w:eastAsia="en-US"/>
        </w:rPr>
      </w:pPr>
      <w:r w:rsidRPr="00E93045">
        <w:rPr>
          <w:rFonts w:eastAsia="Calibri"/>
          <w:szCs w:val="22"/>
          <w:lang w:eastAsia="en-US"/>
        </w:rPr>
        <w:t>„e)</w:t>
      </w:r>
      <w:r w:rsidRPr="00E93045">
        <w:rPr>
          <w:rFonts w:eastAsia="Calibri"/>
          <w:szCs w:val="22"/>
          <w:lang w:eastAsia="en-US"/>
        </w:rPr>
        <w:tab/>
        <w:t xml:space="preserve">střednědobé rozpočtové rámce jako konkrétní soubor vnitrostátních rozpočtových postupů, které rozšiřují časový horizont pro tvorbu </w:t>
      </w:r>
      <w:r w:rsidRPr="00E93045">
        <w:rPr>
          <w:rFonts w:eastAsia="Calibri"/>
          <w:szCs w:val="22"/>
          <w:lang w:eastAsia="en-US"/>
        </w:rPr>
        <w:lastRenderedPageBreak/>
        <w:t>fiskální politiky nad rámec ročního plánování rozpočtu, včetně stanovení politických priorit a vnitrostátních rozpočtových cílů ve střednědobém horizontu;“</w:t>
      </w:r>
    </w:p>
    <w:p w14:paraId="1F0CCAFA" w14:textId="77777777" w:rsidR="00E93045" w:rsidRPr="00E93045" w:rsidRDefault="00E93045" w:rsidP="00E93045">
      <w:pPr>
        <w:widowControl/>
        <w:spacing w:before="120" w:after="120" w:line="360" w:lineRule="auto"/>
        <w:ind w:left="1985" w:hanging="567"/>
        <w:rPr>
          <w:rFonts w:eastAsia="Calibri"/>
          <w:szCs w:val="22"/>
          <w:lang w:eastAsia="en-US"/>
        </w:rPr>
      </w:pPr>
      <w:proofErr w:type="spellStart"/>
      <w:r w:rsidRPr="00E93045">
        <w:rPr>
          <w:rFonts w:eastAsia="Calibri"/>
          <w:szCs w:val="22"/>
          <w:lang w:eastAsia="en-US"/>
        </w:rPr>
        <w:t>iv</w:t>
      </w:r>
      <w:proofErr w:type="spellEnd"/>
      <w:r w:rsidRPr="00E93045">
        <w:rPr>
          <w:rFonts w:eastAsia="Calibri"/>
          <w:szCs w:val="22"/>
          <w:lang w:eastAsia="en-US"/>
        </w:rPr>
        <w:t>)</w:t>
      </w:r>
      <w:r w:rsidRPr="00E93045">
        <w:rPr>
          <w:rFonts w:eastAsia="Calibri"/>
          <w:szCs w:val="22"/>
          <w:lang w:eastAsia="en-US"/>
        </w:rPr>
        <w:tab/>
        <w:t>doplňuje se nové písmeno h), které zní:</w:t>
      </w:r>
    </w:p>
    <w:p w14:paraId="48D3AA7E" w14:textId="77777777" w:rsidR="00E93045" w:rsidRPr="00E93045" w:rsidRDefault="00E93045" w:rsidP="00E93045">
      <w:pPr>
        <w:widowControl/>
        <w:spacing w:before="120" w:after="120" w:line="360" w:lineRule="auto"/>
        <w:ind w:left="2552" w:hanging="567"/>
        <w:rPr>
          <w:rFonts w:eastAsia="Calibri"/>
          <w:szCs w:val="22"/>
          <w:lang w:eastAsia="en-US"/>
        </w:rPr>
      </w:pPr>
      <w:r w:rsidRPr="00E93045">
        <w:rPr>
          <w:rFonts w:eastAsia="Calibri"/>
          <w:szCs w:val="22"/>
          <w:lang w:eastAsia="en-US"/>
        </w:rPr>
        <w:t>„h)</w:t>
      </w:r>
      <w:r w:rsidRPr="00E93045">
        <w:rPr>
          <w:rFonts w:eastAsia="Calibri"/>
          <w:szCs w:val="22"/>
          <w:lang w:eastAsia="en-US"/>
        </w:rPr>
        <w:tab/>
        <w:t>nezávislé fiskální instituce jako strukturálně nezávislé subjekty nebo subjekty, které jsou ve vztahu k rozpočtovým orgánům členských států funkčně samostatné, zřízené vnitrostátními právními předpisy v souladu s článkem 8.“</w:t>
      </w:r>
    </w:p>
    <w:p w14:paraId="7B407D29" w14:textId="77777777" w:rsidR="00E93045" w:rsidRPr="00E93045" w:rsidRDefault="00E93045" w:rsidP="00E93045">
      <w:pPr>
        <w:widowControl/>
        <w:spacing w:before="120" w:after="120" w:line="360" w:lineRule="auto"/>
        <w:ind w:left="851" w:hanging="851"/>
        <w:rPr>
          <w:rFonts w:eastAsia="Calibri"/>
          <w:szCs w:val="22"/>
          <w:lang w:eastAsia="en-US"/>
        </w:rPr>
      </w:pPr>
      <w:r w:rsidRPr="00E93045">
        <w:rPr>
          <w:rFonts w:eastAsia="Calibri"/>
          <w:szCs w:val="22"/>
          <w:lang w:eastAsia="en-US"/>
        </w:rPr>
        <w:t>2)</w:t>
      </w:r>
      <w:r w:rsidRPr="00E93045">
        <w:rPr>
          <w:rFonts w:eastAsia="Calibri"/>
          <w:szCs w:val="22"/>
          <w:lang w:eastAsia="en-US"/>
        </w:rPr>
        <w:tab/>
        <w:t>Článek 3 se nahrazuje tímto:</w:t>
      </w:r>
    </w:p>
    <w:p w14:paraId="740E827B"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„1.</w:t>
      </w:r>
      <w:r w:rsidRPr="00E93045">
        <w:rPr>
          <w:rFonts w:eastAsia="Calibri"/>
          <w:szCs w:val="22"/>
          <w:lang w:eastAsia="en-US"/>
        </w:rPr>
        <w:tab/>
        <w:t xml:space="preserve">Pokud jde o vnitrostátní systémy veřejných účtů, v členských státech fungují systémy veřejných účtů, které komplexně a konzistentně pokrývají všechny </w:t>
      </w:r>
      <w:proofErr w:type="spellStart"/>
      <w:r w:rsidRPr="00E93045">
        <w:rPr>
          <w:rFonts w:eastAsia="Calibri"/>
          <w:szCs w:val="22"/>
          <w:lang w:eastAsia="en-US"/>
        </w:rPr>
        <w:t>subsektory</w:t>
      </w:r>
      <w:proofErr w:type="spellEnd"/>
      <w:r w:rsidRPr="00E93045">
        <w:rPr>
          <w:rFonts w:eastAsia="Calibri"/>
          <w:szCs w:val="22"/>
          <w:lang w:eastAsia="en-US"/>
        </w:rPr>
        <w:t xml:space="preserve"> sektoru vládních institucí a obsahují informace potřebné k vypracování akruálních údajů pro sestavení údajů založených na Evropském systému národních a regionálních účtů. Uvedené systémy veřejných účtů vládních institucí podléhají vnitřní kontrole a nezávislému auditu.</w:t>
      </w:r>
    </w:p>
    <w:p w14:paraId="6BB09ACC" w14:textId="77777777" w:rsidR="00E93045" w:rsidRPr="00E93045" w:rsidRDefault="00E93045" w:rsidP="00E93045">
      <w:pPr>
        <w:widowControl/>
        <w:shd w:val="clear" w:color="auto" w:fill="FFFFFF"/>
        <w:spacing w:before="120" w:after="120" w:line="360" w:lineRule="auto"/>
        <w:ind w:left="1418" w:hanging="567"/>
        <w:rPr>
          <w:rFonts w:eastAsia="Calibri"/>
          <w:bCs/>
          <w:szCs w:val="22"/>
          <w:lang w:eastAsia="en-US"/>
        </w:rPr>
      </w:pPr>
      <w:r w:rsidRPr="00E93045">
        <w:rPr>
          <w:rFonts w:eastAsia="Calibri"/>
          <w:szCs w:val="22"/>
          <w:lang w:eastAsia="en-US"/>
        </w:rPr>
        <w:t>2.</w:t>
      </w:r>
      <w:r w:rsidRPr="00E93045">
        <w:rPr>
          <w:rFonts w:eastAsia="Calibri"/>
          <w:szCs w:val="22"/>
          <w:lang w:eastAsia="en-US"/>
        </w:rPr>
        <w:tab/>
        <w:t xml:space="preserve">Členské státy zajistí, aby veřejnost měla včasný a pravidelný přístup k fiskálním údajům týkajícím se všech </w:t>
      </w:r>
      <w:proofErr w:type="spellStart"/>
      <w:r w:rsidRPr="00E93045">
        <w:rPr>
          <w:rFonts w:eastAsia="Calibri"/>
          <w:szCs w:val="22"/>
          <w:lang w:eastAsia="en-US"/>
        </w:rPr>
        <w:t>subsektorů</w:t>
      </w:r>
      <w:proofErr w:type="spellEnd"/>
      <w:r w:rsidRPr="00E93045">
        <w:rPr>
          <w:rFonts w:eastAsia="Calibri"/>
          <w:szCs w:val="22"/>
          <w:lang w:eastAsia="en-US"/>
        </w:rPr>
        <w:t xml:space="preserve"> sektoru vládních institucí, jak jsou stanoveny nařízením Evropského parlamentu a Rady (EU) č. 549/2013</w:t>
      </w:r>
      <w:r w:rsidRPr="00E93045">
        <w:rPr>
          <w:rFonts w:eastAsia="Calibri"/>
          <w:szCs w:val="22"/>
          <w:vertAlign w:val="superscript"/>
          <w:lang w:eastAsia="en-US"/>
        </w:rPr>
        <w:t>*</w:t>
      </w:r>
      <w:r w:rsidRPr="00E93045">
        <w:rPr>
          <w:rFonts w:eastAsia="Calibri"/>
          <w:szCs w:val="22"/>
          <w:lang w:eastAsia="en-US"/>
        </w:rPr>
        <w:t>. Členské státy zejména zveřejňují čtvrtletní údaje o dluhu za centrální vládní instituce, národní vládní instituce, místní vládní instituce a fondy sociálního zabezpečení, a pokud nemají zavedeny integrované, komplexní a vnitrostátně harmonizované systémy akruálního finančního účetnictví, samostatně údaje o schodku, a to před koncem následujícího čtvrtletí nebo po zveřejnění příslušných údajů Komisí (</w:t>
      </w:r>
      <w:proofErr w:type="spellStart"/>
      <w:r w:rsidRPr="00E93045">
        <w:rPr>
          <w:rFonts w:eastAsia="Calibri"/>
          <w:szCs w:val="22"/>
          <w:lang w:eastAsia="en-US"/>
        </w:rPr>
        <w:t>Eurostatem</w:t>
      </w:r>
      <w:proofErr w:type="spellEnd"/>
      <w:r w:rsidRPr="00E93045">
        <w:rPr>
          <w:rFonts w:eastAsia="Calibri"/>
          <w:szCs w:val="22"/>
          <w:lang w:eastAsia="en-US"/>
        </w:rPr>
        <w:t>).</w:t>
      </w:r>
    </w:p>
    <w:p w14:paraId="712F7686"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3.</w:t>
      </w:r>
      <w:r w:rsidRPr="00E93045">
        <w:rPr>
          <w:rFonts w:eastAsia="Calibri"/>
          <w:szCs w:val="22"/>
          <w:lang w:eastAsia="en-US"/>
        </w:rPr>
        <w:tab/>
        <w:t>Komise (</w:t>
      </w:r>
      <w:proofErr w:type="spellStart"/>
      <w:r w:rsidRPr="00E93045">
        <w:rPr>
          <w:rFonts w:eastAsia="Calibri"/>
          <w:szCs w:val="22"/>
          <w:lang w:eastAsia="en-US"/>
        </w:rPr>
        <w:t>Eurostat</w:t>
      </w:r>
      <w:proofErr w:type="spellEnd"/>
      <w:r w:rsidRPr="00E93045">
        <w:rPr>
          <w:rFonts w:eastAsia="Calibri"/>
          <w:szCs w:val="22"/>
          <w:lang w:eastAsia="en-US"/>
        </w:rPr>
        <w:t>) zveřejňuje údaje čtvrtletní vládní finanční statistiky v souladu s tabulkami 25, 27 a 28 v příloze B nařízení (EU) č. 549/2013 každé tři měsíce.</w:t>
      </w:r>
    </w:p>
    <w:p w14:paraId="44E2DA9B" w14:textId="77777777" w:rsidR="00E93045" w:rsidRPr="00E93045" w:rsidRDefault="00E93045" w:rsidP="00E93045">
      <w:pPr>
        <w:widowControl/>
        <w:shd w:val="clear" w:color="auto" w:fill="FFFFFF"/>
        <w:spacing w:before="120" w:after="120" w:line="360" w:lineRule="auto"/>
        <w:ind w:left="1418" w:hanging="567"/>
        <w:contextualSpacing/>
        <w:rPr>
          <w:rFonts w:eastAsia="Calibri"/>
          <w:noProof/>
          <w:color w:val="000000"/>
          <w:szCs w:val="22"/>
          <w:lang w:eastAsia="en-US"/>
        </w:rPr>
      </w:pPr>
      <w:r w:rsidRPr="00E93045">
        <w:rPr>
          <w:rFonts w:eastAsia="Calibri" w:cs="Arial"/>
          <w:noProof/>
          <w:color w:val="000000"/>
          <w:szCs w:val="22"/>
          <w:lang w:eastAsia="en-US"/>
        </w:rPr>
        <w:t>___________</w:t>
      </w:r>
    </w:p>
    <w:p w14:paraId="4DE943C0" w14:textId="77777777" w:rsidR="00E93045" w:rsidRPr="00E93045" w:rsidRDefault="00E93045" w:rsidP="00E93045">
      <w:pPr>
        <w:widowControl/>
        <w:spacing w:before="120" w:after="120" w:line="360" w:lineRule="auto"/>
        <w:ind w:left="1418" w:hanging="567"/>
        <w:contextualSpacing/>
        <w:rPr>
          <w:rFonts w:ascii="Calibri" w:eastAsia="Calibri" w:hAnsi="Calibri" w:cs="Arial"/>
          <w:noProof/>
          <w:sz w:val="22"/>
          <w:szCs w:val="22"/>
          <w:lang w:eastAsia="en-US"/>
        </w:rPr>
      </w:pPr>
      <w:r w:rsidRPr="00E93045">
        <w:rPr>
          <w:rFonts w:eastAsia="Calibri" w:cs="Arial"/>
          <w:noProof/>
          <w:szCs w:val="22"/>
          <w:vertAlign w:val="superscript"/>
          <w:lang w:eastAsia="en-US"/>
        </w:rPr>
        <w:t>*</w:t>
      </w:r>
      <w:r w:rsidRPr="00E93045">
        <w:rPr>
          <w:rFonts w:ascii="Calibri" w:eastAsia="Calibri" w:hAnsi="Calibri" w:cs="Arial"/>
          <w:noProof/>
          <w:sz w:val="22"/>
          <w:szCs w:val="22"/>
          <w:lang w:eastAsia="en-US"/>
        </w:rPr>
        <w:tab/>
      </w:r>
      <w:r w:rsidRPr="00E93045">
        <w:rPr>
          <w:rFonts w:eastAsia="Calibri" w:cs="Arial"/>
          <w:noProof/>
          <w:szCs w:val="22"/>
          <w:lang w:eastAsia="en-US"/>
        </w:rPr>
        <w:t>Úř. věst. L 174, 26.6.2013, s. 1.“</w:t>
      </w:r>
    </w:p>
    <w:p w14:paraId="08D8F59E" w14:textId="77777777" w:rsidR="00E93045" w:rsidRPr="00E93045" w:rsidRDefault="00E93045" w:rsidP="00E93045">
      <w:pPr>
        <w:widowControl/>
        <w:shd w:val="clear" w:color="auto" w:fill="FFFFFF"/>
        <w:spacing w:before="120" w:after="120" w:line="360" w:lineRule="auto"/>
        <w:ind w:left="851" w:hanging="851"/>
        <w:rPr>
          <w:rFonts w:eastAsia="Calibri"/>
          <w:color w:val="000000"/>
          <w:szCs w:val="22"/>
          <w:lang w:eastAsia="en-US"/>
        </w:rPr>
      </w:pPr>
      <w:r w:rsidRPr="00E93045">
        <w:rPr>
          <w:rFonts w:eastAsia="Calibri"/>
          <w:color w:val="000000"/>
          <w:szCs w:val="22"/>
          <w:lang w:eastAsia="en-US"/>
        </w:rPr>
        <w:t>3)</w:t>
      </w:r>
      <w:r w:rsidRPr="00E93045">
        <w:rPr>
          <w:rFonts w:eastAsia="Calibri"/>
          <w:color w:val="000000"/>
          <w:szCs w:val="22"/>
          <w:lang w:eastAsia="en-US"/>
        </w:rPr>
        <w:tab/>
        <w:t>Článek 4 se mění takto:</w:t>
      </w:r>
    </w:p>
    <w:p w14:paraId="06537236"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bCs/>
          <w:szCs w:val="22"/>
          <w:lang w:eastAsia="en-US"/>
        </w:rPr>
        <w:t>a)</w:t>
      </w:r>
      <w:r w:rsidRPr="00E93045">
        <w:rPr>
          <w:rFonts w:eastAsia="Calibri"/>
          <w:bCs/>
          <w:szCs w:val="22"/>
          <w:lang w:eastAsia="en-US"/>
        </w:rPr>
        <w:tab/>
      </w:r>
      <w:r w:rsidRPr="00E93045">
        <w:rPr>
          <w:rFonts w:eastAsia="Calibri"/>
          <w:szCs w:val="22"/>
          <w:lang w:eastAsia="en-US"/>
        </w:rPr>
        <w:t>odstavec 1 se nahrazuje tímto:</w:t>
      </w:r>
    </w:p>
    <w:p w14:paraId="4A5143DA" w14:textId="77777777" w:rsidR="00E93045" w:rsidRPr="00E93045" w:rsidRDefault="00E93045" w:rsidP="00E93045">
      <w:pPr>
        <w:widowControl/>
        <w:spacing w:before="120" w:after="120" w:line="360" w:lineRule="auto"/>
        <w:ind w:left="1985" w:hanging="567"/>
        <w:rPr>
          <w:rFonts w:eastAsia="Calibri"/>
          <w:szCs w:val="22"/>
          <w:lang w:eastAsia="en-US"/>
        </w:rPr>
      </w:pPr>
      <w:r w:rsidRPr="00E93045">
        <w:rPr>
          <w:rFonts w:eastAsia="Calibri"/>
          <w:szCs w:val="22"/>
          <w:lang w:eastAsia="en-US"/>
        </w:rPr>
        <w:lastRenderedPageBreak/>
        <w:t>„1.</w:t>
      </w:r>
      <w:r w:rsidRPr="00E93045">
        <w:rPr>
          <w:rFonts w:eastAsia="Calibri"/>
          <w:szCs w:val="22"/>
          <w:lang w:eastAsia="en-US"/>
        </w:rPr>
        <w:tab/>
        <w:t xml:space="preserve">Členské státy zajistí, aby roční a víceleté fiskální plánování vycházelo z realistických makroekonomických a rozpočtových prognóz za použití nejnovějších informací. Rozpočtové plánování je založeno na nejpravděpodobnějším </w:t>
      </w:r>
      <w:proofErr w:type="spellStart"/>
      <w:r w:rsidRPr="00E93045">
        <w:rPr>
          <w:rFonts w:eastAsia="Calibri"/>
          <w:szCs w:val="22"/>
          <w:lang w:eastAsia="en-US"/>
        </w:rPr>
        <w:t>makrofiskálním</w:t>
      </w:r>
      <w:proofErr w:type="spellEnd"/>
      <w:r w:rsidRPr="00E93045">
        <w:rPr>
          <w:rFonts w:eastAsia="Calibri"/>
          <w:szCs w:val="22"/>
          <w:lang w:eastAsia="en-US"/>
        </w:rPr>
        <w:t xml:space="preserve"> scénáři nebo na obezřetnějším scénáři. Makroekonomické a rozpočtové prognózy se porovnávají s nejaktuálnějšími prognózami Komise a případně s prognózami jiných nezávislých subjektů. Podstatné rozdíly mezi makroekonomickými a rozpočtovými prognózami členského státu a prognózami Komise musí být vysvětleny, včetně případů, kdy se úroveň nebo růst proměnných týkajících se vnějších předpokladů podstatně odchýlí od hodnot obsažených v prognózách Komise.“;</w:t>
      </w:r>
    </w:p>
    <w:p w14:paraId="2AA4F1EA"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bCs/>
          <w:szCs w:val="22"/>
          <w:lang w:eastAsia="en-US"/>
        </w:rPr>
        <w:t>b)</w:t>
      </w:r>
      <w:r w:rsidRPr="00E93045">
        <w:rPr>
          <w:rFonts w:eastAsia="Calibri"/>
          <w:bCs/>
          <w:szCs w:val="22"/>
          <w:lang w:eastAsia="en-US"/>
        </w:rPr>
        <w:tab/>
      </w:r>
      <w:r w:rsidRPr="00E93045">
        <w:rPr>
          <w:rFonts w:eastAsia="Calibri"/>
          <w:szCs w:val="22"/>
          <w:lang w:eastAsia="en-US"/>
        </w:rPr>
        <w:t>odstavec 4 se zrušuje;</w:t>
      </w:r>
    </w:p>
    <w:p w14:paraId="14E1712E"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bCs/>
          <w:szCs w:val="22"/>
          <w:lang w:eastAsia="en-US"/>
        </w:rPr>
        <w:t>c)</w:t>
      </w:r>
      <w:r w:rsidRPr="00E93045">
        <w:rPr>
          <w:rFonts w:eastAsia="Calibri"/>
          <w:bCs/>
          <w:szCs w:val="22"/>
          <w:lang w:eastAsia="en-US"/>
        </w:rPr>
        <w:tab/>
      </w:r>
      <w:r w:rsidRPr="00E93045">
        <w:rPr>
          <w:rFonts w:eastAsia="Calibri"/>
          <w:szCs w:val="22"/>
          <w:lang w:eastAsia="en-US"/>
        </w:rPr>
        <w:t>odstavce 5 a 6 se nahrazují tímto:</w:t>
      </w:r>
    </w:p>
    <w:p w14:paraId="27BFBD04" w14:textId="77777777" w:rsidR="00E93045" w:rsidRPr="00E93045" w:rsidRDefault="00E93045" w:rsidP="00E93045">
      <w:pPr>
        <w:widowControl/>
        <w:spacing w:before="120" w:after="120" w:line="360" w:lineRule="auto"/>
        <w:ind w:left="1985" w:hanging="567"/>
        <w:rPr>
          <w:rFonts w:eastAsia="Calibri"/>
          <w:szCs w:val="22"/>
          <w:lang w:eastAsia="en-US"/>
        </w:rPr>
      </w:pPr>
      <w:r w:rsidRPr="00E93045">
        <w:rPr>
          <w:rFonts w:eastAsia="Calibri"/>
          <w:szCs w:val="22"/>
          <w:lang w:eastAsia="en-US"/>
        </w:rPr>
        <w:t>„5.</w:t>
      </w:r>
      <w:r w:rsidRPr="00E93045">
        <w:rPr>
          <w:rFonts w:eastAsia="Calibri"/>
          <w:szCs w:val="22"/>
          <w:lang w:eastAsia="en-US"/>
        </w:rPr>
        <w:tab/>
        <w:t>Členské státy určí, která instituce je odpovědná za vypracovávání makroekonomických a rozpočtových prognóz, a zveřejní oficiální makroekonomické a rozpočtové prognózy vypracované pro fiskální plánování. Nejméně jednou ročně členské státy a Komise vedou technický dialog o předpokladech, z nichž vychází příprava makroekonomických a rozpočtových prognóz.</w:t>
      </w:r>
    </w:p>
    <w:p w14:paraId="01C30AFD" w14:textId="77777777" w:rsidR="00E93045" w:rsidRPr="00E93045" w:rsidRDefault="00E93045" w:rsidP="00E93045">
      <w:pPr>
        <w:spacing w:before="120" w:after="120" w:line="360" w:lineRule="auto"/>
        <w:ind w:left="1985" w:hanging="567"/>
        <w:rPr>
          <w:rFonts w:eastAsia="Calibri"/>
          <w:szCs w:val="22"/>
          <w:lang w:eastAsia="en-US"/>
        </w:rPr>
      </w:pPr>
      <w:r w:rsidRPr="00E93045">
        <w:rPr>
          <w:rFonts w:eastAsia="Calibri"/>
          <w:szCs w:val="22"/>
          <w:lang w:eastAsia="en-US"/>
        </w:rPr>
        <w:t>6.</w:t>
      </w:r>
      <w:r w:rsidRPr="00E93045">
        <w:rPr>
          <w:rFonts w:eastAsia="Calibri"/>
          <w:szCs w:val="22"/>
          <w:lang w:eastAsia="en-US"/>
        </w:rPr>
        <w:tab/>
        <w:t xml:space="preserve">Makroekonomické a rozpočtové prognózy pro roční a víceleté fiskální plánování </w:t>
      </w:r>
      <w:r w:rsidRPr="00E93045">
        <w:rPr>
          <w:szCs w:val="24"/>
          <w:lang w:eastAsia="en-US"/>
        </w:rPr>
        <w:t>▌</w:t>
      </w:r>
      <w:r w:rsidRPr="00E93045">
        <w:rPr>
          <w:rFonts w:eastAsia="Calibri"/>
          <w:szCs w:val="22"/>
          <w:lang w:eastAsia="en-US"/>
        </w:rPr>
        <w:t>jsou předmětem pravidelného, objektivního a komplexního následného hodnocení prováděného nezávislým subjektem nebo jinými subjekty, které jsou ve vztahu k fiskálním orgánům členských států funkčně samostatné, odlišnými od subjektu, který prognózu sestavuje.</w:t>
      </w:r>
      <w:r w:rsidRPr="00E93045">
        <w:rPr>
          <w:rFonts w:eastAsia="Calibri"/>
          <w:color w:val="000000"/>
          <w:szCs w:val="22"/>
          <w:lang w:eastAsia="en-US"/>
        </w:rPr>
        <w:t xml:space="preserve"> Výsledek tohoto hodnocení se zveřejní a zohlední se odpovídajícím způsobem při příštích makroekonomických a rozpočtových prognózách. Pokud hodnocení odhalí podstatné zkreslení ovlivňující makroekonomické prognózy po dobu nejméně čtyř po sobě následujících let, dotčený členský stát přijme nezbytná opatření a zveřejní je.“;</w:t>
      </w:r>
    </w:p>
    <w:p w14:paraId="328938CB" w14:textId="77777777" w:rsidR="00E93045" w:rsidRPr="00E93045" w:rsidRDefault="00E93045" w:rsidP="00E93045">
      <w:pPr>
        <w:widowControl/>
        <w:spacing w:before="120" w:after="120" w:line="360" w:lineRule="auto"/>
        <w:ind w:left="1418" w:hanging="567"/>
        <w:rPr>
          <w:rFonts w:eastAsia="Calibri"/>
          <w:b/>
          <w:szCs w:val="22"/>
          <w:lang w:eastAsia="en-US"/>
        </w:rPr>
      </w:pPr>
      <w:r w:rsidRPr="00E93045">
        <w:rPr>
          <w:rFonts w:eastAsia="Calibri"/>
          <w:bCs/>
          <w:szCs w:val="22"/>
          <w:lang w:eastAsia="en-US"/>
        </w:rPr>
        <w:t>d)</w:t>
      </w:r>
      <w:r w:rsidRPr="00E93045">
        <w:rPr>
          <w:rFonts w:eastAsia="Calibri"/>
          <w:bCs/>
          <w:szCs w:val="22"/>
          <w:lang w:eastAsia="en-US"/>
        </w:rPr>
        <w:tab/>
      </w:r>
      <w:r w:rsidRPr="00E93045">
        <w:rPr>
          <w:rFonts w:eastAsia="Calibri"/>
          <w:szCs w:val="22"/>
          <w:lang w:eastAsia="en-US"/>
        </w:rPr>
        <w:t>odstavec 7 se zrušuje.</w:t>
      </w:r>
    </w:p>
    <w:p w14:paraId="55549605" w14:textId="77777777" w:rsidR="00E93045" w:rsidRPr="00E93045" w:rsidRDefault="00E93045" w:rsidP="00E93045">
      <w:pPr>
        <w:widowControl/>
        <w:spacing w:before="120" w:after="120" w:line="360" w:lineRule="auto"/>
        <w:ind w:left="851" w:hanging="851"/>
        <w:rPr>
          <w:rFonts w:eastAsia="Calibri"/>
          <w:iCs/>
          <w:szCs w:val="22"/>
          <w:lang w:eastAsia="en-US"/>
        </w:rPr>
      </w:pPr>
      <w:r w:rsidRPr="00E93045">
        <w:rPr>
          <w:rFonts w:eastAsia="Calibri"/>
          <w:szCs w:val="22"/>
          <w:lang w:eastAsia="en-US"/>
        </w:rPr>
        <w:t>4)</w:t>
      </w:r>
      <w:r w:rsidRPr="00E93045">
        <w:rPr>
          <w:rFonts w:eastAsia="Calibri"/>
          <w:szCs w:val="22"/>
          <w:lang w:eastAsia="en-US"/>
        </w:rPr>
        <w:tab/>
        <w:t>Článek 5 se nahrazuje tímto:</w:t>
      </w:r>
    </w:p>
    <w:p w14:paraId="290C193B" w14:textId="77777777" w:rsidR="00E93045" w:rsidRPr="00E93045" w:rsidRDefault="00E93045" w:rsidP="00E93045">
      <w:pPr>
        <w:widowControl/>
        <w:spacing w:before="120" w:after="120" w:line="360" w:lineRule="auto"/>
        <w:ind w:left="851"/>
        <w:rPr>
          <w:rFonts w:eastAsia="Calibri"/>
          <w:i/>
          <w:iCs/>
          <w:szCs w:val="22"/>
          <w:lang w:eastAsia="en-US"/>
        </w:rPr>
      </w:pPr>
      <w:r w:rsidRPr="00E93045">
        <w:rPr>
          <w:rFonts w:eastAsia="Calibri"/>
          <w:szCs w:val="22"/>
          <w:lang w:eastAsia="en-US"/>
        </w:rPr>
        <w:t>„Článek 5</w:t>
      </w:r>
    </w:p>
    <w:p w14:paraId="5030B6FD"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lastRenderedPageBreak/>
        <w:t>Každý členský stát stanoví svá specifická numerická fiskální pravidla, která účinně podporují soulad s jeho povinnostmi v oblasti rozpočtové politiky vyplývajícími ze Smlouvy o fungování EU, a to ve víceletém období pro sektor vládních institucí jako celek. Tato pravidla podporují zejména:</w:t>
      </w:r>
    </w:p>
    <w:p w14:paraId="77E8D77B"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a)</w:t>
      </w:r>
      <w:r w:rsidRPr="00E93045">
        <w:rPr>
          <w:rFonts w:eastAsia="Calibri"/>
          <w:szCs w:val="22"/>
          <w:lang w:eastAsia="en-US"/>
        </w:rPr>
        <w:tab/>
        <w:t>soulad s referenčními hodnotami schodku a dluhu a ustanoveními o schodku a dluhu stanovenými v souladu se Smlouvou o fungování EU;</w:t>
      </w:r>
    </w:p>
    <w:p w14:paraId="3A9F8624"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b)</w:t>
      </w:r>
      <w:r w:rsidRPr="00E93045">
        <w:rPr>
          <w:rFonts w:eastAsia="Calibri"/>
          <w:szCs w:val="22"/>
          <w:lang w:eastAsia="en-US"/>
        </w:rPr>
        <w:tab/>
        <w:t>přijetí střednědobého horizontu fiskálního plánování v souladu s ustanoveními nařízení [XXX o preventivní složce Paktu o stabilitě a </w:t>
      </w:r>
      <w:proofErr w:type="gramStart"/>
      <w:r w:rsidRPr="00E93045">
        <w:rPr>
          <w:rFonts w:eastAsia="Calibri"/>
          <w:szCs w:val="22"/>
          <w:lang w:eastAsia="en-US"/>
        </w:rPr>
        <w:t>růstu].</w:t>
      </w:r>
      <w:r w:rsidRPr="00E93045">
        <w:rPr>
          <w:rFonts w:eastAsia="Calibri"/>
          <w:szCs w:val="22"/>
          <w:vertAlign w:val="superscript"/>
          <w:lang w:eastAsia="en-US"/>
        </w:rPr>
        <w:t>*</w:t>
      </w:r>
      <w:proofErr w:type="gramEnd"/>
    </w:p>
    <w:p w14:paraId="14E9E1AE" w14:textId="77777777" w:rsidR="00E93045" w:rsidRPr="00E93045" w:rsidRDefault="00E93045" w:rsidP="00E93045">
      <w:pPr>
        <w:widowControl/>
        <w:shd w:val="clear" w:color="auto" w:fill="FFFFFF"/>
        <w:spacing w:before="120" w:after="120" w:line="360" w:lineRule="auto"/>
        <w:ind w:left="1418" w:hanging="567"/>
        <w:contextualSpacing/>
        <w:rPr>
          <w:rFonts w:eastAsia="Calibri"/>
          <w:noProof/>
          <w:color w:val="000000"/>
          <w:szCs w:val="22"/>
          <w:lang w:eastAsia="en-US"/>
        </w:rPr>
      </w:pPr>
      <w:r w:rsidRPr="00E93045">
        <w:rPr>
          <w:rFonts w:eastAsia="Calibri" w:cs="Arial"/>
          <w:noProof/>
          <w:color w:val="000000"/>
          <w:szCs w:val="22"/>
          <w:lang w:eastAsia="en-US"/>
        </w:rPr>
        <w:t>___________</w:t>
      </w:r>
    </w:p>
    <w:p w14:paraId="6B839871"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vertAlign w:val="superscript"/>
          <w:lang w:eastAsia="en-US"/>
        </w:rPr>
        <w:t>*</w:t>
      </w:r>
      <w:r w:rsidRPr="00E93045">
        <w:rPr>
          <w:rFonts w:eastAsia="Calibri"/>
          <w:szCs w:val="22"/>
          <w:lang w:eastAsia="en-US"/>
        </w:rPr>
        <w:tab/>
        <w:t>Nařízení Evropského parlamentu a Rady (EU) ze dne [</w:t>
      </w:r>
      <w:r w:rsidRPr="00E93045">
        <w:rPr>
          <w:rFonts w:eastAsia="Calibri"/>
          <w:i/>
          <w:szCs w:val="22"/>
          <w:lang w:eastAsia="en-US"/>
        </w:rPr>
        <w:t>vložte datum</w:t>
      </w:r>
      <w:r w:rsidRPr="00E93045">
        <w:rPr>
          <w:rFonts w:eastAsia="Calibri"/>
          <w:szCs w:val="22"/>
          <w:lang w:eastAsia="en-US"/>
        </w:rPr>
        <w:t>] [</w:t>
      </w:r>
      <w:r w:rsidRPr="00E93045">
        <w:rPr>
          <w:rFonts w:eastAsia="Calibri"/>
          <w:i/>
          <w:szCs w:val="22"/>
          <w:lang w:eastAsia="en-US"/>
        </w:rPr>
        <w:t>vložte úplný název</w:t>
      </w:r>
      <w:r w:rsidRPr="00E93045">
        <w:rPr>
          <w:rFonts w:eastAsia="Calibri"/>
          <w:szCs w:val="22"/>
          <w:lang w:eastAsia="en-US"/>
        </w:rPr>
        <w:t>] (</w:t>
      </w:r>
      <w:proofErr w:type="spellStart"/>
      <w:r w:rsidRPr="00E93045">
        <w:rPr>
          <w:rFonts w:eastAsia="Calibri"/>
          <w:szCs w:val="22"/>
          <w:lang w:eastAsia="en-US"/>
        </w:rPr>
        <w:t>Úř</w:t>
      </w:r>
      <w:proofErr w:type="spellEnd"/>
      <w:r w:rsidRPr="00E93045">
        <w:rPr>
          <w:rFonts w:eastAsia="Calibri"/>
          <w:szCs w:val="22"/>
          <w:lang w:eastAsia="en-US"/>
        </w:rPr>
        <w:t xml:space="preserve">. </w:t>
      </w:r>
      <w:proofErr w:type="spellStart"/>
      <w:proofErr w:type="gramStart"/>
      <w:r w:rsidRPr="00E93045">
        <w:rPr>
          <w:rFonts w:eastAsia="Calibri"/>
          <w:szCs w:val="22"/>
          <w:lang w:eastAsia="en-US"/>
        </w:rPr>
        <w:t>věst</w:t>
      </w:r>
      <w:proofErr w:type="spellEnd"/>
      <w:proofErr w:type="gramEnd"/>
      <w:r w:rsidRPr="00E93045">
        <w:rPr>
          <w:rFonts w:eastAsia="Calibri"/>
          <w:szCs w:val="22"/>
          <w:lang w:eastAsia="en-US"/>
        </w:rPr>
        <w:t>. L ..).“</w:t>
      </w:r>
    </w:p>
    <w:p w14:paraId="327C04CA" w14:textId="77777777" w:rsidR="00E93045" w:rsidRPr="00E93045" w:rsidRDefault="00E93045" w:rsidP="00E93045">
      <w:pPr>
        <w:widowControl/>
        <w:spacing w:before="120" w:after="120" w:line="360" w:lineRule="auto"/>
        <w:ind w:left="851" w:hanging="851"/>
        <w:rPr>
          <w:rFonts w:eastAsia="Calibri"/>
          <w:i/>
          <w:szCs w:val="22"/>
          <w:lang w:eastAsia="en-US"/>
        </w:rPr>
      </w:pPr>
      <w:r w:rsidRPr="00E93045">
        <w:rPr>
          <w:rFonts w:eastAsia="Calibri"/>
          <w:szCs w:val="22"/>
          <w:lang w:eastAsia="en-US"/>
        </w:rPr>
        <w:t>5)</w:t>
      </w:r>
      <w:r w:rsidRPr="00E93045">
        <w:rPr>
          <w:rFonts w:eastAsia="Calibri"/>
          <w:szCs w:val="22"/>
          <w:lang w:eastAsia="en-US"/>
        </w:rPr>
        <w:tab/>
        <w:t>Článek 6 se mění takto:</w:t>
      </w:r>
    </w:p>
    <w:p w14:paraId="5AD075D9" w14:textId="77777777" w:rsidR="00E93045" w:rsidRPr="00E93045" w:rsidRDefault="00E93045" w:rsidP="00E93045">
      <w:pPr>
        <w:keepNext/>
        <w:widowControl/>
        <w:spacing w:before="120" w:after="120" w:line="360" w:lineRule="auto"/>
        <w:ind w:left="1418" w:hanging="567"/>
        <w:rPr>
          <w:rFonts w:eastAsia="Calibri"/>
          <w:iCs/>
          <w:szCs w:val="22"/>
          <w:lang w:eastAsia="en-US"/>
        </w:rPr>
      </w:pPr>
      <w:r w:rsidRPr="00E93045">
        <w:rPr>
          <w:rFonts w:eastAsia="Calibri"/>
          <w:szCs w:val="22"/>
          <w:lang w:eastAsia="en-US"/>
        </w:rPr>
        <w:t>a)</w:t>
      </w:r>
      <w:r w:rsidRPr="00E93045">
        <w:rPr>
          <w:rFonts w:eastAsia="Calibri"/>
          <w:szCs w:val="22"/>
          <w:lang w:eastAsia="en-US"/>
        </w:rPr>
        <w:tab/>
        <w:t>v odstavci 1 se písmeno b) nahrazuje tímto:</w:t>
      </w:r>
    </w:p>
    <w:p w14:paraId="0A45F614" w14:textId="77777777" w:rsidR="00E93045" w:rsidRPr="00E93045" w:rsidRDefault="00E93045" w:rsidP="00E93045">
      <w:pPr>
        <w:keepNext/>
        <w:widowControl/>
        <w:spacing w:before="120" w:after="120" w:line="360" w:lineRule="auto"/>
        <w:ind w:left="1985" w:hanging="567"/>
        <w:rPr>
          <w:rFonts w:eastAsia="Calibri"/>
          <w:iCs/>
          <w:szCs w:val="22"/>
          <w:lang w:eastAsia="en-US"/>
        </w:rPr>
      </w:pPr>
      <w:r w:rsidRPr="00E93045">
        <w:rPr>
          <w:rFonts w:eastAsia="Calibri"/>
          <w:szCs w:val="22"/>
          <w:lang w:eastAsia="en-US"/>
        </w:rPr>
        <w:t>„b)</w:t>
      </w:r>
      <w:r w:rsidRPr="00E93045">
        <w:rPr>
          <w:rFonts w:eastAsia="Calibri"/>
          <w:szCs w:val="22"/>
          <w:lang w:eastAsia="en-US"/>
        </w:rPr>
        <w:tab/>
        <w:t>účinné a včasné monitorování souladu s pravidly na základě spolehlivé a nezávislé analýzy provedené nezávislými fiskálními institucemi zřízenými v souladu s článkem 8 nebo jinými subjekty, které jsou ve vztahu k fiskálním orgánům členských států funkčně samostatné;“</w:t>
      </w:r>
    </w:p>
    <w:p w14:paraId="38FE147D" w14:textId="77777777" w:rsidR="00E93045" w:rsidRPr="00E93045" w:rsidRDefault="00E93045" w:rsidP="00E93045">
      <w:pPr>
        <w:widowControl/>
        <w:spacing w:before="120" w:after="120" w:line="360" w:lineRule="auto"/>
        <w:ind w:left="1418" w:hanging="567"/>
        <w:rPr>
          <w:rFonts w:eastAsia="Calibri"/>
          <w:iCs/>
          <w:szCs w:val="22"/>
          <w:lang w:eastAsia="en-US"/>
        </w:rPr>
      </w:pPr>
      <w:r w:rsidRPr="00E93045">
        <w:rPr>
          <w:rFonts w:eastAsia="Calibri"/>
          <w:szCs w:val="22"/>
          <w:lang w:eastAsia="en-US"/>
        </w:rPr>
        <w:t>b)</w:t>
      </w:r>
      <w:r w:rsidRPr="00E93045">
        <w:rPr>
          <w:rFonts w:eastAsia="Calibri"/>
          <w:szCs w:val="22"/>
          <w:lang w:eastAsia="en-US"/>
        </w:rPr>
        <w:tab/>
        <w:t>odstavec 2 se nahrazuje tímto:</w:t>
      </w:r>
    </w:p>
    <w:p w14:paraId="0664D43C" w14:textId="77777777" w:rsidR="00E93045" w:rsidRPr="00E93045" w:rsidRDefault="00E93045" w:rsidP="00E93045">
      <w:pPr>
        <w:widowControl/>
        <w:spacing w:before="120" w:after="120" w:line="360" w:lineRule="auto"/>
        <w:ind w:left="1418"/>
        <w:rPr>
          <w:rFonts w:eastAsia="Calibri"/>
          <w:iCs/>
          <w:szCs w:val="22"/>
          <w:lang w:eastAsia="en-US"/>
        </w:rPr>
      </w:pPr>
      <w:r w:rsidRPr="00E93045">
        <w:rPr>
          <w:rFonts w:eastAsia="Calibri"/>
          <w:szCs w:val="22"/>
          <w:lang w:eastAsia="en-US"/>
        </w:rPr>
        <w:t>„Obsahují-li numerická fiskální pravidla únikové doložky, musí tyto doložky stanovit omezené množství konkrétních okolností v souladu s povinnostmi členských států vyplývajícími ze Smlouvy o fungování EU a z nařízení [XXX o preventivní složce Paktu o stabilitě a růstu].“</w:t>
      </w:r>
    </w:p>
    <w:p w14:paraId="652EA696" w14:textId="77777777" w:rsidR="00E93045" w:rsidRPr="00E93045" w:rsidRDefault="00E93045" w:rsidP="00E93045">
      <w:pPr>
        <w:widowControl/>
        <w:spacing w:before="120" w:after="120" w:line="360" w:lineRule="auto"/>
        <w:ind w:left="851" w:hanging="851"/>
        <w:rPr>
          <w:rFonts w:eastAsia="Calibri"/>
          <w:iCs/>
          <w:szCs w:val="22"/>
          <w:lang w:eastAsia="en-US"/>
        </w:rPr>
      </w:pPr>
      <w:r w:rsidRPr="00E93045">
        <w:rPr>
          <w:rFonts w:eastAsia="Calibri"/>
          <w:szCs w:val="22"/>
          <w:lang w:eastAsia="en-US"/>
        </w:rPr>
        <w:t>6)</w:t>
      </w:r>
      <w:r w:rsidRPr="00E93045">
        <w:rPr>
          <w:rFonts w:eastAsia="Calibri"/>
          <w:szCs w:val="22"/>
          <w:lang w:eastAsia="en-US"/>
        </w:rPr>
        <w:tab/>
        <w:t>Článek 7 se nahrazuje tímto:</w:t>
      </w:r>
    </w:p>
    <w:p w14:paraId="49B9A973"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7</w:t>
      </w:r>
    </w:p>
    <w:p w14:paraId="72A67C43" w14:textId="77777777" w:rsidR="00E93045" w:rsidRPr="00E93045" w:rsidRDefault="00E93045" w:rsidP="00E93045">
      <w:pPr>
        <w:widowControl/>
        <w:shd w:val="clear" w:color="auto" w:fill="FFFFFF"/>
        <w:spacing w:before="120" w:after="120" w:line="360" w:lineRule="auto"/>
        <w:ind w:left="851"/>
        <w:rPr>
          <w:color w:val="000000"/>
          <w:szCs w:val="24"/>
          <w:lang w:eastAsia="en-US"/>
        </w:rPr>
      </w:pPr>
      <w:r w:rsidRPr="00E93045">
        <w:rPr>
          <w:rFonts w:eastAsia="Calibri"/>
          <w:szCs w:val="22"/>
          <w:lang w:eastAsia="en-US"/>
        </w:rPr>
        <w:t>Právní předpisy členských států o ročním rozpočtu jsou v souladu s jejich platnými specifickými numerickými fiskálními pravidly.“</w:t>
      </w:r>
    </w:p>
    <w:p w14:paraId="77FA0E39" w14:textId="77777777" w:rsidR="00E93045" w:rsidRPr="00E93045" w:rsidRDefault="00E93045" w:rsidP="00E93045">
      <w:pPr>
        <w:widowControl/>
        <w:shd w:val="clear" w:color="auto" w:fill="FFFFFF"/>
        <w:spacing w:before="120" w:after="120" w:line="360" w:lineRule="auto"/>
        <w:ind w:left="851" w:hanging="851"/>
        <w:rPr>
          <w:color w:val="000000"/>
          <w:szCs w:val="24"/>
          <w:lang w:eastAsia="en-US"/>
        </w:rPr>
      </w:pPr>
      <w:r w:rsidRPr="00E93045">
        <w:rPr>
          <w:rFonts w:eastAsia="Calibri"/>
          <w:color w:val="000000"/>
          <w:szCs w:val="22"/>
          <w:lang w:eastAsia="en-US"/>
        </w:rPr>
        <w:t>7)</w:t>
      </w:r>
      <w:r w:rsidRPr="00E93045">
        <w:rPr>
          <w:rFonts w:eastAsia="Calibri"/>
          <w:color w:val="000000"/>
          <w:szCs w:val="22"/>
          <w:lang w:eastAsia="en-US"/>
        </w:rPr>
        <w:tab/>
        <w:t>V kapitole V se název nahrazuje slovy „NEZÁVISLÉ FISKÁLNÍ INSTITUCE“.</w:t>
      </w:r>
    </w:p>
    <w:p w14:paraId="4F009286" w14:textId="77777777" w:rsidR="00E93045" w:rsidRPr="00E93045" w:rsidRDefault="00E93045" w:rsidP="00E93045">
      <w:pPr>
        <w:widowControl/>
        <w:shd w:val="clear" w:color="auto" w:fill="FFFFFF"/>
        <w:spacing w:before="120" w:after="120" w:line="360" w:lineRule="auto"/>
        <w:ind w:left="851" w:hanging="851"/>
        <w:rPr>
          <w:color w:val="000000"/>
          <w:szCs w:val="24"/>
          <w:lang w:eastAsia="en-US"/>
        </w:rPr>
      </w:pPr>
      <w:r w:rsidRPr="00E93045">
        <w:rPr>
          <w:rFonts w:eastAsia="Calibri"/>
          <w:color w:val="000000"/>
          <w:szCs w:val="22"/>
          <w:lang w:eastAsia="en-US"/>
        </w:rPr>
        <w:t>8)</w:t>
      </w:r>
      <w:r w:rsidRPr="00E93045">
        <w:rPr>
          <w:rFonts w:eastAsia="Calibri"/>
          <w:color w:val="000000"/>
          <w:szCs w:val="22"/>
          <w:lang w:eastAsia="en-US"/>
        </w:rPr>
        <w:tab/>
        <w:t>Článek 8 se nahrazuje tímto:</w:t>
      </w:r>
    </w:p>
    <w:p w14:paraId="6401F538"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8</w:t>
      </w:r>
    </w:p>
    <w:p w14:paraId="3A295DAE" w14:textId="77777777" w:rsidR="00E93045" w:rsidRPr="00E93045" w:rsidRDefault="00E93045" w:rsidP="00E93045">
      <w:pPr>
        <w:widowControl/>
        <w:shd w:val="clear" w:color="auto" w:fill="FFFFFF"/>
        <w:spacing w:before="120" w:after="120" w:line="360" w:lineRule="auto"/>
        <w:ind w:left="1418" w:hanging="567"/>
        <w:rPr>
          <w:rFonts w:eastAsia="Calibri"/>
          <w:szCs w:val="22"/>
          <w:lang w:eastAsia="en-US"/>
        </w:rPr>
      </w:pPr>
      <w:r w:rsidRPr="00E93045">
        <w:rPr>
          <w:rFonts w:eastAsia="Calibri"/>
          <w:szCs w:val="22"/>
          <w:lang w:eastAsia="en-US"/>
        </w:rPr>
        <w:lastRenderedPageBreak/>
        <w:t>1.</w:t>
      </w:r>
      <w:r w:rsidRPr="00E93045">
        <w:rPr>
          <w:rFonts w:eastAsia="Calibri"/>
          <w:szCs w:val="22"/>
          <w:lang w:eastAsia="en-US"/>
        </w:rPr>
        <w:tab/>
        <w:t>Členské státy zajistí, aby byly vnitrostátními právními a závaznými správními předpisy zřízeny nezávislé fiskální instituce, například strukturálně nezávislé subjekty nebo subjekty, které jsou ve vztahu k rozpočtovým orgánům členských států funkčně samostatné.</w:t>
      </w:r>
    </w:p>
    <w:p w14:paraId="5FFBAB1C" w14:textId="77777777" w:rsidR="00E93045" w:rsidRPr="00E93045" w:rsidRDefault="00E93045" w:rsidP="00E93045">
      <w:pPr>
        <w:widowControl/>
        <w:shd w:val="clear" w:color="auto" w:fill="FFFFFF"/>
        <w:spacing w:before="120" w:after="120" w:line="360" w:lineRule="auto"/>
        <w:ind w:left="1418" w:hanging="567"/>
        <w:rPr>
          <w:rFonts w:eastAsia="Calibri"/>
          <w:szCs w:val="22"/>
          <w:lang w:eastAsia="en-US"/>
        </w:rPr>
      </w:pPr>
      <w:r w:rsidRPr="00E93045">
        <w:rPr>
          <w:rFonts w:eastAsia="Calibri"/>
          <w:szCs w:val="22"/>
          <w:lang w:eastAsia="en-US"/>
        </w:rPr>
        <w:t>1a.</w:t>
      </w:r>
      <w:r w:rsidRPr="00E93045">
        <w:rPr>
          <w:rFonts w:eastAsia="Calibri"/>
          <w:szCs w:val="22"/>
          <w:lang w:eastAsia="en-US"/>
        </w:rPr>
        <w:tab/>
        <w:t>Členské státy mohou zřídit více než jednu nezávislou fiskální instituci.</w:t>
      </w:r>
    </w:p>
    <w:p w14:paraId="54E03546" w14:textId="77777777" w:rsidR="00E93045" w:rsidRPr="00E93045" w:rsidRDefault="00E93045" w:rsidP="00E93045">
      <w:pPr>
        <w:widowControl/>
        <w:shd w:val="clear" w:color="auto" w:fill="FFFFFF"/>
        <w:spacing w:before="120" w:after="120" w:line="360" w:lineRule="auto"/>
        <w:ind w:left="1418" w:hanging="567"/>
        <w:rPr>
          <w:rFonts w:eastAsia="Calibri"/>
          <w:szCs w:val="22"/>
          <w:lang w:eastAsia="en-US"/>
        </w:rPr>
      </w:pPr>
      <w:r w:rsidRPr="00E93045">
        <w:rPr>
          <w:rFonts w:eastAsia="Calibri"/>
          <w:szCs w:val="22"/>
          <w:lang w:eastAsia="en-US"/>
        </w:rPr>
        <w:t>2.</w:t>
      </w:r>
      <w:r w:rsidRPr="00E93045">
        <w:rPr>
          <w:rFonts w:eastAsia="Calibri"/>
          <w:szCs w:val="22"/>
          <w:lang w:eastAsia="en-US"/>
        </w:rPr>
        <w:tab/>
        <w:t>Instituce uvedené v odstavci 1 se skládají z členů navržených a jmenovaných na základě jejich zkušeností a odborné způsobilosti v oblasti veřejných financí, makroekonomie nebo rozpočtového řízení a na základě transparentních postupů.</w:t>
      </w:r>
    </w:p>
    <w:p w14:paraId="3868B20B" w14:textId="77777777" w:rsidR="00E93045" w:rsidRPr="00E93045" w:rsidRDefault="00E93045" w:rsidP="00E93045">
      <w:pPr>
        <w:widowControl/>
        <w:shd w:val="clear" w:color="auto" w:fill="FFFFFF"/>
        <w:spacing w:before="120" w:after="120" w:line="360" w:lineRule="auto"/>
        <w:ind w:left="1418" w:hanging="567"/>
        <w:rPr>
          <w:rFonts w:eastAsia="Calibri"/>
          <w:szCs w:val="22"/>
          <w:lang w:eastAsia="en-US"/>
        </w:rPr>
      </w:pPr>
      <w:r w:rsidRPr="00E93045">
        <w:rPr>
          <w:rFonts w:eastAsia="Calibri"/>
          <w:szCs w:val="22"/>
          <w:lang w:eastAsia="en-US"/>
        </w:rPr>
        <w:t>3.</w:t>
      </w:r>
      <w:r w:rsidRPr="00E93045">
        <w:rPr>
          <w:rFonts w:eastAsia="Calibri"/>
          <w:szCs w:val="22"/>
          <w:lang w:eastAsia="en-US"/>
        </w:rPr>
        <w:tab/>
        <w:t>Instituce uvedené v odstavci 1:</w:t>
      </w:r>
    </w:p>
    <w:p w14:paraId="23833441"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t>a)</w:t>
      </w:r>
      <w:r w:rsidRPr="00E93045">
        <w:rPr>
          <w:rFonts w:eastAsia="Calibri"/>
          <w:szCs w:val="22"/>
          <w:lang w:eastAsia="en-US"/>
        </w:rPr>
        <w:tab/>
        <w:t>nepřijímají pokyny od rozpočtových orgánů dotčeného členského státu ani od žádného jiného veřejného či soukromého subjektu;</w:t>
      </w:r>
    </w:p>
    <w:p w14:paraId="7B78566F"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t>b)</w:t>
      </w:r>
      <w:r w:rsidRPr="00E93045">
        <w:rPr>
          <w:rFonts w:eastAsia="Calibri"/>
          <w:szCs w:val="22"/>
          <w:lang w:eastAsia="en-US"/>
        </w:rPr>
        <w:tab/>
        <w:t>jsou způsobilé včas veřejně sdělovat svá hodnocení a stanoviska;</w:t>
      </w:r>
    </w:p>
    <w:p w14:paraId="5298E2B3"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t>c)</w:t>
      </w:r>
      <w:r w:rsidRPr="00E93045">
        <w:rPr>
          <w:rFonts w:eastAsia="Calibri"/>
          <w:szCs w:val="22"/>
          <w:lang w:eastAsia="en-US"/>
        </w:rPr>
        <w:tab/>
        <w:t>mají dostatečné a stabilní zdroje pro účinné plnění svých úkolů, včetně všech typů analýz v rámci svých úkolů;</w:t>
      </w:r>
    </w:p>
    <w:p w14:paraId="4E3DC8F7"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t>d)</w:t>
      </w:r>
      <w:r w:rsidRPr="00E93045">
        <w:rPr>
          <w:rFonts w:eastAsia="Calibri"/>
          <w:szCs w:val="22"/>
          <w:lang w:eastAsia="en-US"/>
        </w:rPr>
        <w:tab/>
        <w:t>mají dostatečný a včasný přístup k informacím potřebným k plnění svých úkolů;</w:t>
      </w:r>
    </w:p>
    <w:p w14:paraId="335380B3"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t>e)</w:t>
      </w:r>
      <w:r w:rsidRPr="00E93045">
        <w:rPr>
          <w:rFonts w:eastAsia="Calibri"/>
          <w:szCs w:val="22"/>
          <w:lang w:eastAsia="en-US"/>
        </w:rPr>
        <w:tab/>
        <w:t>podléhají pravidelnému externímu hodnocení nezávislými hodnotiteli.</w:t>
      </w:r>
    </w:p>
    <w:p w14:paraId="257D2C1E" w14:textId="18852891" w:rsidR="00E93045" w:rsidRPr="00E93045" w:rsidRDefault="00E93045" w:rsidP="00E93045">
      <w:pPr>
        <w:widowControl/>
        <w:shd w:val="clear" w:color="auto" w:fill="FFFFFF"/>
        <w:spacing w:before="120" w:after="120" w:line="360" w:lineRule="auto"/>
        <w:ind w:left="1418" w:hanging="567"/>
        <w:rPr>
          <w:rFonts w:eastAsia="Calibri"/>
          <w:szCs w:val="22"/>
          <w:lang w:eastAsia="en-US"/>
        </w:rPr>
      </w:pPr>
      <w:r w:rsidRPr="00E93045">
        <w:rPr>
          <w:rFonts w:eastAsia="Calibri"/>
          <w:szCs w:val="22"/>
          <w:lang w:eastAsia="en-US"/>
        </w:rPr>
        <w:t>4.</w:t>
      </w:r>
      <w:r w:rsidRPr="00E93045">
        <w:rPr>
          <w:rFonts w:eastAsia="Calibri"/>
          <w:szCs w:val="22"/>
          <w:lang w:eastAsia="en-US"/>
        </w:rPr>
        <w:tab/>
        <w:t xml:space="preserve">Aniž jsou dotčeny úkoly a funkce svěřené v souladu s nařízením </w:t>
      </w:r>
      <w:r w:rsidR="003E4358">
        <w:rPr>
          <w:rFonts w:eastAsia="Calibri"/>
          <w:szCs w:val="22"/>
          <w:lang w:eastAsia="en-US"/>
        </w:rPr>
        <w:t xml:space="preserve">(EU) </w:t>
      </w:r>
      <w:r w:rsidRPr="00E93045">
        <w:rPr>
          <w:rFonts w:eastAsia="Calibri"/>
          <w:szCs w:val="22"/>
          <w:lang w:eastAsia="en-US"/>
        </w:rPr>
        <w:t>č. 473/2013 členským státům, jejichž měnou je euro, všechny členské státy zajistí, aby jedna z institucí uvedených v odstavci 1 plnila tyto úkoly:</w:t>
      </w:r>
    </w:p>
    <w:p w14:paraId="4E12539D"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t>a)</w:t>
      </w:r>
      <w:r w:rsidRPr="00E93045">
        <w:rPr>
          <w:rFonts w:eastAsia="Calibri"/>
          <w:szCs w:val="22"/>
          <w:lang w:eastAsia="en-US"/>
        </w:rPr>
        <w:tab/>
        <w:t>sestavování, posuzování nebo schvalování ročních a víceletých makroekonomických prognóz;</w:t>
      </w:r>
    </w:p>
    <w:p w14:paraId="301E8A46" w14:textId="77777777" w:rsidR="00E93045" w:rsidRPr="00E93045" w:rsidRDefault="00E93045" w:rsidP="00E93045">
      <w:pPr>
        <w:widowControl/>
        <w:shd w:val="clear" w:color="auto" w:fill="FFFFFF"/>
        <w:spacing w:before="120" w:after="120" w:line="360" w:lineRule="auto"/>
        <w:ind w:left="1985" w:hanging="567"/>
        <w:rPr>
          <w:rFonts w:eastAsia="Calibri"/>
          <w:iCs/>
          <w:szCs w:val="22"/>
          <w:lang w:eastAsia="en-US"/>
        </w:rPr>
      </w:pPr>
      <w:r w:rsidRPr="00E93045">
        <w:rPr>
          <w:rFonts w:eastAsia="Calibri"/>
          <w:iCs/>
          <w:szCs w:val="22"/>
          <w:lang w:eastAsia="en-US"/>
        </w:rPr>
        <w:t>d)</w:t>
      </w:r>
      <w:r w:rsidRPr="00E93045">
        <w:rPr>
          <w:rFonts w:eastAsia="Calibri"/>
          <w:iCs/>
          <w:szCs w:val="22"/>
          <w:lang w:eastAsia="en-US"/>
        </w:rPr>
        <w:tab/>
      </w:r>
      <w:r w:rsidRPr="00E93045">
        <w:rPr>
          <w:rFonts w:eastAsia="Calibri"/>
          <w:szCs w:val="22"/>
          <w:lang w:eastAsia="en-US"/>
        </w:rPr>
        <w:t>sledování dodržování numerických fiskálních pravidel specifických pro danou zemi, není-li prováděno jinými subjekty v souladu s článkem 6; </w:t>
      </w:r>
    </w:p>
    <w:p w14:paraId="1EAB69E9" w14:textId="77777777" w:rsidR="00E93045" w:rsidRPr="00E93045" w:rsidRDefault="00E93045" w:rsidP="00E93045">
      <w:pPr>
        <w:widowControl/>
        <w:shd w:val="clear" w:color="auto" w:fill="FFFFFF"/>
        <w:spacing w:before="120" w:after="120" w:line="360" w:lineRule="auto"/>
        <w:ind w:left="1985" w:hanging="567"/>
        <w:rPr>
          <w:rFonts w:eastAsia="Calibri"/>
          <w:iCs/>
          <w:szCs w:val="22"/>
          <w:lang w:eastAsia="en-US"/>
        </w:rPr>
      </w:pPr>
      <w:r w:rsidRPr="00E93045">
        <w:rPr>
          <w:rFonts w:eastAsia="Calibri"/>
          <w:iCs/>
          <w:szCs w:val="22"/>
          <w:lang w:eastAsia="en-US"/>
        </w:rPr>
        <w:t>e)</w:t>
      </w:r>
      <w:r w:rsidRPr="00E93045">
        <w:rPr>
          <w:rFonts w:eastAsia="Calibri"/>
          <w:iCs/>
          <w:szCs w:val="22"/>
          <w:lang w:eastAsia="en-US"/>
        </w:rPr>
        <w:tab/>
      </w:r>
      <w:r w:rsidRPr="00E93045">
        <w:rPr>
          <w:rFonts w:eastAsia="Calibri"/>
          <w:szCs w:val="22"/>
          <w:lang w:eastAsia="en-US"/>
        </w:rPr>
        <w:t>plnění úkolů v souladu s příslušnými články nařízení [XXX o preventivní složce Paktu o stabilitě a růstu] a nařízení [XXX o nápravné složce Paktu o stabilitě a růstu]</w:t>
      </w:r>
      <w:r w:rsidRPr="00E93045">
        <w:rPr>
          <w:rFonts w:eastAsia="Calibri"/>
          <w:szCs w:val="22"/>
          <w:vertAlign w:val="superscript"/>
          <w:lang w:eastAsia="en-US"/>
        </w:rPr>
        <w:t>*</w:t>
      </w:r>
      <w:r w:rsidRPr="00E93045">
        <w:rPr>
          <w:rFonts w:eastAsia="Calibri"/>
          <w:szCs w:val="22"/>
          <w:lang w:eastAsia="en-US"/>
        </w:rPr>
        <w:t>;</w:t>
      </w:r>
    </w:p>
    <w:p w14:paraId="310AD840" w14:textId="77777777" w:rsidR="00E93045" w:rsidRPr="00E93045" w:rsidRDefault="00E93045" w:rsidP="00E93045">
      <w:pPr>
        <w:widowControl/>
        <w:shd w:val="clear" w:color="auto" w:fill="FFFFFF"/>
        <w:spacing w:before="120" w:after="120" w:line="360" w:lineRule="auto"/>
        <w:ind w:left="1985" w:hanging="567"/>
        <w:rPr>
          <w:rFonts w:eastAsia="Calibri"/>
          <w:iCs/>
          <w:szCs w:val="22"/>
          <w:lang w:eastAsia="en-US"/>
        </w:rPr>
      </w:pPr>
      <w:r w:rsidRPr="00E93045">
        <w:rPr>
          <w:rFonts w:eastAsia="Calibri"/>
          <w:iCs/>
          <w:szCs w:val="22"/>
          <w:lang w:eastAsia="en-US"/>
        </w:rPr>
        <w:t>f)</w:t>
      </w:r>
      <w:r w:rsidRPr="00E93045">
        <w:rPr>
          <w:rFonts w:eastAsia="Calibri"/>
          <w:iCs/>
          <w:szCs w:val="22"/>
          <w:lang w:eastAsia="en-US"/>
        </w:rPr>
        <w:tab/>
      </w:r>
      <w:r w:rsidRPr="00E93045">
        <w:rPr>
          <w:rFonts w:eastAsia="Calibri"/>
          <w:szCs w:val="22"/>
          <w:lang w:eastAsia="en-US"/>
        </w:rPr>
        <w:t>posuzování ucelenosti, soudržnosti a účinnosti vnitrostátního rozpočtového rámce;</w:t>
      </w:r>
    </w:p>
    <w:p w14:paraId="0816E978" w14:textId="77777777" w:rsidR="00E93045" w:rsidRPr="00E93045" w:rsidRDefault="00E93045" w:rsidP="00E93045">
      <w:pPr>
        <w:widowControl/>
        <w:shd w:val="clear" w:color="auto" w:fill="FFFFFF"/>
        <w:spacing w:before="120" w:after="120" w:line="360" w:lineRule="auto"/>
        <w:ind w:left="1985" w:hanging="567"/>
        <w:rPr>
          <w:rFonts w:eastAsia="Calibri"/>
          <w:szCs w:val="22"/>
          <w:lang w:eastAsia="en-US"/>
        </w:rPr>
      </w:pPr>
      <w:r w:rsidRPr="00E93045">
        <w:rPr>
          <w:rFonts w:eastAsia="Calibri"/>
          <w:szCs w:val="22"/>
          <w:lang w:eastAsia="en-US"/>
        </w:rPr>
        <w:lastRenderedPageBreak/>
        <w:t>g)</w:t>
      </w:r>
      <w:r w:rsidRPr="00E93045">
        <w:rPr>
          <w:rFonts w:eastAsia="Calibri"/>
          <w:szCs w:val="22"/>
          <w:lang w:eastAsia="en-US"/>
        </w:rPr>
        <w:tab/>
        <w:t>účast na pravidelných slyšeních a rozpravách ve vnitrostátním parlamentu na základě výzvy.</w:t>
      </w:r>
    </w:p>
    <w:p w14:paraId="72074861" w14:textId="77777777" w:rsidR="00E93045" w:rsidRPr="00E93045" w:rsidRDefault="00E93045" w:rsidP="00E93045">
      <w:pPr>
        <w:widowControl/>
        <w:shd w:val="clear" w:color="auto" w:fill="FFFFFF"/>
        <w:spacing w:before="120" w:after="120" w:line="360" w:lineRule="auto"/>
        <w:ind w:left="1418" w:hanging="567"/>
        <w:rPr>
          <w:rFonts w:eastAsia="Calibri"/>
          <w:szCs w:val="22"/>
          <w:lang w:eastAsia="en-US"/>
        </w:rPr>
      </w:pPr>
      <w:r w:rsidRPr="00E93045">
        <w:rPr>
          <w:rFonts w:eastAsia="Calibri"/>
          <w:szCs w:val="22"/>
          <w:lang w:eastAsia="en-US"/>
        </w:rPr>
        <w:t>5.</w:t>
      </w:r>
      <w:r w:rsidRPr="00E93045">
        <w:rPr>
          <w:rFonts w:eastAsia="Calibri"/>
          <w:szCs w:val="22"/>
          <w:lang w:eastAsia="en-US"/>
        </w:rPr>
        <w:tab/>
        <w:t>Instituce vydávají posouzení v souvislosti s úkoly uvedenými v odst. 4 písm. a), d), e) a f), aniž jsou dotčeny úkoly a funkce svěřené v souladu s nařízením (EU) č. 473/2013. Členské státy se těmito posouzeními řídí, nebo v opačném případě vysvětlí, proč se jimi neřídí. Vysvětlení se zveřejní a předkládá se do dvou měsíců od vydání takového posouzení.</w:t>
      </w:r>
    </w:p>
    <w:p w14:paraId="1C709C63" w14:textId="77777777" w:rsidR="00E93045" w:rsidRPr="00E93045" w:rsidRDefault="00E93045" w:rsidP="00E93045">
      <w:pPr>
        <w:widowControl/>
        <w:shd w:val="clear" w:color="auto" w:fill="FFFFFF"/>
        <w:spacing w:before="120" w:after="120" w:line="360" w:lineRule="auto"/>
        <w:ind w:left="1985" w:hanging="567"/>
        <w:contextualSpacing/>
        <w:rPr>
          <w:rFonts w:eastAsia="Calibri"/>
          <w:noProof/>
          <w:color w:val="000000"/>
          <w:szCs w:val="22"/>
          <w:lang w:eastAsia="en-US"/>
        </w:rPr>
      </w:pPr>
      <w:r w:rsidRPr="00E93045">
        <w:rPr>
          <w:rFonts w:eastAsia="Calibri" w:cs="Arial"/>
          <w:noProof/>
          <w:color w:val="000000"/>
          <w:szCs w:val="22"/>
          <w:lang w:eastAsia="en-US"/>
        </w:rPr>
        <w:t>___________</w:t>
      </w:r>
    </w:p>
    <w:p w14:paraId="272C5237" w14:textId="77777777" w:rsidR="00E93045" w:rsidRPr="00E93045" w:rsidRDefault="00E93045" w:rsidP="00E93045">
      <w:pPr>
        <w:widowControl/>
        <w:spacing w:before="120" w:after="120" w:line="360" w:lineRule="auto"/>
        <w:ind w:left="1985" w:hanging="567"/>
        <w:rPr>
          <w:rFonts w:eastAsia="Calibri"/>
          <w:szCs w:val="22"/>
          <w:lang w:eastAsia="en-US"/>
        </w:rPr>
      </w:pPr>
      <w:r w:rsidRPr="00E93045">
        <w:rPr>
          <w:rFonts w:eastAsia="Calibri"/>
          <w:szCs w:val="22"/>
          <w:vertAlign w:val="superscript"/>
          <w:lang w:eastAsia="en-US"/>
        </w:rPr>
        <w:t>*</w:t>
      </w:r>
      <w:r w:rsidRPr="00E93045">
        <w:rPr>
          <w:rFonts w:eastAsia="Calibri"/>
          <w:szCs w:val="22"/>
          <w:lang w:eastAsia="en-US"/>
        </w:rPr>
        <w:tab/>
        <w:t>Nařízení Rady (EU) ze dne [vložte datum] [vložte úplný název] (</w:t>
      </w:r>
      <w:proofErr w:type="spellStart"/>
      <w:r w:rsidRPr="00E93045">
        <w:rPr>
          <w:rFonts w:eastAsia="Calibri"/>
          <w:szCs w:val="22"/>
          <w:lang w:eastAsia="en-US"/>
        </w:rPr>
        <w:t>Úř</w:t>
      </w:r>
      <w:proofErr w:type="spellEnd"/>
      <w:r w:rsidRPr="00E93045">
        <w:rPr>
          <w:rFonts w:eastAsia="Calibri"/>
          <w:szCs w:val="22"/>
          <w:lang w:eastAsia="en-US"/>
        </w:rPr>
        <w:t>. </w:t>
      </w:r>
      <w:proofErr w:type="spellStart"/>
      <w:proofErr w:type="gramStart"/>
      <w:r w:rsidRPr="00E93045">
        <w:rPr>
          <w:rFonts w:eastAsia="Calibri"/>
          <w:szCs w:val="22"/>
          <w:lang w:eastAsia="en-US"/>
        </w:rPr>
        <w:t>věst</w:t>
      </w:r>
      <w:proofErr w:type="spellEnd"/>
      <w:proofErr w:type="gramEnd"/>
      <w:r w:rsidRPr="00E93045">
        <w:rPr>
          <w:rFonts w:eastAsia="Calibri"/>
          <w:szCs w:val="22"/>
          <w:lang w:eastAsia="en-US"/>
        </w:rPr>
        <w:t>. L ...).“</w:t>
      </w:r>
    </w:p>
    <w:p w14:paraId="6A5AD00F" w14:textId="77777777" w:rsidR="00E93045" w:rsidRPr="00E93045" w:rsidRDefault="00E93045" w:rsidP="00E93045">
      <w:pPr>
        <w:widowControl/>
        <w:shd w:val="clear" w:color="auto" w:fill="FFFFFF"/>
        <w:spacing w:before="120" w:after="120" w:line="360" w:lineRule="auto"/>
        <w:ind w:left="851" w:hanging="851"/>
        <w:rPr>
          <w:color w:val="000000"/>
          <w:szCs w:val="24"/>
          <w:lang w:eastAsia="en-US"/>
        </w:rPr>
      </w:pPr>
      <w:r w:rsidRPr="00E93045">
        <w:rPr>
          <w:rFonts w:eastAsia="Calibri"/>
          <w:color w:val="000000"/>
          <w:szCs w:val="22"/>
          <w:lang w:eastAsia="en-US"/>
        </w:rPr>
        <w:t>9)</w:t>
      </w:r>
      <w:r w:rsidRPr="00E93045">
        <w:rPr>
          <w:rFonts w:eastAsia="Calibri"/>
          <w:color w:val="000000"/>
          <w:szCs w:val="22"/>
          <w:lang w:eastAsia="en-US"/>
        </w:rPr>
        <w:tab/>
        <w:t>Článek 9 se mění takto:</w:t>
      </w:r>
    </w:p>
    <w:p w14:paraId="38ECC59D" w14:textId="77777777" w:rsidR="00E93045" w:rsidRPr="00E93045" w:rsidRDefault="00E93045" w:rsidP="00E93045">
      <w:pPr>
        <w:keepNext/>
        <w:widowControl/>
        <w:spacing w:before="120" w:after="120" w:line="360" w:lineRule="auto"/>
        <w:ind w:left="1418" w:hanging="567"/>
        <w:rPr>
          <w:rFonts w:eastAsia="Calibri"/>
          <w:iCs/>
          <w:szCs w:val="22"/>
          <w:lang w:eastAsia="en-US"/>
        </w:rPr>
      </w:pPr>
      <w:r w:rsidRPr="00E93045">
        <w:rPr>
          <w:rFonts w:eastAsia="Calibri"/>
          <w:szCs w:val="22"/>
          <w:lang w:eastAsia="en-US"/>
        </w:rPr>
        <w:t>a)</w:t>
      </w:r>
      <w:r w:rsidRPr="00E93045">
        <w:rPr>
          <w:rFonts w:eastAsia="Calibri"/>
          <w:szCs w:val="22"/>
          <w:lang w:eastAsia="en-US"/>
        </w:rPr>
        <w:tab/>
        <w:t>odstavec 1 se nahrazuje tímto:</w:t>
      </w:r>
    </w:p>
    <w:p w14:paraId="6E65DCAB" w14:textId="77777777" w:rsidR="00E93045" w:rsidRPr="00E93045" w:rsidRDefault="00E93045" w:rsidP="00E93045">
      <w:pPr>
        <w:keepNext/>
        <w:widowControl/>
        <w:spacing w:before="120" w:after="120" w:line="360" w:lineRule="auto"/>
        <w:ind w:left="1985" w:hanging="567"/>
        <w:rPr>
          <w:rFonts w:eastAsia="Calibri"/>
          <w:iCs/>
          <w:szCs w:val="22"/>
          <w:lang w:eastAsia="en-US"/>
        </w:rPr>
      </w:pPr>
      <w:r w:rsidRPr="00E93045">
        <w:rPr>
          <w:rFonts w:eastAsia="Calibri"/>
          <w:szCs w:val="22"/>
          <w:lang w:eastAsia="en-US"/>
        </w:rPr>
        <w:t>„1.</w:t>
      </w:r>
      <w:r w:rsidRPr="00E93045">
        <w:rPr>
          <w:rFonts w:eastAsia="Calibri"/>
          <w:szCs w:val="22"/>
          <w:lang w:eastAsia="en-US"/>
        </w:rPr>
        <w:tab/>
        <w:t>Členské státy vytvoří důvěryhodný a účinný vnitrostátní střednědobý rozpočtový rámec, kterým se stanoví přijetí nejméně tříletého horizontu fiskálního plánování, a zajistí tak, aby vnitrostátní fiskální plánování bylo v souladu s perspektivou víceletého fiskálního plánování.“</w:t>
      </w:r>
      <w:r w:rsidRPr="00E93045">
        <w:rPr>
          <w:rFonts w:eastAsia="Calibri"/>
          <w:i/>
          <w:szCs w:val="22"/>
          <w:lang w:eastAsia="en-US"/>
        </w:rPr>
        <w:t>;</w:t>
      </w:r>
    </w:p>
    <w:p w14:paraId="54CF74A5"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b)</w:t>
      </w:r>
      <w:r w:rsidRPr="00E93045">
        <w:rPr>
          <w:rFonts w:eastAsia="Calibri"/>
          <w:szCs w:val="22"/>
          <w:lang w:eastAsia="en-US"/>
        </w:rPr>
        <w:tab/>
        <w:t>odstavec 2 se mění takto:</w:t>
      </w:r>
    </w:p>
    <w:p w14:paraId="35BAC6C4" w14:textId="77777777" w:rsidR="00E93045" w:rsidRPr="00E93045" w:rsidRDefault="00E93045" w:rsidP="00E93045">
      <w:pPr>
        <w:widowControl/>
        <w:spacing w:before="120" w:after="120" w:line="360" w:lineRule="auto"/>
        <w:ind w:left="1985" w:hanging="567"/>
        <w:rPr>
          <w:rFonts w:eastAsia="Calibri"/>
          <w:szCs w:val="22"/>
          <w:lang w:eastAsia="en-US"/>
        </w:rPr>
      </w:pPr>
      <w:r w:rsidRPr="00E93045">
        <w:rPr>
          <w:rFonts w:eastAsia="Calibri"/>
          <w:szCs w:val="22"/>
          <w:lang w:eastAsia="en-US"/>
        </w:rPr>
        <w:t>i)</w:t>
      </w:r>
      <w:r w:rsidRPr="00E93045">
        <w:rPr>
          <w:rFonts w:eastAsia="Calibri"/>
          <w:szCs w:val="22"/>
          <w:lang w:eastAsia="en-US"/>
        </w:rPr>
        <w:tab/>
      </w:r>
      <w:proofErr w:type="spellStart"/>
      <w:r w:rsidRPr="00E93045">
        <w:rPr>
          <w:rFonts w:eastAsia="Calibri"/>
          <w:szCs w:val="22"/>
          <w:lang w:eastAsia="en-US"/>
        </w:rPr>
        <w:t>návětí</w:t>
      </w:r>
      <w:proofErr w:type="spellEnd"/>
      <w:r w:rsidRPr="00E93045">
        <w:rPr>
          <w:rFonts w:eastAsia="Calibri"/>
          <w:szCs w:val="22"/>
          <w:lang w:eastAsia="en-US"/>
        </w:rPr>
        <w:t xml:space="preserve"> se nahrazuje tímto:</w:t>
      </w:r>
    </w:p>
    <w:p w14:paraId="59682B76" w14:textId="77777777" w:rsidR="00E93045" w:rsidRPr="00E93045" w:rsidRDefault="00E93045" w:rsidP="00E93045">
      <w:pPr>
        <w:widowControl/>
        <w:spacing w:before="120" w:after="120" w:line="360" w:lineRule="auto"/>
        <w:ind w:left="2552" w:hanging="567"/>
        <w:rPr>
          <w:rFonts w:eastAsia="Calibri"/>
          <w:szCs w:val="22"/>
          <w:lang w:eastAsia="en-US"/>
        </w:rPr>
      </w:pPr>
      <w:r w:rsidRPr="00E93045">
        <w:rPr>
          <w:rFonts w:eastAsia="Calibri"/>
          <w:szCs w:val="22"/>
          <w:lang w:eastAsia="en-US"/>
        </w:rPr>
        <w:t>„2.</w:t>
      </w:r>
      <w:r w:rsidRPr="00E93045">
        <w:rPr>
          <w:rFonts w:eastAsia="Calibri"/>
          <w:szCs w:val="22"/>
          <w:lang w:eastAsia="en-US"/>
        </w:rPr>
        <w:tab/>
        <w:t>Vnitrostátní střednědobé rozpočtové rámce zahrnují postupy stanovení těchto položek:</w:t>
      </w:r>
      <w:r w:rsidRPr="00E93045">
        <w:rPr>
          <w:rFonts w:eastAsia="Calibri"/>
          <w:color w:val="000000"/>
          <w:szCs w:val="22"/>
          <w:lang w:eastAsia="en-US"/>
        </w:rPr>
        <w:t>“</w:t>
      </w:r>
    </w:p>
    <w:p w14:paraId="0C583B0B" w14:textId="77777777" w:rsidR="00E93045" w:rsidRPr="00E93045" w:rsidRDefault="00E93045" w:rsidP="00E93045">
      <w:pPr>
        <w:widowControl/>
        <w:spacing w:before="120" w:after="120" w:line="360" w:lineRule="auto"/>
        <w:ind w:left="1985" w:hanging="567"/>
        <w:rPr>
          <w:rFonts w:eastAsia="Calibri"/>
          <w:szCs w:val="22"/>
          <w:lang w:eastAsia="en-US"/>
        </w:rPr>
      </w:pPr>
      <w:proofErr w:type="spellStart"/>
      <w:r w:rsidRPr="00E93045">
        <w:rPr>
          <w:rFonts w:eastAsia="Calibri"/>
          <w:szCs w:val="22"/>
          <w:lang w:eastAsia="en-US"/>
        </w:rPr>
        <w:t>ii</w:t>
      </w:r>
      <w:proofErr w:type="spellEnd"/>
      <w:r w:rsidRPr="00E93045">
        <w:rPr>
          <w:rFonts w:eastAsia="Calibri"/>
          <w:szCs w:val="22"/>
          <w:lang w:eastAsia="en-US"/>
        </w:rPr>
        <w:t>)</w:t>
      </w:r>
      <w:r w:rsidRPr="00E93045">
        <w:rPr>
          <w:rFonts w:eastAsia="Calibri"/>
          <w:szCs w:val="22"/>
          <w:lang w:eastAsia="en-US"/>
        </w:rPr>
        <w:tab/>
        <w:t>písmeno a) se nahrazuje tímto:</w:t>
      </w:r>
    </w:p>
    <w:p w14:paraId="2FDDBB10" w14:textId="77777777" w:rsidR="00E93045" w:rsidRPr="00E93045" w:rsidRDefault="00E93045" w:rsidP="00E93045">
      <w:pPr>
        <w:widowControl/>
        <w:spacing w:before="120" w:after="120" w:line="360" w:lineRule="auto"/>
        <w:ind w:left="2552" w:hanging="567"/>
        <w:rPr>
          <w:rFonts w:eastAsia="Calibri"/>
          <w:szCs w:val="22"/>
          <w:lang w:eastAsia="en-US"/>
        </w:rPr>
      </w:pPr>
      <w:r w:rsidRPr="00E93045">
        <w:rPr>
          <w:rFonts w:eastAsia="Calibri"/>
          <w:szCs w:val="22"/>
          <w:lang w:eastAsia="en-US"/>
        </w:rPr>
        <w:t>„a)</w:t>
      </w:r>
      <w:r w:rsidRPr="00E93045">
        <w:rPr>
          <w:rFonts w:eastAsia="Calibri"/>
          <w:szCs w:val="22"/>
          <w:lang w:eastAsia="en-US"/>
        </w:rPr>
        <w:tab/>
        <w:t>komplexních a transparentních víceletých rozpočtových cílů uvedených v čl. 2 písm. e), pokud jde o schodek sektoru vládních institucí, dluh a jakýkoli jiný fiskální ukazatel, jako jsou například výdaje, přičemž je třeba zajistit, aby byly v souladu se všemi numerickými fiskálními pravidly specifickými pro danou zemi stanovenými v kapitole IV této směrnice a s příslušnými ustanoveními nařízení [XXX o preventivní složce Paktu o stabilitě a růstu].“</w:t>
      </w:r>
    </w:p>
    <w:p w14:paraId="685E12C7" w14:textId="77777777" w:rsidR="00E93045" w:rsidRPr="00E93045" w:rsidRDefault="00E93045" w:rsidP="00E93045">
      <w:pPr>
        <w:widowControl/>
        <w:spacing w:before="120" w:after="120" w:line="360" w:lineRule="auto"/>
        <w:ind w:left="1985" w:hanging="567"/>
        <w:rPr>
          <w:rFonts w:eastAsia="Calibri"/>
          <w:szCs w:val="22"/>
          <w:lang w:eastAsia="en-US"/>
        </w:rPr>
      </w:pPr>
      <w:proofErr w:type="spellStart"/>
      <w:r w:rsidRPr="00E93045">
        <w:rPr>
          <w:rFonts w:eastAsia="Calibri"/>
          <w:szCs w:val="22"/>
          <w:lang w:eastAsia="en-US"/>
        </w:rPr>
        <w:t>iii</w:t>
      </w:r>
      <w:proofErr w:type="spellEnd"/>
      <w:r w:rsidRPr="00E93045">
        <w:rPr>
          <w:rFonts w:eastAsia="Calibri"/>
          <w:szCs w:val="22"/>
          <w:lang w:eastAsia="en-US"/>
        </w:rPr>
        <w:t>)</w:t>
      </w:r>
      <w:r w:rsidRPr="00E93045">
        <w:rPr>
          <w:rFonts w:eastAsia="Calibri"/>
          <w:szCs w:val="22"/>
          <w:lang w:eastAsia="en-US"/>
        </w:rPr>
        <w:tab/>
        <w:t>písmeno c) se nahrazuje tímto:</w:t>
      </w:r>
    </w:p>
    <w:p w14:paraId="7C033E72" w14:textId="77777777" w:rsidR="00E93045" w:rsidRPr="00E93045" w:rsidRDefault="00E93045" w:rsidP="00E93045">
      <w:pPr>
        <w:widowControl/>
        <w:spacing w:before="120" w:after="120" w:line="360" w:lineRule="auto"/>
        <w:ind w:left="2552" w:hanging="567"/>
        <w:rPr>
          <w:rFonts w:eastAsia="Calibri"/>
          <w:szCs w:val="22"/>
          <w:lang w:eastAsia="en-US"/>
        </w:rPr>
      </w:pPr>
      <w:r w:rsidRPr="00E93045">
        <w:rPr>
          <w:rFonts w:eastAsia="Calibri"/>
          <w:szCs w:val="22"/>
          <w:lang w:eastAsia="en-US"/>
        </w:rPr>
        <w:lastRenderedPageBreak/>
        <w:t>„c)</w:t>
      </w:r>
      <w:r w:rsidRPr="00E93045">
        <w:rPr>
          <w:rFonts w:eastAsia="Calibri"/>
          <w:szCs w:val="22"/>
          <w:lang w:eastAsia="en-US"/>
        </w:rPr>
        <w:tab/>
        <w:t>popisu plánovaných střednědobých politik, včetně investic a reforem, s dopadem na finance sektoru vládních institucí a udržitelný a inkluzivní růst, v členění podle hlavních položek příjmů a výdajů, z něhož je patrný průběh korekce za účelem dosažení vnitrostátních rozpočtových cílů ve střednědobém horizontu podle čl. 2 písm. e) ve srovnání s projekcemi při nezměněných politikách.“;</w:t>
      </w:r>
    </w:p>
    <w:p w14:paraId="237F99AC" w14:textId="77777777" w:rsidR="00E93045" w:rsidRPr="00E93045" w:rsidRDefault="00E93045" w:rsidP="00E93045">
      <w:pPr>
        <w:widowControl/>
        <w:spacing w:before="120" w:after="120" w:line="360" w:lineRule="auto"/>
        <w:ind w:left="1985" w:hanging="567"/>
        <w:rPr>
          <w:rFonts w:eastAsia="Calibri"/>
          <w:szCs w:val="22"/>
          <w:lang w:eastAsia="en-US"/>
        </w:rPr>
      </w:pPr>
      <w:proofErr w:type="spellStart"/>
      <w:r w:rsidRPr="00E93045">
        <w:rPr>
          <w:rFonts w:eastAsia="Calibri"/>
          <w:szCs w:val="22"/>
          <w:lang w:eastAsia="en-US"/>
        </w:rPr>
        <w:t>iv</w:t>
      </w:r>
      <w:proofErr w:type="spellEnd"/>
      <w:r w:rsidRPr="00E93045">
        <w:rPr>
          <w:rFonts w:eastAsia="Calibri"/>
          <w:szCs w:val="22"/>
          <w:lang w:eastAsia="en-US"/>
        </w:rPr>
        <w:t>)</w:t>
      </w:r>
      <w:r w:rsidRPr="00E93045">
        <w:rPr>
          <w:rFonts w:eastAsia="Calibri"/>
          <w:szCs w:val="22"/>
          <w:lang w:eastAsia="en-US"/>
        </w:rPr>
        <w:tab/>
        <w:t>písmeno d) se nahrazuje tímto:</w:t>
      </w:r>
    </w:p>
    <w:p w14:paraId="71371181" w14:textId="77777777" w:rsidR="00E93045" w:rsidRPr="00E93045" w:rsidRDefault="00E93045" w:rsidP="00E93045">
      <w:pPr>
        <w:widowControl/>
        <w:spacing w:before="120" w:after="120" w:line="360" w:lineRule="auto"/>
        <w:ind w:left="2552" w:hanging="567"/>
        <w:rPr>
          <w:rFonts w:eastAsia="Calibri"/>
          <w:b/>
          <w:bCs/>
          <w:szCs w:val="22"/>
          <w:lang w:eastAsia="en-US"/>
        </w:rPr>
      </w:pPr>
      <w:r w:rsidRPr="00E93045">
        <w:rPr>
          <w:rFonts w:eastAsia="Calibri"/>
          <w:szCs w:val="22"/>
          <w:lang w:eastAsia="en-US"/>
        </w:rPr>
        <w:t>„d)</w:t>
      </w:r>
      <w:r w:rsidRPr="00E93045">
        <w:rPr>
          <w:rFonts w:eastAsia="Calibri"/>
          <w:szCs w:val="22"/>
          <w:lang w:eastAsia="en-US"/>
        </w:rPr>
        <w:tab/>
        <w:t xml:space="preserve">posouzení, jakým způsobem mohou plánované politiky svými přímými střednědobými a dlouhodobými dopady na finance sektoru vládních institucí ovlivnit střednědobou a dlouhodobou udržitelnost veřejných financí a udržitelný a inkluzivní růst. Posouzení v maximální možné míře zohlední </w:t>
      </w:r>
      <w:proofErr w:type="spellStart"/>
      <w:r w:rsidRPr="00E93045">
        <w:rPr>
          <w:rFonts w:eastAsia="Calibri"/>
          <w:szCs w:val="22"/>
          <w:lang w:eastAsia="en-US"/>
        </w:rPr>
        <w:t>makrofiskální</w:t>
      </w:r>
      <w:proofErr w:type="spellEnd"/>
      <w:r w:rsidRPr="00E93045">
        <w:rPr>
          <w:rFonts w:eastAsia="Calibri"/>
          <w:szCs w:val="22"/>
          <w:lang w:eastAsia="en-US"/>
        </w:rPr>
        <w:t xml:space="preserve"> rizika vyplývající ze změny klimatu a její environmentální a distribuční dopady.“</w:t>
      </w:r>
    </w:p>
    <w:p w14:paraId="68A780A4"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c)</w:t>
      </w:r>
      <w:r w:rsidRPr="00E93045">
        <w:rPr>
          <w:rFonts w:eastAsia="Calibri"/>
          <w:szCs w:val="22"/>
          <w:lang w:eastAsia="en-US"/>
        </w:rPr>
        <w:tab/>
        <w:t>odstavec 3 se zrušuje.</w:t>
      </w:r>
    </w:p>
    <w:p w14:paraId="7CFEFA4D" w14:textId="77777777" w:rsidR="00E93045" w:rsidRPr="00E93045" w:rsidRDefault="00E93045" w:rsidP="00E93045">
      <w:pPr>
        <w:widowControl/>
        <w:shd w:val="clear" w:color="auto" w:fill="FFFFFF"/>
        <w:spacing w:before="120" w:after="120" w:line="360" w:lineRule="auto"/>
        <w:ind w:left="851" w:hanging="851"/>
        <w:rPr>
          <w:rFonts w:eastAsia="Calibri"/>
          <w:iCs/>
          <w:szCs w:val="22"/>
          <w:lang w:eastAsia="en-US"/>
        </w:rPr>
      </w:pPr>
      <w:r w:rsidRPr="00E93045">
        <w:rPr>
          <w:rFonts w:eastAsia="Calibri"/>
          <w:szCs w:val="22"/>
          <w:lang w:eastAsia="en-US"/>
        </w:rPr>
        <w:t>10)</w:t>
      </w:r>
      <w:r w:rsidRPr="00E93045">
        <w:rPr>
          <w:rFonts w:eastAsia="Calibri"/>
          <w:szCs w:val="22"/>
          <w:lang w:eastAsia="en-US"/>
        </w:rPr>
        <w:tab/>
        <w:t>Články 10 a 11 se nahrazují tímto:</w:t>
      </w:r>
    </w:p>
    <w:p w14:paraId="5CD55D4C"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10</w:t>
      </w:r>
    </w:p>
    <w:p w14:paraId="00691A3C"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Právní předpisy o ročním rozpočtu jsou v souladu se střednědobými vnitrostátními rozpočtovými cíli uvedenými v čl. 2 písm. e). Jakékoli odchýlení se řádně vysvětlí.</w:t>
      </w:r>
    </w:p>
    <w:p w14:paraId="5B20194E"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11</w:t>
      </w:r>
    </w:p>
    <w:p w14:paraId="7977B74D" w14:textId="77777777" w:rsidR="00E93045" w:rsidRPr="00E93045" w:rsidRDefault="00E93045" w:rsidP="00E93045">
      <w:pPr>
        <w:keepNext/>
        <w:widowControl/>
        <w:spacing w:before="120" w:after="120" w:line="360" w:lineRule="auto"/>
        <w:ind w:left="851"/>
        <w:rPr>
          <w:rFonts w:eastAsia="Calibri"/>
          <w:iCs/>
          <w:szCs w:val="22"/>
          <w:lang w:eastAsia="en-US"/>
        </w:rPr>
      </w:pPr>
      <w:r w:rsidRPr="00E93045">
        <w:rPr>
          <w:rFonts w:eastAsia="Calibri"/>
          <w:szCs w:val="22"/>
          <w:lang w:eastAsia="en-US"/>
        </w:rPr>
        <w:t>Tato směrnice nijak nebrání nové vládě členského státu, aby aktualizovala střednědobý rozpočtový plán státu s cílem zohlednit své nové politické priority. V takovém případě nová vláda uvede rozdíly mezi předchozím a novým střednědobým rozpočtovým plánem.“</w:t>
      </w:r>
    </w:p>
    <w:p w14:paraId="00BFF7C4" w14:textId="77777777" w:rsidR="00E93045" w:rsidRPr="00E93045" w:rsidRDefault="00E93045" w:rsidP="00E93045">
      <w:pPr>
        <w:keepNext/>
        <w:widowControl/>
        <w:spacing w:before="120" w:after="120" w:line="360" w:lineRule="auto"/>
        <w:ind w:left="851" w:hanging="851"/>
        <w:rPr>
          <w:rFonts w:ascii="inherit" w:eastAsia="Calibri" w:hAnsi="inherit"/>
          <w:bCs/>
          <w:szCs w:val="24"/>
          <w:lang w:eastAsia="en-US"/>
        </w:rPr>
      </w:pPr>
      <w:r w:rsidRPr="00E93045">
        <w:rPr>
          <w:rFonts w:eastAsia="Calibri"/>
          <w:szCs w:val="22"/>
          <w:lang w:eastAsia="en-US"/>
        </w:rPr>
        <w:t>11)</w:t>
      </w:r>
      <w:r w:rsidRPr="00E93045">
        <w:rPr>
          <w:rFonts w:eastAsia="Calibri"/>
          <w:szCs w:val="22"/>
          <w:lang w:eastAsia="en-US"/>
        </w:rPr>
        <w:tab/>
        <w:t>V kapitole VI se název nahrazuje tímto:</w:t>
      </w:r>
      <w:r w:rsidRPr="00E93045">
        <w:rPr>
          <w:rFonts w:ascii="inherit" w:eastAsia="Calibri" w:hAnsi="inherit"/>
          <w:szCs w:val="22"/>
          <w:lang w:eastAsia="en-US"/>
        </w:rPr>
        <w:t xml:space="preserve"> „TRANSPARENTNOST FINANCÍ SEKTORU VLÁDNÍCH INSTITUCÍ“.</w:t>
      </w:r>
    </w:p>
    <w:p w14:paraId="5F90D82B" w14:textId="77777777" w:rsidR="00E93045" w:rsidRPr="00E93045" w:rsidRDefault="00E93045" w:rsidP="00E93045">
      <w:pPr>
        <w:widowControl/>
        <w:shd w:val="clear" w:color="auto" w:fill="FFFFFF"/>
        <w:spacing w:before="120" w:after="120" w:line="360" w:lineRule="auto"/>
        <w:ind w:left="851" w:hanging="851"/>
        <w:rPr>
          <w:rFonts w:eastAsia="Calibri"/>
          <w:szCs w:val="22"/>
          <w:lang w:eastAsia="en-US"/>
        </w:rPr>
      </w:pPr>
      <w:r w:rsidRPr="00E93045">
        <w:rPr>
          <w:rFonts w:eastAsia="Calibri"/>
          <w:szCs w:val="22"/>
          <w:lang w:eastAsia="en-US"/>
        </w:rPr>
        <w:t>12)</w:t>
      </w:r>
      <w:r w:rsidRPr="00E93045">
        <w:rPr>
          <w:rFonts w:eastAsia="Calibri"/>
          <w:szCs w:val="22"/>
          <w:lang w:eastAsia="en-US"/>
        </w:rPr>
        <w:tab/>
        <w:t>Článek 12 se nahrazuje tímto:</w:t>
      </w:r>
    </w:p>
    <w:p w14:paraId="52C1CBC7"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12</w:t>
      </w:r>
    </w:p>
    <w:p w14:paraId="6FB374A5" w14:textId="77777777" w:rsidR="00E93045" w:rsidRPr="00E93045" w:rsidRDefault="00E93045" w:rsidP="00E93045">
      <w:pPr>
        <w:widowControl/>
        <w:shd w:val="clear" w:color="auto" w:fill="FFFFFF"/>
        <w:spacing w:before="120" w:after="120" w:line="360" w:lineRule="auto"/>
        <w:ind w:left="851"/>
        <w:rPr>
          <w:rFonts w:eastAsia="Calibri"/>
          <w:color w:val="000000"/>
          <w:szCs w:val="22"/>
          <w:lang w:eastAsia="en-US"/>
        </w:rPr>
      </w:pPr>
      <w:r w:rsidRPr="00E93045">
        <w:rPr>
          <w:rFonts w:eastAsia="Calibri"/>
          <w:szCs w:val="22"/>
          <w:lang w:eastAsia="en-US"/>
        </w:rPr>
        <w:lastRenderedPageBreak/>
        <w:t xml:space="preserve">Členské státy zajistí, aby veškerá opatření přijatá v souladu s kapitolami II, III a IV byla konzistentní ve všech </w:t>
      </w:r>
      <w:proofErr w:type="spellStart"/>
      <w:r w:rsidRPr="00E93045">
        <w:rPr>
          <w:rFonts w:eastAsia="Calibri"/>
          <w:szCs w:val="22"/>
          <w:lang w:eastAsia="en-US"/>
        </w:rPr>
        <w:t>subsektorech</w:t>
      </w:r>
      <w:proofErr w:type="spellEnd"/>
      <w:r w:rsidRPr="00E93045">
        <w:rPr>
          <w:rFonts w:eastAsia="Calibri"/>
          <w:szCs w:val="22"/>
          <w:lang w:eastAsia="en-US"/>
        </w:rPr>
        <w:t xml:space="preserve"> sektoru vládních institucí a komplexně tyto </w:t>
      </w:r>
      <w:proofErr w:type="spellStart"/>
      <w:r w:rsidRPr="00E93045">
        <w:rPr>
          <w:rFonts w:eastAsia="Calibri"/>
          <w:szCs w:val="22"/>
          <w:lang w:eastAsia="en-US"/>
        </w:rPr>
        <w:t>subsektory</w:t>
      </w:r>
      <w:proofErr w:type="spellEnd"/>
      <w:r w:rsidRPr="00E93045">
        <w:rPr>
          <w:rFonts w:eastAsia="Calibri"/>
          <w:szCs w:val="22"/>
          <w:lang w:eastAsia="en-US"/>
        </w:rPr>
        <w:t xml:space="preserve"> pokrývala.</w:t>
      </w:r>
      <w:r w:rsidRPr="00E93045">
        <w:rPr>
          <w:rFonts w:eastAsia="Calibri"/>
          <w:color w:val="000000"/>
          <w:szCs w:val="22"/>
          <w:lang w:eastAsia="en-US"/>
        </w:rPr>
        <w:t xml:space="preserve"> Za tím účelem členské státy zejména vyžadují konzistentní účetní pravidla a postupy sektoru vládních institucí a spolehlivost příslušných výchozích systémů sběru a zpracování údajů.“</w:t>
      </w:r>
    </w:p>
    <w:p w14:paraId="528ED899" w14:textId="77777777" w:rsidR="00E93045" w:rsidRPr="00E93045" w:rsidRDefault="00E93045" w:rsidP="00E93045">
      <w:pPr>
        <w:widowControl/>
        <w:shd w:val="clear" w:color="auto" w:fill="FFFFFF"/>
        <w:spacing w:before="120" w:after="120" w:line="360" w:lineRule="auto"/>
        <w:ind w:left="851" w:hanging="851"/>
        <w:rPr>
          <w:rFonts w:eastAsia="Calibri"/>
          <w:iCs/>
          <w:szCs w:val="22"/>
          <w:lang w:eastAsia="en-US"/>
        </w:rPr>
      </w:pPr>
      <w:r w:rsidRPr="00E93045">
        <w:rPr>
          <w:rFonts w:eastAsia="Calibri"/>
          <w:szCs w:val="22"/>
          <w:lang w:eastAsia="en-US"/>
        </w:rPr>
        <w:t>13)</w:t>
      </w:r>
      <w:r w:rsidRPr="00E93045">
        <w:rPr>
          <w:rFonts w:eastAsia="Calibri"/>
          <w:szCs w:val="22"/>
          <w:lang w:eastAsia="en-US"/>
        </w:rPr>
        <w:tab/>
        <w:t>Článek 14 se nahrazuje tímto:</w:t>
      </w:r>
    </w:p>
    <w:p w14:paraId="4D184CC2"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14</w:t>
      </w:r>
    </w:p>
    <w:p w14:paraId="38458CE3"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1.</w:t>
      </w:r>
      <w:r w:rsidRPr="00E93045">
        <w:rPr>
          <w:rFonts w:eastAsia="Calibri"/>
          <w:szCs w:val="22"/>
          <w:lang w:eastAsia="en-US"/>
        </w:rPr>
        <w:tab/>
        <w:t xml:space="preserve">V rámci ročních a víceletých rozpočtových procesů zveřejňují členské státy informace o subjektech a fondech, které nejsou součástí řádných rozpočtů, ale jsou součástí sektoru vládních institucí, včetně </w:t>
      </w:r>
      <w:proofErr w:type="spellStart"/>
      <w:r w:rsidRPr="00E93045">
        <w:rPr>
          <w:rFonts w:eastAsia="Calibri"/>
          <w:szCs w:val="22"/>
          <w:lang w:eastAsia="en-US"/>
        </w:rPr>
        <w:t>subsektorů</w:t>
      </w:r>
      <w:proofErr w:type="spellEnd"/>
      <w:r w:rsidRPr="00E93045">
        <w:rPr>
          <w:rFonts w:eastAsia="Calibri"/>
          <w:szCs w:val="22"/>
          <w:lang w:eastAsia="en-US"/>
        </w:rPr>
        <w:t xml:space="preserve"> sektoru vládních institucí. Členské státy rovněž zveřejní částky odpovídající souhrnnému dopadu těchto subjektů a fondů na saldo a dluhy sektoru vládních institucí.</w:t>
      </w:r>
    </w:p>
    <w:p w14:paraId="5F3AB535"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2.</w:t>
      </w:r>
      <w:r w:rsidRPr="00E93045">
        <w:rPr>
          <w:rFonts w:eastAsia="Calibri"/>
          <w:szCs w:val="22"/>
          <w:lang w:eastAsia="en-US"/>
        </w:rPr>
        <w:tab/>
        <w:t>Členské státy zveřejní podrobné informace o dopadu daňových výdajů na příjmy.</w:t>
      </w:r>
    </w:p>
    <w:p w14:paraId="6A469CCD" w14:textId="77777777" w:rsidR="00E93045" w:rsidRPr="00E93045" w:rsidRDefault="00E93045" w:rsidP="00E93045">
      <w:pPr>
        <w:widowControl/>
        <w:spacing w:before="120" w:after="120" w:line="360" w:lineRule="auto"/>
        <w:ind w:left="1418" w:hanging="567"/>
        <w:rPr>
          <w:rFonts w:eastAsia="Calibri"/>
          <w:szCs w:val="22"/>
          <w:lang w:eastAsia="en-US"/>
        </w:rPr>
      </w:pPr>
      <w:r w:rsidRPr="00E93045">
        <w:rPr>
          <w:rFonts w:eastAsia="Calibri"/>
          <w:szCs w:val="22"/>
          <w:lang w:eastAsia="en-US"/>
        </w:rPr>
        <w:t>3.</w:t>
      </w:r>
      <w:r w:rsidRPr="00E93045">
        <w:rPr>
          <w:rFonts w:eastAsia="Calibri"/>
          <w:szCs w:val="22"/>
          <w:lang w:eastAsia="en-US"/>
        </w:rPr>
        <w:tab/>
        <w:t xml:space="preserve">Členské státy zveřejní příslušné informace, týkající se všech </w:t>
      </w:r>
      <w:proofErr w:type="spellStart"/>
      <w:r w:rsidRPr="00E93045">
        <w:rPr>
          <w:rFonts w:eastAsia="Calibri"/>
          <w:szCs w:val="22"/>
          <w:lang w:eastAsia="en-US"/>
        </w:rPr>
        <w:t>subsektorů</w:t>
      </w:r>
      <w:proofErr w:type="spellEnd"/>
      <w:r w:rsidRPr="00E93045">
        <w:rPr>
          <w:rFonts w:eastAsia="Calibri"/>
          <w:szCs w:val="22"/>
          <w:lang w:eastAsia="en-US"/>
        </w:rPr>
        <w:t xml:space="preserve"> sektoru vládních institucí, o podmíněných závazcích s potenciálně velkým dopadem na veřejné finance, což zahrnuje mimo jiné vládní záruky, úvěry se selháním a závazky vyplývající z činnosti veřejných společností, včetně jejich rozsahu. Členské státy rovněž v rámci možností zveřejní informace o podmíněných závazcích souvisejících s katastrofami a klimatem. Zveřejňované informace v maximální možné míře zohlední informace o fiskálních nákladech vzniklých v důsledku katastrof a otřesů souvisejících s klimatem. Členské státy zveřejní informace o držených majetkových účastech vládních institucí v soukromých a veřejných společnostech, pokud jde o ekonomicky významné částky.“</w:t>
      </w:r>
    </w:p>
    <w:p w14:paraId="31FA498D" w14:textId="77777777" w:rsidR="00E93045" w:rsidRPr="00E93045" w:rsidRDefault="00E93045" w:rsidP="00E93045">
      <w:pPr>
        <w:widowControl/>
        <w:shd w:val="clear" w:color="auto" w:fill="FFFFFF"/>
        <w:spacing w:before="120" w:after="120" w:line="360" w:lineRule="auto"/>
        <w:ind w:left="851" w:hanging="851"/>
        <w:rPr>
          <w:rFonts w:eastAsia="Calibri"/>
          <w:color w:val="000000"/>
          <w:szCs w:val="22"/>
          <w:lang w:eastAsia="en-US"/>
        </w:rPr>
      </w:pPr>
      <w:r w:rsidRPr="00E93045">
        <w:rPr>
          <w:rFonts w:eastAsia="Calibri"/>
          <w:color w:val="000000"/>
          <w:szCs w:val="22"/>
          <w:lang w:eastAsia="en-US"/>
        </w:rPr>
        <w:t>14)</w:t>
      </w:r>
      <w:r w:rsidRPr="00E93045">
        <w:rPr>
          <w:rFonts w:eastAsia="Calibri"/>
          <w:color w:val="000000"/>
          <w:szCs w:val="22"/>
          <w:lang w:eastAsia="en-US"/>
        </w:rPr>
        <w:tab/>
        <w:t>Článek 15 se nahrazuje tímto:</w:t>
      </w:r>
    </w:p>
    <w:p w14:paraId="69E48155"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15</w:t>
      </w:r>
    </w:p>
    <w:p w14:paraId="7E429548" w14:textId="77777777" w:rsidR="00E93045" w:rsidRPr="00E93045" w:rsidRDefault="00E93045" w:rsidP="00E93045">
      <w:pPr>
        <w:widowControl/>
        <w:shd w:val="clear" w:color="auto" w:fill="FFFFFF"/>
        <w:spacing w:before="120" w:after="120" w:line="360" w:lineRule="auto"/>
        <w:ind w:left="1418" w:hanging="567"/>
        <w:rPr>
          <w:rFonts w:eastAsia="Calibri"/>
          <w:color w:val="000000"/>
          <w:szCs w:val="22"/>
          <w:lang w:eastAsia="en-US"/>
        </w:rPr>
      </w:pPr>
      <w:r w:rsidRPr="00E93045">
        <w:rPr>
          <w:rFonts w:eastAsia="Calibri"/>
          <w:color w:val="000000"/>
          <w:szCs w:val="22"/>
          <w:lang w:eastAsia="en-US"/>
        </w:rPr>
        <w:t>1.</w:t>
      </w:r>
      <w:r w:rsidRPr="00E93045">
        <w:rPr>
          <w:rFonts w:eastAsia="Calibri"/>
          <w:color w:val="000000"/>
          <w:szCs w:val="22"/>
          <w:lang w:eastAsia="en-US"/>
        </w:rPr>
        <w:tab/>
        <w:t xml:space="preserve">Členské státy uvedou v účinnost právní a správní předpisy nezbytné pro dosažení souladu s touto směrnicí do 31. prosince 2025. Neprodleně sdělí Komisi znění těchto předpisů. Rada vybízí členské státy k tomu, aby jak pro sebe, tak i v zájmu Unie sestavily vlastní srovnávací tabulky, z nichž bude co </w:t>
      </w:r>
      <w:r w:rsidRPr="00E93045">
        <w:rPr>
          <w:rFonts w:eastAsia="Calibri"/>
          <w:color w:val="000000"/>
          <w:szCs w:val="22"/>
          <w:lang w:eastAsia="en-US"/>
        </w:rPr>
        <w:lastRenderedPageBreak/>
        <w:t>nejlépe patrné srovnání mezi touto směrnicí a prováděcími opatřeními, a aby tyto tabulky zveřejnily.</w:t>
      </w:r>
    </w:p>
    <w:p w14:paraId="5B65F194" w14:textId="77777777" w:rsidR="00E93045" w:rsidRPr="00E93045" w:rsidRDefault="00E93045" w:rsidP="00E93045">
      <w:pPr>
        <w:widowControl/>
        <w:shd w:val="clear" w:color="auto" w:fill="FFFFFF"/>
        <w:spacing w:before="120" w:after="120" w:line="360" w:lineRule="auto"/>
        <w:ind w:left="1418" w:hanging="567"/>
        <w:rPr>
          <w:color w:val="000000"/>
          <w:szCs w:val="24"/>
          <w:lang w:eastAsia="en-US"/>
        </w:rPr>
      </w:pPr>
      <w:r w:rsidRPr="00E93045">
        <w:rPr>
          <w:rFonts w:eastAsia="Calibri"/>
          <w:color w:val="000000"/>
          <w:szCs w:val="22"/>
          <w:lang w:eastAsia="en-US"/>
        </w:rPr>
        <w:t>2.</w:t>
      </w:r>
      <w:r w:rsidRPr="00E93045">
        <w:rPr>
          <w:rFonts w:eastAsia="Calibri"/>
          <w:color w:val="000000"/>
          <w:szCs w:val="22"/>
          <w:lang w:eastAsia="en-US"/>
        </w:rPr>
        <w:tab/>
        <w:t>Tyto předpisy přijaté členskými státy musí obsahovat odkaz na tuto směrnici nebo musí být takový odkaz učiněn při jejich úředním vyhlášení. Způsob odkazu si stanoví členské státy.</w:t>
      </w:r>
    </w:p>
    <w:p w14:paraId="70F18F82" w14:textId="77777777" w:rsidR="00E93045" w:rsidRPr="00E93045" w:rsidRDefault="00E93045" w:rsidP="00E93045">
      <w:pPr>
        <w:widowControl/>
        <w:shd w:val="clear" w:color="auto" w:fill="FFFFFF"/>
        <w:spacing w:before="120" w:after="120" w:line="360" w:lineRule="auto"/>
        <w:ind w:left="1418" w:hanging="567"/>
        <w:rPr>
          <w:rFonts w:eastAsia="Calibri"/>
          <w:color w:val="000000"/>
          <w:szCs w:val="22"/>
          <w:lang w:eastAsia="en-US"/>
        </w:rPr>
      </w:pPr>
      <w:r w:rsidRPr="00E93045">
        <w:rPr>
          <w:rFonts w:eastAsia="Calibri"/>
          <w:color w:val="000000"/>
          <w:szCs w:val="22"/>
          <w:lang w:eastAsia="en-US"/>
        </w:rPr>
        <w:t>3.</w:t>
      </w:r>
      <w:r w:rsidRPr="00E93045">
        <w:rPr>
          <w:rFonts w:eastAsia="Calibri"/>
          <w:color w:val="000000"/>
          <w:szCs w:val="22"/>
          <w:lang w:eastAsia="en-US"/>
        </w:rPr>
        <w:tab/>
      </w:r>
      <w:r w:rsidRPr="00E93045">
        <w:rPr>
          <w:rFonts w:eastAsia="Calibri"/>
          <w:szCs w:val="22"/>
          <w:lang w:eastAsia="en-US"/>
        </w:rPr>
        <w:t xml:space="preserve">Komise vypracuje průběžnou zprávu o pokroku při provádění hlavních ustanovení této směrnice na základě příslušných informací členských států, kterou do 30. června </w:t>
      </w:r>
      <w:r w:rsidRPr="00E93045">
        <w:rPr>
          <w:rFonts w:eastAsia="Calibri"/>
          <w:color w:val="000000"/>
          <w:szCs w:val="22"/>
          <w:lang w:eastAsia="en-US"/>
        </w:rPr>
        <w:t>2025</w:t>
      </w:r>
      <w:r w:rsidRPr="00E93045">
        <w:rPr>
          <w:rFonts w:eastAsia="Calibri"/>
          <w:szCs w:val="22"/>
          <w:lang w:eastAsia="en-US"/>
        </w:rPr>
        <w:t xml:space="preserve"> předloží Evropskému parlamentu a Radě.</w:t>
      </w:r>
    </w:p>
    <w:p w14:paraId="7E1B58C5" w14:textId="77777777" w:rsidR="00E93045" w:rsidRPr="00E93045" w:rsidRDefault="00E93045" w:rsidP="00E93045">
      <w:pPr>
        <w:widowControl/>
        <w:spacing w:before="120" w:after="120" w:line="360" w:lineRule="auto"/>
        <w:ind w:left="1418" w:hanging="567"/>
        <w:rPr>
          <w:rFonts w:eastAsia="Calibri"/>
          <w:color w:val="000000"/>
          <w:szCs w:val="22"/>
          <w:lang w:eastAsia="en-US"/>
        </w:rPr>
      </w:pPr>
      <w:r w:rsidRPr="00E93045">
        <w:rPr>
          <w:rFonts w:eastAsia="Calibri"/>
          <w:color w:val="000000"/>
          <w:szCs w:val="22"/>
          <w:lang w:eastAsia="en-US"/>
        </w:rPr>
        <w:t>4.</w:t>
      </w:r>
      <w:r w:rsidRPr="00E93045">
        <w:rPr>
          <w:rFonts w:eastAsia="Calibri"/>
          <w:color w:val="000000"/>
          <w:szCs w:val="22"/>
          <w:lang w:eastAsia="en-US"/>
        </w:rPr>
        <w:tab/>
        <w:t>Členské státy sdělí Komisi znění hlavních ustanovení vnitrostátních právních předpisů, které přijmou v oblasti působnosti této směrnice.“</w:t>
      </w:r>
    </w:p>
    <w:p w14:paraId="7A298928" w14:textId="77777777" w:rsidR="00E93045" w:rsidRPr="00E93045" w:rsidRDefault="00E93045" w:rsidP="00E93045">
      <w:pPr>
        <w:widowControl/>
        <w:shd w:val="clear" w:color="auto" w:fill="FFFFFF"/>
        <w:spacing w:before="120" w:after="120" w:line="360" w:lineRule="auto"/>
        <w:ind w:left="851" w:hanging="851"/>
        <w:rPr>
          <w:rFonts w:eastAsia="Calibri"/>
          <w:color w:val="000000"/>
          <w:szCs w:val="22"/>
          <w:lang w:eastAsia="en-US"/>
        </w:rPr>
      </w:pPr>
      <w:r w:rsidRPr="00E93045">
        <w:rPr>
          <w:rFonts w:eastAsia="Calibri"/>
          <w:color w:val="000000"/>
          <w:szCs w:val="22"/>
          <w:lang w:eastAsia="en-US"/>
        </w:rPr>
        <w:t>15)</w:t>
      </w:r>
      <w:r w:rsidRPr="00E93045">
        <w:rPr>
          <w:rFonts w:eastAsia="Calibri"/>
          <w:color w:val="000000"/>
          <w:szCs w:val="22"/>
          <w:lang w:eastAsia="en-US"/>
        </w:rPr>
        <w:tab/>
        <w:t>Článek 16 se zrušuje.</w:t>
      </w:r>
    </w:p>
    <w:p w14:paraId="267FACA8" w14:textId="77777777" w:rsidR="00E93045" w:rsidRPr="00E93045" w:rsidRDefault="00E93045" w:rsidP="00E93045">
      <w:pPr>
        <w:widowControl/>
        <w:shd w:val="clear" w:color="auto" w:fill="FFFFFF"/>
        <w:spacing w:before="120" w:after="120" w:line="360" w:lineRule="auto"/>
        <w:ind w:left="851" w:hanging="851"/>
        <w:rPr>
          <w:rFonts w:eastAsia="Calibri"/>
          <w:color w:val="000000"/>
          <w:szCs w:val="22"/>
          <w:lang w:eastAsia="en-US"/>
        </w:rPr>
      </w:pPr>
      <w:r w:rsidRPr="00E93045">
        <w:rPr>
          <w:rFonts w:eastAsia="Calibri"/>
          <w:color w:val="000000"/>
          <w:szCs w:val="22"/>
          <w:lang w:eastAsia="en-US"/>
        </w:rPr>
        <w:t>16)</w:t>
      </w:r>
      <w:r w:rsidRPr="00E93045">
        <w:rPr>
          <w:rFonts w:eastAsia="Calibri"/>
          <w:color w:val="000000"/>
          <w:szCs w:val="22"/>
          <w:lang w:eastAsia="en-US"/>
        </w:rPr>
        <w:tab/>
        <w:t>Vkládá se nový článek 16a, který zní:</w:t>
      </w:r>
    </w:p>
    <w:p w14:paraId="0B0F7CE1" w14:textId="77777777" w:rsidR="00E93045" w:rsidRPr="00E93045" w:rsidRDefault="00E93045" w:rsidP="00E93045">
      <w:pPr>
        <w:widowControl/>
        <w:spacing w:before="120" w:after="120" w:line="360" w:lineRule="auto"/>
        <w:ind w:left="851"/>
        <w:rPr>
          <w:rFonts w:eastAsia="Calibri"/>
          <w:szCs w:val="22"/>
          <w:lang w:eastAsia="en-US"/>
        </w:rPr>
      </w:pPr>
      <w:r w:rsidRPr="00E93045">
        <w:rPr>
          <w:rFonts w:eastAsia="Calibri"/>
          <w:szCs w:val="22"/>
          <w:lang w:eastAsia="en-US"/>
        </w:rPr>
        <w:t>„Článek 16a</w:t>
      </w:r>
    </w:p>
    <w:p w14:paraId="6C368107" w14:textId="77777777" w:rsidR="00E93045" w:rsidRPr="00E93045" w:rsidRDefault="00E93045" w:rsidP="00E93045">
      <w:pPr>
        <w:widowControl/>
        <w:shd w:val="clear" w:color="auto" w:fill="FFFFFF"/>
        <w:spacing w:before="120" w:after="120" w:line="360" w:lineRule="auto"/>
        <w:ind w:left="1418" w:hanging="567"/>
        <w:rPr>
          <w:rFonts w:eastAsia="Calibri"/>
          <w:color w:val="000000"/>
          <w:szCs w:val="22"/>
          <w:lang w:eastAsia="en-US"/>
        </w:rPr>
      </w:pPr>
      <w:r w:rsidRPr="00E93045">
        <w:rPr>
          <w:rFonts w:eastAsia="Calibri"/>
          <w:color w:val="000000"/>
          <w:szCs w:val="22"/>
          <w:lang w:eastAsia="en-US"/>
        </w:rPr>
        <w:t>1.</w:t>
      </w:r>
      <w:r w:rsidRPr="00E93045">
        <w:rPr>
          <w:rFonts w:eastAsia="Calibri"/>
          <w:color w:val="000000"/>
          <w:szCs w:val="22"/>
          <w:lang w:eastAsia="en-US"/>
        </w:rPr>
        <w:tab/>
        <w:t>Do 31. prosince 2025 a poté každých pět let podá Komise zprávu o aktuálním stavu:</w:t>
      </w:r>
    </w:p>
    <w:p w14:paraId="0200D9B7" w14:textId="77777777" w:rsidR="00E93045" w:rsidRPr="00E93045" w:rsidRDefault="00E93045" w:rsidP="00E93045">
      <w:pPr>
        <w:widowControl/>
        <w:shd w:val="clear" w:color="auto" w:fill="FFFFFF"/>
        <w:spacing w:before="120" w:after="120" w:line="360" w:lineRule="auto"/>
        <w:ind w:left="1985" w:hanging="567"/>
        <w:rPr>
          <w:rFonts w:eastAsia="Calibri"/>
          <w:color w:val="000000"/>
          <w:szCs w:val="22"/>
          <w:lang w:eastAsia="en-US"/>
        </w:rPr>
      </w:pPr>
      <w:r w:rsidRPr="00E93045">
        <w:rPr>
          <w:rFonts w:eastAsia="Calibri"/>
          <w:color w:val="000000"/>
          <w:szCs w:val="22"/>
          <w:lang w:eastAsia="en-US"/>
        </w:rPr>
        <w:t>a)</w:t>
      </w:r>
      <w:r w:rsidRPr="00E93045">
        <w:rPr>
          <w:rFonts w:eastAsia="Calibri"/>
          <w:color w:val="000000"/>
          <w:szCs w:val="22"/>
          <w:lang w:eastAsia="en-US"/>
        </w:rPr>
        <w:tab/>
        <w:t>veřejných účtů sektoru vládních institucí v Unii s přihlédnutím k pokroku, jehož bylo dosaženo od roku 2013, kdy Komise provedla posouzení vhodnosti mezinárodních účetních standardů pro veřejný sektor pro členské státy;</w:t>
      </w:r>
    </w:p>
    <w:p w14:paraId="75ACF1CE" w14:textId="77777777" w:rsidR="00E93045" w:rsidRPr="00E93045" w:rsidRDefault="00E93045" w:rsidP="00E93045">
      <w:pPr>
        <w:widowControl/>
        <w:shd w:val="clear" w:color="auto" w:fill="FFFFFF"/>
        <w:spacing w:before="120" w:after="120" w:line="360" w:lineRule="auto"/>
        <w:ind w:left="1985" w:hanging="567"/>
        <w:rPr>
          <w:rFonts w:eastAsia="Calibri"/>
          <w:color w:val="000000"/>
          <w:szCs w:val="22"/>
          <w:lang w:eastAsia="en-US"/>
        </w:rPr>
      </w:pPr>
      <w:r w:rsidRPr="00E93045">
        <w:rPr>
          <w:rFonts w:eastAsia="Calibri"/>
          <w:color w:val="000000"/>
          <w:szCs w:val="22"/>
          <w:lang w:eastAsia="en-US"/>
        </w:rPr>
        <w:t>b)</w:t>
      </w:r>
      <w:r w:rsidRPr="00E93045">
        <w:rPr>
          <w:rFonts w:eastAsia="Calibri"/>
          <w:color w:val="000000"/>
          <w:szCs w:val="22"/>
          <w:lang w:eastAsia="en-US"/>
        </w:rPr>
        <w:tab/>
        <w:t>kapacit a úkolů nezávislých fiskálních institucí v EU s přihlédnutím k pokroku, jehož bylo dosaženo od vstupu této směrnice v platnost, a to na základě zjištění databáze Komise o fiskálním řízení a konzultací s příslušnými zúčastněnými stranami, s cílem prozkoumat minimální standardy.</w:t>
      </w:r>
    </w:p>
    <w:p w14:paraId="06C5721D" w14:textId="77777777" w:rsidR="00E93045" w:rsidRPr="00E93045" w:rsidRDefault="00E93045" w:rsidP="00E93045">
      <w:pPr>
        <w:widowControl/>
        <w:shd w:val="clear" w:color="auto" w:fill="FFFFFF"/>
        <w:spacing w:before="120" w:after="120" w:line="360" w:lineRule="auto"/>
        <w:ind w:left="1418" w:hanging="567"/>
        <w:rPr>
          <w:rFonts w:eastAsia="Calibri"/>
          <w:color w:val="000000"/>
          <w:szCs w:val="22"/>
          <w:lang w:eastAsia="en-US"/>
        </w:rPr>
      </w:pPr>
      <w:r w:rsidRPr="00E93045">
        <w:rPr>
          <w:rFonts w:eastAsia="Calibri"/>
          <w:color w:val="000000"/>
          <w:szCs w:val="22"/>
          <w:lang w:eastAsia="en-US"/>
        </w:rPr>
        <w:t>2.</w:t>
      </w:r>
      <w:r w:rsidRPr="00E93045">
        <w:rPr>
          <w:rFonts w:eastAsia="Calibri"/>
          <w:color w:val="000000"/>
          <w:szCs w:val="22"/>
          <w:lang w:eastAsia="en-US"/>
        </w:rPr>
        <w:tab/>
        <w:t>Do 31. prosince 2030 a poté každých pět let zveřejní Komise přezkum účinnosti této směrnice.“ </w:t>
      </w:r>
    </w:p>
    <w:p w14:paraId="5FB779E8" w14:textId="77777777" w:rsidR="00E93045" w:rsidRPr="00E93045" w:rsidRDefault="00E93045" w:rsidP="00E93045">
      <w:pPr>
        <w:keepNext/>
        <w:widowControl/>
        <w:spacing w:before="120" w:line="360" w:lineRule="auto"/>
        <w:rPr>
          <w:rFonts w:eastAsia="Calibri"/>
          <w:szCs w:val="22"/>
          <w:lang w:eastAsia="en-US"/>
        </w:rPr>
      </w:pPr>
      <w:r w:rsidRPr="00E93045">
        <w:rPr>
          <w:rFonts w:eastAsia="Calibri"/>
          <w:szCs w:val="22"/>
          <w:lang w:eastAsia="en-US"/>
        </w:rPr>
        <w:t>V Bruselu dne ...</w:t>
      </w:r>
    </w:p>
    <w:p w14:paraId="1CCC9C0A" w14:textId="77777777" w:rsidR="00E93045" w:rsidRPr="00E93045" w:rsidRDefault="00E93045" w:rsidP="00E93045">
      <w:pPr>
        <w:keepNext/>
        <w:widowControl/>
        <w:tabs>
          <w:tab w:val="left" w:pos="4252"/>
        </w:tabs>
        <w:spacing w:before="720" w:line="360" w:lineRule="auto"/>
        <w:rPr>
          <w:rFonts w:eastAsia="Calibri"/>
          <w:i/>
          <w:szCs w:val="22"/>
          <w:lang w:eastAsia="en-US"/>
        </w:rPr>
      </w:pPr>
      <w:r w:rsidRPr="00E93045">
        <w:rPr>
          <w:rFonts w:eastAsia="Calibri"/>
          <w:i/>
          <w:szCs w:val="22"/>
          <w:lang w:eastAsia="en-US"/>
        </w:rPr>
        <w:tab/>
        <w:t>Za Radu</w:t>
      </w:r>
    </w:p>
    <w:p w14:paraId="04E3D7CC" w14:textId="560FF0C8" w:rsidR="00E93045" w:rsidRPr="00E93045" w:rsidRDefault="00E93045" w:rsidP="00221620">
      <w:pPr>
        <w:pStyle w:val="Titreobjet"/>
        <w:spacing w:before="0" w:after="0" w:line="360" w:lineRule="auto"/>
        <w:ind w:firstLine="4253"/>
        <w:jc w:val="left"/>
      </w:pPr>
      <w:r w:rsidRPr="00E93045">
        <w:rPr>
          <w:rFonts w:eastAsia="Calibri"/>
          <w:b w:val="0"/>
          <w:i/>
        </w:rPr>
        <w:t xml:space="preserve">předseda </w:t>
      </w:r>
      <w:r w:rsidRPr="00E93045">
        <w:rPr>
          <w:rFonts w:eastAsia="Calibri"/>
          <w:b w:val="0"/>
        </w:rPr>
        <w:t>nebo</w:t>
      </w:r>
      <w:r w:rsidRPr="00E93045">
        <w:rPr>
          <w:rFonts w:eastAsia="Calibri"/>
          <w:b w:val="0"/>
          <w:i/>
        </w:rPr>
        <w:t xml:space="preserve"> předsedkyně</w:t>
      </w:r>
    </w:p>
    <w:sectPr w:rsidR="00E93045" w:rsidRPr="00E93045" w:rsidSect="006365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4BEDC" w14:textId="77777777" w:rsidR="001C7B85" w:rsidRPr="0063653D" w:rsidRDefault="001C7B85">
      <w:r w:rsidRPr="0063653D">
        <w:separator/>
      </w:r>
    </w:p>
  </w:endnote>
  <w:endnote w:type="continuationSeparator" w:id="0">
    <w:p w14:paraId="7620E61E" w14:textId="77777777" w:rsidR="001C7B85" w:rsidRPr="0063653D" w:rsidRDefault="001C7B85">
      <w:r w:rsidRPr="00636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8B7E" w14:textId="77777777" w:rsidR="00064002" w:rsidRPr="006365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9EF4E" w14:textId="77777777" w:rsidR="00064002" w:rsidRPr="006365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619D" w14:textId="77777777" w:rsidR="00064002" w:rsidRPr="006365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0CCBA" w14:textId="77777777" w:rsidR="001C7B85" w:rsidRPr="0063653D" w:rsidRDefault="001C7B85">
      <w:r w:rsidRPr="0063653D">
        <w:separator/>
      </w:r>
    </w:p>
  </w:footnote>
  <w:footnote w:type="continuationSeparator" w:id="0">
    <w:p w14:paraId="31ECCEB0" w14:textId="77777777" w:rsidR="001C7B85" w:rsidRPr="0063653D" w:rsidRDefault="001C7B85">
      <w:r w:rsidRPr="0063653D">
        <w:continuationSeparator/>
      </w:r>
    </w:p>
  </w:footnote>
  <w:footnote w:id="1">
    <w:p w14:paraId="35440015" w14:textId="77777777" w:rsidR="00261DD7" w:rsidRPr="0063653D" w:rsidRDefault="00261DD7" w:rsidP="00AC08D3">
      <w:pPr>
        <w:pStyle w:val="FootnoteText"/>
        <w:ind w:left="851" w:hanging="851"/>
        <w:rPr>
          <w:sz w:val="24"/>
          <w:lang w:val="cs-CZ"/>
        </w:rPr>
      </w:pPr>
      <w:r w:rsidRPr="0063653D">
        <w:rPr>
          <w:rStyle w:val="FootnoteReference"/>
          <w:sz w:val="24"/>
          <w:lang w:val="cs-CZ"/>
        </w:rPr>
        <w:t>*</w:t>
      </w:r>
      <w:r w:rsidR="0063653D" w:rsidRPr="0063653D">
        <w:rPr>
          <w:sz w:val="24"/>
          <w:lang w:val="cs-CZ"/>
        </w:rPr>
        <w:t xml:space="preserve"> </w:t>
      </w:r>
      <w:r w:rsidR="0063653D" w:rsidRPr="0063653D">
        <w:rPr>
          <w:sz w:val="24"/>
          <w:lang w:val="cs-CZ"/>
        </w:rPr>
        <w:tab/>
      </w:r>
      <w:r w:rsidRPr="0063653D">
        <w:rPr>
          <w:sz w:val="24"/>
          <w:lang w:val="cs-CZ"/>
        </w:rPr>
        <w:t>Pozměňovací návrhy: nový text či text nahrazující původní znění je označen tučně a kurzivou, vypuštění textu je označeno symbolem ▌.</w:t>
      </w:r>
    </w:p>
  </w:footnote>
  <w:footnote w:id="2">
    <w:p w14:paraId="1CEE2C34" w14:textId="77777777" w:rsidR="00E93045" w:rsidRPr="00221620" w:rsidRDefault="00E93045" w:rsidP="00E93045">
      <w:pPr>
        <w:pStyle w:val="FootnoteText"/>
        <w:ind w:left="851" w:hanging="851"/>
        <w:rPr>
          <w:sz w:val="24"/>
          <w:szCs w:val="24"/>
          <w:lang w:val="cs-CZ"/>
        </w:rPr>
      </w:pPr>
      <w:r w:rsidRPr="009E2C16">
        <w:rPr>
          <w:rStyle w:val="FootnoteReference"/>
          <w:sz w:val="24"/>
          <w:szCs w:val="24"/>
        </w:rPr>
        <w:footnoteRef/>
      </w:r>
      <w:r w:rsidRPr="00221620">
        <w:rPr>
          <w:sz w:val="24"/>
          <w:szCs w:val="24"/>
          <w:lang w:val="cs-CZ"/>
        </w:rPr>
        <w:tab/>
      </w:r>
      <w:proofErr w:type="spellStart"/>
      <w:r w:rsidRPr="00221620">
        <w:rPr>
          <w:sz w:val="24"/>
          <w:szCs w:val="24"/>
          <w:lang w:val="cs-CZ"/>
        </w:rPr>
        <w:t>Úř</w:t>
      </w:r>
      <w:proofErr w:type="spellEnd"/>
      <w:r w:rsidRPr="00221620">
        <w:rPr>
          <w:sz w:val="24"/>
          <w:szCs w:val="24"/>
          <w:lang w:val="cs-CZ"/>
        </w:rPr>
        <w:t>. </w:t>
      </w:r>
      <w:proofErr w:type="spellStart"/>
      <w:proofErr w:type="gramStart"/>
      <w:r w:rsidRPr="00221620">
        <w:rPr>
          <w:sz w:val="24"/>
          <w:szCs w:val="24"/>
          <w:lang w:val="cs-CZ"/>
        </w:rPr>
        <w:t>věst</w:t>
      </w:r>
      <w:proofErr w:type="spellEnd"/>
      <w:proofErr w:type="gramEnd"/>
      <w:r w:rsidRPr="00221620">
        <w:rPr>
          <w:sz w:val="24"/>
          <w:szCs w:val="24"/>
          <w:lang w:val="cs-CZ"/>
        </w:rPr>
        <w:t xml:space="preserve">. C 290, </w:t>
      </w:r>
      <w:proofErr w:type="gramStart"/>
      <w:r w:rsidRPr="00221620">
        <w:rPr>
          <w:sz w:val="24"/>
          <w:szCs w:val="24"/>
          <w:lang w:val="cs-CZ"/>
        </w:rPr>
        <w:t>18.8.2023</w:t>
      </w:r>
      <w:proofErr w:type="gramEnd"/>
      <w:r w:rsidRPr="00221620">
        <w:rPr>
          <w:sz w:val="24"/>
          <w:szCs w:val="24"/>
          <w:lang w:val="cs-CZ"/>
        </w:rPr>
        <w:t>, s. 17.</w:t>
      </w:r>
    </w:p>
  </w:footnote>
  <w:footnote w:id="3">
    <w:p w14:paraId="78229B55" w14:textId="77777777" w:rsidR="00E93045" w:rsidRPr="00221620" w:rsidRDefault="00E93045" w:rsidP="00E93045">
      <w:pPr>
        <w:pStyle w:val="FootnoteText"/>
        <w:ind w:left="851" w:hanging="851"/>
        <w:rPr>
          <w:sz w:val="24"/>
          <w:szCs w:val="24"/>
          <w:lang w:val="cs-CZ"/>
        </w:rPr>
      </w:pPr>
      <w:r w:rsidRPr="009E2C16">
        <w:rPr>
          <w:rStyle w:val="FootnoteReference"/>
          <w:sz w:val="24"/>
          <w:szCs w:val="24"/>
        </w:rPr>
        <w:footnoteRef/>
      </w:r>
      <w:r w:rsidRPr="00221620">
        <w:rPr>
          <w:sz w:val="24"/>
          <w:szCs w:val="24"/>
          <w:lang w:val="cs-CZ"/>
        </w:rPr>
        <w:tab/>
        <w:t>Směrnice Rady 2011/85/EU ze dne 8. listopadu 2011 o požadavcích na rozpočtové rámce členských států (</w:t>
      </w:r>
      <w:proofErr w:type="spellStart"/>
      <w:r w:rsidRPr="00221620">
        <w:rPr>
          <w:sz w:val="24"/>
          <w:szCs w:val="24"/>
          <w:lang w:val="cs-CZ"/>
        </w:rPr>
        <w:t>Úř</w:t>
      </w:r>
      <w:proofErr w:type="spellEnd"/>
      <w:r w:rsidRPr="00221620">
        <w:rPr>
          <w:sz w:val="24"/>
          <w:szCs w:val="24"/>
          <w:lang w:val="cs-CZ"/>
        </w:rPr>
        <w:t>. </w:t>
      </w:r>
      <w:proofErr w:type="spellStart"/>
      <w:proofErr w:type="gramStart"/>
      <w:r w:rsidRPr="00221620">
        <w:rPr>
          <w:sz w:val="24"/>
          <w:szCs w:val="24"/>
          <w:lang w:val="cs-CZ"/>
        </w:rPr>
        <w:t>věst</w:t>
      </w:r>
      <w:proofErr w:type="spellEnd"/>
      <w:proofErr w:type="gramEnd"/>
      <w:r w:rsidRPr="00221620">
        <w:rPr>
          <w:sz w:val="24"/>
          <w:szCs w:val="24"/>
          <w:lang w:val="cs-CZ"/>
        </w:rPr>
        <w:t xml:space="preserve">. L 306, </w:t>
      </w:r>
      <w:proofErr w:type="gramStart"/>
      <w:r w:rsidRPr="00221620">
        <w:rPr>
          <w:sz w:val="24"/>
          <w:szCs w:val="24"/>
          <w:lang w:val="cs-CZ"/>
        </w:rPr>
        <w:t>23.11.2011</w:t>
      </w:r>
      <w:proofErr w:type="gramEnd"/>
      <w:r w:rsidRPr="00221620">
        <w:rPr>
          <w:sz w:val="24"/>
          <w:szCs w:val="24"/>
          <w:lang w:val="cs-CZ"/>
        </w:rPr>
        <w:t>, s. 41).</w:t>
      </w:r>
    </w:p>
  </w:footnote>
  <w:footnote w:id="4">
    <w:p w14:paraId="62AE00EA" w14:textId="77777777" w:rsidR="00E93045" w:rsidRPr="00221620" w:rsidRDefault="00E93045" w:rsidP="00E93045">
      <w:pPr>
        <w:pStyle w:val="FootnoteText"/>
        <w:ind w:left="851" w:hanging="851"/>
        <w:rPr>
          <w:sz w:val="24"/>
          <w:szCs w:val="24"/>
          <w:lang w:val="cs-CZ"/>
        </w:rPr>
      </w:pPr>
      <w:r w:rsidRPr="009E2C16">
        <w:rPr>
          <w:rStyle w:val="FootnoteReference"/>
          <w:sz w:val="24"/>
          <w:szCs w:val="24"/>
        </w:rPr>
        <w:footnoteRef/>
      </w:r>
      <w:r w:rsidRPr="00221620">
        <w:rPr>
          <w:sz w:val="24"/>
          <w:szCs w:val="24"/>
          <w:lang w:val="cs-CZ"/>
        </w:rPr>
        <w:tab/>
        <w:t>Zvláštní zpráva Evropského účetního dvora z roku 2019 s názvem „Požadavky EU na vnitrostátní rozpočtové rámce: je třeba je dále posílit a lépe sledovat jejich uplatňování“.</w:t>
      </w:r>
    </w:p>
  </w:footnote>
  <w:footnote w:id="5">
    <w:p w14:paraId="486606B8" w14:textId="734936B9" w:rsidR="00E93045" w:rsidRPr="00221620" w:rsidRDefault="00E93045" w:rsidP="00E93045">
      <w:pPr>
        <w:pStyle w:val="FootnoteText"/>
        <w:ind w:left="851" w:hanging="851"/>
        <w:rPr>
          <w:sz w:val="24"/>
          <w:szCs w:val="24"/>
          <w:lang w:val="cs-CZ"/>
        </w:rPr>
      </w:pPr>
      <w:r w:rsidRPr="009E2C16">
        <w:rPr>
          <w:rStyle w:val="FootnoteReference"/>
          <w:sz w:val="24"/>
          <w:szCs w:val="24"/>
        </w:rPr>
        <w:footnoteRef/>
      </w:r>
      <w:r w:rsidRPr="00221620">
        <w:rPr>
          <w:sz w:val="24"/>
          <w:szCs w:val="24"/>
          <w:lang w:val="cs-CZ"/>
        </w:rPr>
        <w:tab/>
        <w:t xml:space="preserve">Sdělení Komise </w:t>
      </w:r>
      <w:proofErr w:type="gramStart"/>
      <w:r w:rsidRPr="00221620">
        <w:rPr>
          <w:sz w:val="24"/>
          <w:szCs w:val="24"/>
          <w:lang w:val="cs-CZ"/>
        </w:rPr>
        <w:t>COM(2020</w:t>
      </w:r>
      <w:proofErr w:type="gramEnd"/>
      <w:r w:rsidRPr="00221620">
        <w:rPr>
          <w:sz w:val="24"/>
          <w:szCs w:val="24"/>
          <w:lang w:val="cs-CZ"/>
        </w:rPr>
        <w:t>)</w:t>
      </w:r>
      <w:r w:rsidR="003E4358">
        <w:rPr>
          <w:sz w:val="24"/>
          <w:szCs w:val="24"/>
          <w:lang w:val="cs-CZ"/>
        </w:rPr>
        <w:t>00</w:t>
      </w:r>
      <w:r w:rsidRPr="00221620">
        <w:rPr>
          <w:sz w:val="24"/>
          <w:szCs w:val="24"/>
          <w:lang w:val="cs-CZ"/>
        </w:rPr>
        <w:t>55 ze dne 5. února 2020 s názvem „Přezkum správy ekonomických záležitostí, Zpráva o používání nařízení (EU) č. 1173/2011, 1174/2011, 1175/2011, 1176/2011, 1177/2011, 472/2013 a 473/2013 a o vhodnosti směrnice Rady 2011/85/EU“.</w:t>
      </w:r>
    </w:p>
  </w:footnote>
  <w:footnote w:id="6">
    <w:p w14:paraId="0D1CA866" w14:textId="5B41FC4F" w:rsidR="00E93045" w:rsidRPr="003E4358" w:rsidRDefault="00E93045" w:rsidP="00E93045">
      <w:pPr>
        <w:pStyle w:val="FootnoteText"/>
        <w:ind w:left="851" w:hanging="851"/>
        <w:rPr>
          <w:sz w:val="24"/>
          <w:szCs w:val="24"/>
          <w:lang w:val="cs-CZ"/>
        </w:rPr>
      </w:pPr>
      <w:r w:rsidRPr="009E2C16">
        <w:rPr>
          <w:rStyle w:val="FootnoteReference"/>
          <w:sz w:val="24"/>
          <w:szCs w:val="24"/>
        </w:rPr>
        <w:footnoteRef/>
      </w:r>
      <w:r w:rsidRPr="003E4358">
        <w:rPr>
          <w:sz w:val="24"/>
          <w:szCs w:val="24"/>
          <w:lang w:val="cs-CZ"/>
        </w:rPr>
        <w:tab/>
        <w:t xml:space="preserve">Sdělení Komise </w:t>
      </w:r>
      <w:proofErr w:type="gramStart"/>
      <w:r w:rsidRPr="003E4358">
        <w:rPr>
          <w:sz w:val="24"/>
          <w:szCs w:val="24"/>
          <w:lang w:val="cs-CZ"/>
        </w:rPr>
        <w:t>COM(2019</w:t>
      </w:r>
      <w:proofErr w:type="gramEnd"/>
      <w:r w:rsidRPr="003E4358">
        <w:rPr>
          <w:sz w:val="24"/>
          <w:szCs w:val="24"/>
          <w:lang w:val="cs-CZ"/>
        </w:rPr>
        <w:t>)</w:t>
      </w:r>
      <w:r w:rsidR="003E4358" w:rsidRPr="003E4358">
        <w:rPr>
          <w:sz w:val="24"/>
          <w:szCs w:val="24"/>
          <w:lang w:val="cs-CZ"/>
        </w:rPr>
        <w:t>0</w:t>
      </w:r>
      <w:r w:rsidRPr="003E4358">
        <w:rPr>
          <w:sz w:val="24"/>
          <w:szCs w:val="24"/>
          <w:lang w:val="cs-CZ"/>
        </w:rPr>
        <w:t>640 s názvem „Zelená dohoda pro Evropu“.</w:t>
      </w:r>
    </w:p>
  </w:footnote>
  <w:footnote w:id="7">
    <w:p w14:paraId="1F750595" w14:textId="5A668D55" w:rsidR="00E93045" w:rsidRPr="003E4358" w:rsidRDefault="00E93045" w:rsidP="00E93045">
      <w:pPr>
        <w:pStyle w:val="FootnoteText"/>
        <w:ind w:left="851" w:hanging="851"/>
        <w:rPr>
          <w:sz w:val="24"/>
          <w:szCs w:val="24"/>
          <w:lang w:val="cs-CZ"/>
        </w:rPr>
      </w:pPr>
      <w:r w:rsidRPr="009E2C16">
        <w:rPr>
          <w:rStyle w:val="FootnoteReference"/>
          <w:sz w:val="24"/>
          <w:szCs w:val="24"/>
        </w:rPr>
        <w:footnoteRef/>
      </w:r>
      <w:r w:rsidRPr="003E4358">
        <w:rPr>
          <w:sz w:val="24"/>
          <w:szCs w:val="24"/>
          <w:lang w:val="cs-CZ"/>
        </w:rPr>
        <w:tab/>
        <w:t xml:space="preserve">Sdělení Komise </w:t>
      </w:r>
      <w:proofErr w:type="gramStart"/>
      <w:r w:rsidRPr="003E4358">
        <w:rPr>
          <w:sz w:val="24"/>
          <w:szCs w:val="24"/>
          <w:lang w:val="cs-CZ"/>
        </w:rPr>
        <w:t>COM(2021</w:t>
      </w:r>
      <w:proofErr w:type="gramEnd"/>
      <w:r w:rsidRPr="003E4358">
        <w:rPr>
          <w:sz w:val="24"/>
          <w:szCs w:val="24"/>
          <w:lang w:val="cs-CZ"/>
        </w:rPr>
        <w:t>)</w:t>
      </w:r>
      <w:r w:rsidR="003E4358" w:rsidRPr="003E4358">
        <w:rPr>
          <w:sz w:val="24"/>
          <w:szCs w:val="24"/>
          <w:lang w:val="cs-CZ"/>
        </w:rPr>
        <w:t>00</w:t>
      </w:r>
      <w:r w:rsidRPr="003E4358">
        <w:rPr>
          <w:sz w:val="24"/>
          <w:szCs w:val="24"/>
          <w:lang w:val="cs-CZ"/>
        </w:rPr>
        <w:t>82 s názvem „Vytvoření Unie odolné vůči změně klimatu – nová strategie EU pro přizpůsobení se změně klimatu“.</w:t>
      </w:r>
    </w:p>
  </w:footnote>
  <w:footnote w:id="8">
    <w:p w14:paraId="6763E544" w14:textId="274969FF" w:rsidR="00E93045" w:rsidRPr="003E4358" w:rsidRDefault="00E93045" w:rsidP="00E93045">
      <w:pPr>
        <w:pStyle w:val="FootnoteText"/>
        <w:ind w:left="851" w:hanging="851"/>
        <w:rPr>
          <w:sz w:val="24"/>
          <w:szCs w:val="24"/>
          <w:lang w:val="cs-CZ"/>
        </w:rPr>
      </w:pPr>
      <w:r w:rsidRPr="009E2C16">
        <w:rPr>
          <w:rStyle w:val="FootnoteReference"/>
          <w:sz w:val="24"/>
          <w:szCs w:val="24"/>
        </w:rPr>
        <w:footnoteRef/>
      </w:r>
      <w:r w:rsidRPr="003E4358">
        <w:rPr>
          <w:sz w:val="24"/>
          <w:szCs w:val="24"/>
          <w:lang w:val="cs-CZ"/>
        </w:rPr>
        <w:tab/>
        <w:t xml:space="preserve">Sdělení Komise </w:t>
      </w:r>
      <w:proofErr w:type="gramStart"/>
      <w:r w:rsidRPr="003E4358">
        <w:rPr>
          <w:sz w:val="24"/>
          <w:szCs w:val="24"/>
          <w:lang w:val="cs-CZ"/>
        </w:rPr>
        <w:t>COM(2022</w:t>
      </w:r>
      <w:proofErr w:type="gramEnd"/>
      <w:r w:rsidRPr="003E4358">
        <w:rPr>
          <w:sz w:val="24"/>
          <w:szCs w:val="24"/>
          <w:lang w:val="cs-CZ"/>
        </w:rPr>
        <w:t>)</w:t>
      </w:r>
      <w:r w:rsidR="003E4358" w:rsidRPr="003E4358">
        <w:rPr>
          <w:sz w:val="24"/>
          <w:szCs w:val="24"/>
          <w:lang w:val="cs-CZ"/>
        </w:rPr>
        <w:t>0</w:t>
      </w:r>
      <w:r w:rsidRPr="003E4358">
        <w:rPr>
          <w:sz w:val="24"/>
          <w:szCs w:val="24"/>
          <w:lang w:val="cs-CZ"/>
        </w:rPr>
        <w:t>583 „o směrech pro reformu rámce správy ekonomických záležitostí EU“.</w:t>
      </w:r>
    </w:p>
  </w:footnote>
  <w:footnote w:id="9">
    <w:p w14:paraId="7E5F4E1F" w14:textId="77777777" w:rsidR="00E93045" w:rsidRPr="00221620" w:rsidRDefault="00E93045" w:rsidP="00E93045">
      <w:pPr>
        <w:pStyle w:val="FootnoteText"/>
        <w:ind w:left="851" w:hanging="851"/>
        <w:rPr>
          <w:i/>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Nařízení</w:t>
      </w:r>
      <w:proofErr w:type="spellEnd"/>
      <w:r w:rsidRPr="00221620">
        <w:rPr>
          <w:sz w:val="24"/>
          <w:szCs w:val="24"/>
          <w:lang w:val="pt-PT"/>
        </w:rPr>
        <w:t xml:space="preserve"> </w:t>
      </w:r>
      <w:proofErr w:type="spellStart"/>
      <w:r w:rsidRPr="00221620">
        <w:rPr>
          <w:sz w:val="24"/>
          <w:szCs w:val="24"/>
          <w:lang w:val="pt-PT"/>
        </w:rPr>
        <w:t>Evropského</w:t>
      </w:r>
      <w:proofErr w:type="spellEnd"/>
      <w:r w:rsidRPr="00221620">
        <w:rPr>
          <w:sz w:val="24"/>
          <w:szCs w:val="24"/>
          <w:lang w:val="pt-PT"/>
        </w:rPr>
        <w:t xml:space="preserve"> </w:t>
      </w:r>
      <w:proofErr w:type="spellStart"/>
      <w:r w:rsidRPr="00221620">
        <w:rPr>
          <w:sz w:val="24"/>
          <w:szCs w:val="24"/>
          <w:lang w:val="pt-PT"/>
        </w:rPr>
        <w:t>parlamentu</w:t>
      </w:r>
      <w:proofErr w:type="spellEnd"/>
      <w:r w:rsidRPr="00221620">
        <w:rPr>
          <w:sz w:val="24"/>
          <w:szCs w:val="24"/>
          <w:lang w:val="pt-PT"/>
        </w:rPr>
        <w:t xml:space="preserve"> a </w:t>
      </w:r>
      <w:proofErr w:type="spellStart"/>
      <w:r w:rsidRPr="00221620">
        <w:rPr>
          <w:sz w:val="24"/>
          <w:szCs w:val="24"/>
          <w:lang w:val="pt-PT"/>
        </w:rPr>
        <w:t>Rady</w:t>
      </w:r>
      <w:proofErr w:type="spellEnd"/>
      <w:r w:rsidRPr="00221620">
        <w:rPr>
          <w:sz w:val="24"/>
          <w:szCs w:val="24"/>
          <w:lang w:val="pt-PT"/>
        </w:rPr>
        <w:t xml:space="preserve"> (EU)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w:t>
      </w:r>
      <w:proofErr w:type="spellStart"/>
      <w:r w:rsidRPr="00221620">
        <w:rPr>
          <w:i/>
          <w:sz w:val="24"/>
          <w:szCs w:val="24"/>
          <w:lang w:val="pt-PT"/>
        </w:rPr>
        <w:t>vložte</w:t>
      </w:r>
      <w:proofErr w:type="spellEnd"/>
      <w:r w:rsidRPr="00221620">
        <w:rPr>
          <w:i/>
          <w:sz w:val="24"/>
          <w:szCs w:val="24"/>
          <w:lang w:val="pt-PT"/>
        </w:rPr>
        <w:t xml:space="preserve"> </w:t>
      </w:r>
      <w:proofErr w:type="spellStart"/>
      <w:r w:rsidRPr="00221620">
        <w:rPr>
          <w:i/>
          <w:sz w:val="24"/>
          <w:szCs w:val="24"/>
          <w:lang w:val="pt-PT"/>
        </w:rPr>
        <w:t>datum</w:t>
      </w:r>
      <w:proofErr w:type="spellEnd"/>
      <w:r w:rsidRPr="00221620">
        <w:rPr>
          <w:sz w:val="24"/>
          <w:szCs w:val="24"/>
          <w:lang w:val="pt-PT"/>
        </w:rPr>
        <w:t>] [</w:t>
      </w:r>
      <w:proofErr w:type="spellStart"/>
      <w:r w:rsidRPr="00221620">
        <w:rPr>
          <w:i/>
          <w:sz w:val="24"/>
          <w:szCs w:val="24"/>
          <w:lang w:val="pt-PT"/>
        </w:rPr>
        <w:t>vložte</w:t>
      </w:r>
      <w:proofErr w:type="spellEnd"/>
      <w:r w:rsidRPr="00221620">
        <w:rPr>
          <w:i/>
          <w:sz w:val="24"/>
          <w:szCs w:val="24"/>
          <w:lang w:val="pt-PT"/>
        </w:rPr>
        <w:t xml:space="preserve"> </w:t>
      </w:r>
      <w:proofErr w:type="spellStart"/>
      <w:r w:rsidRPr="00221620">
        <w:rPr>
          <w:i/>
          <w:sz w:val="24"/>
          <w:szCs w:val="24"/>
          <w:lang w:val="pt-PT"/>
        </w:rPr>
        <w:t>úplný</w:t>
      </w:r>
      <w:proofErr w:type="spellEnd"/>
      <w:r w:rsidRPr="00221620">
        <w:rPr>
          <w:i/>
          <w:sz w:val="24"/>
          <w:szCs w:val="24"/>
          <w:lang w:val="pt-PT"/>
        </w:rPr>
        <w:t xml:space="preserve"> </w:t>
      </w:r>
      <w:proofErr w:type="spellStart"/>
      <w:r w:rsidRPr="00221620">
        <w:rPr>
          <w:i/>
          <w:sz w:val="24"/>
          <w:szCs w:val="24"/>
          <w:lang w:val="pt-PT"/>
        </w:rPr>
        <w:t>název</w:t>
      </w:r>
      <w:proofErr w:type="spellEnd"/>
      <w:r w:rsidRPr="00221620">
        <w:rPr>
          <w:sz w:val="24"/>
          <w:szCs w:val="24"/>
          <w:lang w:val="pt-PT"/>
        </w:rPr>
        <w:t>] (</w:t>
      </w:r>
      <w:proofErr w:type="spellStart"/>
      <w:r w:rsidRPr="00221620">
        <w:rPr>
          <w:sz w:val="24"/>
          <w:szCs w:val="24"/>
          <w:lang w:val="pt-PT"/>
        </w:rPr>
        <w:t>Úř</w:t>
      </w:r>
      <w:proofErr w:type="spellEnd"/>
      <w:r w:rsidRPr="00221620">
        <w:rPr>
          <w:sz w:val="24"/>
          <w:szCs w:val="24"/>
          <w:lang w:val="pt-PT"/>
        </w:rPr>
        <w:t xml:space="preserve">. </w:t>
      </w:r>
      <w:proofErr w:type="spellStart"/>
      <w:r w:rsidRPr="00221620">
        <w:rPr>
          <w:sz w:val="24"/>
          <w:szCs w:val="24"/>
          <w:lang w:val="pt-PT"/>
        </w:rPr>
        <w:t>věst</w:t>
      </w:r>
      <w:proofErr w:type="spellEnd"/>
      <w:r w:rsidRPr="00221620">
        <w:rPr>
          <w:sz w:val="24"/>
          <w:szCs w:val="24"/>
          <w:lang w:val="pt-PT"/>
        </w:rPr>
        <w:t>. L ...).</w:t>
      </w:r>
    </w:p>
  </w:footnote>
  <w:footnote w:id="10">
    <w:p w14:paraId="2944F519" w14:textId="77777777" w:rsidR="00E93045" w:rsidRPr="00221620" w:rsidRDefault="00E93045" w:rsidP="00E93045">
      <w:pPr>
        <w:pStyle w:val="FootnoteText"/>
        <w:ind w:left="851" w:hanging="851"/>
        <w:rPr>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Nařízení</w:t>
      </w:r>
      <w:proofErr w:type="spellEnd"/>
      <w:r w:rsidRPr="00221620">
        <w:rPr>
          <w:sz w:val="24"/>
          <w:szCs w:val="24"/>
          <w:lang w:val="pt-PT"/>
        </w:rPr>
        <w:t xml:space="preserve"> </w:t>
      </w:r>
      <w:proofErr w:type="spellStart"/>
      <w:r w:rsidRPr="00221620">
        <w:rPr>
          <w:sz w:val="24"/>
          <w:szCs w:val="24"/>
          <w:lang w:val="pt-PT"/>
        </w:rPr>
        <w:t>Rady</w:t>
      </w:r>
      <w:proofErr w:type="spellEnd"/>
      <w:r w:rsidRPr="00221620">
        <w:rPr>
          <w:sz w:val="24"/>
          <w:szCs w:val="24"/>
          <w:lang w:val="pt-PT"/>
        </w:rPr>
        <w:t xml:space="preserve"> (ES) č. 1466/97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7. </w:t>
      </w:r>
      <w:proofErr w:type="spellStart"/>
      <w:r w:rsidRPr="00221620">
        <w:rPr>
          <w:sz w:val="24"/>
          <w:szCs w:val="24"/>
          <w:lang w:val="pt-PT"/>
        </w:rPr>
        <w:t>července</w:t>
      </w:r>
      <w:proofErr w:type="spellEnd"/>
      <w:r w:rsidRPr="00221620">
        <w:rPr>
          <w:sz w:val="24"/>
          <w:szCs w:val="24"/>
          <w:lang w:val="pt-PT"/>
        </w:rPr>
        <w:t xml:space="preserve"> 1997 o </w:t>
      </w:r>
      <w:proofErr w:type="spellStart"/>
      <w:r w:rsidRPr="00221620">
        <w:rPr>
          <w:sz w:val="24"/>
          <w:szCs w:val="24"/>
          <w:lang w:val="pt-PT"/>
        </w:rPr>
        <w:t>posílení</w:t>
      </w:r>
      <w:proofErr w:type="spellEnd"/>
      <w:r w:rsidRPr="00221620">
        <w:rPr>
          <w:sz w:val="24"/>
          <w:szCs w:val="24"/>
          <w:lang w:val="pt-PT"/>
        </w:rPr>
        <w:t xml:space="preserve"> </w:t>
      </w:r>
      <w:proofErr w:type="spellStart"/>
      <w:r w:rsidRPr="00221620">
        <w:rPr>
          <w:sz w:val="24"/>
          <w:szCs w:val="24"/>
          <w:lang w:val="pt-PT"/>
        </w:rPr>
        <w:t>dohledu</w:t>
      </w:r>
      <w:proofErr w:type="spellEnd"/>
      <w:r w:rsidRPr="00221620">
        <w:rPr>
          <w:sz w:val="24"/>
          <w:szCs w:val="24"/>
          <w:lang w:val="pt-PT"/>
        </w:rPr>
        <w:t xml:space="preserve"> </w:t>
      </w:r>
      <w:proofErr w:type="spellStart"/>
      <w:r w:rsidRPr="00221620">
        <w:rPr>
          <w:sz w:val="24"/>
          <w:szCs w:val="24"/>
          <w:lang w:val="pt-PT"/>
        </w:rPr>
        <w:t>nad</w:t>
      </w:r>
      <w:proofErr w:type="spellEnd"/>
      <w:r w:rsidRPr="00221620">
        <w:rPr>
          <w:sz w:val="24"/>
          <w:szCs w:val="24"/>
          <w:lang w:val="pt-PT"/>
        </w:rPr>
        <w:t xml:space="preserve"> </w:t>
      </w:r>
      <w:proofErr w:type="spellStart"/>
      <w:r w:rsidRPr="00221620">
        <w:rPr>
          <w:sz w:val="24"/>
          <w:szCs w:val="24"/>
          <w:lang w:val="pt-PT"/>
        </w:rPr>
        <w:t>stavy</w:t>
      </w:r>
      <w:proofErr w:type="spellEnd"/>
      <w:r w:rsidRPr="00221620">
        <w:rPr>
          <w:sz w:val="24"/>
          <w:szCs w:val="24"/>
          <w:lang w:val="pt-PT"/>
        </w:rPr>
        <w:t xml:space="preserve"> </w:t>
      </w:r>
      <w:proofErr w:type="spellStart"/>
      <w:r w:rsidRPr="00221620">
        <w:rPr>
          <w:sz w:val="24"/>
          <w:szCs w:val="24"/>
          <w:lang w:val="pt-PT"/>
        </w:rPr>
        <w:t>rozpočtů</w:t>
      </w:r>
      <w:proofErr w:type="spellEnd"/>
      <w:r w:rsidRPr="00221620">
        <w:rPr>
          <w:sz w:val="24"/>
          <w:szCs w:val="24"/>
          <w:lang w:val="pt-PT"/>
        </w:rPr>
        <w:t xml:space="preserve"> a </w:t>
      </w:r>
      <w:proofErr w:type="spellStart"/>
      <w:r w:rsidRPr="00221620">
        <w:rPr>
          <w:sz w:val="24"/>
          <w:szCs w:val="24"/>
          <w:lang w:val="pt-PT"/>
        </w:rPr>
        <w:t>nad</w:t>
      </w:r>
      <w:proofErr w:type="spellEnd"/>
      <w:r w:rsidRPr="00221620">
        <w:rPr>
          <w:sz w:val="24"/>
          <w:szCs w:val="24"/>
          <w:lang w:val="pt-PT"/>
        </w:rPr>
        <w:t xml:space="preserve"> </w:t>
      </w:r>
      <w:proofErr w:type="spellStart"/>
      <w:r w:rsidRPr="00221620">
        <w:rPr>
          <w:sz w:val="24"/>
          <w:szCs w:val="24"/>
          <w:lang w:val="pt-PT"/>
        </w:rPr>
        <w:t>hospodářskými</w:t>
      </w:r>
      <w:proofErr w:type="spellEnd"/>
      <w:r w:rsidRPr="00221620">
        <w:rPr>
          <w:sz w:val="24"/>
          <w:szCs w:val="24"/>
          <w:lang w:val="pt-PT"/>
        </w:rPr>
        <w:t xml:space="preserve"> </w:t>
      </w:r>
      <w:proofErr w:type="spellStart"/>
      <w:r w:rsidRPr="00221620">
        <w:rPr>
          <w:sz w:val="24"/>
          <w:szCs w:val="24"/>
          <w:lang w:val="pt-PT"/>
        </w:rPr>
        <w:t>politikami</w:t>
      </w:r>
      <w:proofErr w:type="spellEnd"/>
      <w:r w:rsidRPr="00221620">
        <w:rPr>
          <w:sz w:val="24"/>
          <w:szCs w:val="24"/>
          <w:lang w:val="pt-PT"/>
        </w:rPr>
        <w:t xml:space="preserve"> a o </w:t>
      </w:r>
      <w:proofErr w:type="spellStart"/>
      <w:r w:rsidRPr="00221620">
        <w:rPr>
          <w:sz w:val="24"/>
          <w:szCs w:val="24"/>
          <w:lang w:val="pt-PT"/>
        </w:rPr>
        <w:t>posílení</w:t>
      </w:r>
      <w:proofErr w:type="spellEnd"/>
      <w:r w:rsidRPr="00221620">
        <w:rPr>
          <w:sz w:val="24"/>
          <w:szCs w:val="24"/>
          <w:lang w:val="pt-PT"/>
        </w:rPr>
        <w:t xml:space="preserve"> </w:t>
      </w:r>
      <w:proofErr w:type="spellStart"/>
      <w:r w:rsidRPr="00221620">
        <w:rPr>
          <w:sz w:val="24"/>
          <w:szCs w:val="24"/>
          <w:lang w:val="pt-PT"/>
        </w:rPr>
        <w:t>koordinace</w:t>
      </w:r>
      <w:proofErr w:type="spellEnd"/>
      <w:r w:rsidRPr="00221620">
        <w:rPr>
          <w:sz w:val="24"/>
          <w:szCs w:val="24"/>
          <w:lang w:val="pt-PT"/>
        </w:rPr>
        <w:t xml:space="preserve"> </w:t>
      </w:r>
      <w:proofErr w:type="spellStart"/>
      <w:r w:rsidRPr="00221620">
        <w:rPr>
          <w:sz w:val="24"/>
          <w:szCs w:val="24"/>
          <w:lang w:val="pt-PT"/>
        </w:rPr>
        <w:t>hospodářských</w:t>
      </w:r>
      <w:proofErr w:type="spellEnd"/>
      <w:r w:rsidRPr="00221620">
        <w:rPr>
          <w:sz w:val="24"/>
          <w:szCs w:val="24"/>
          <w:lang w:val="pt-PT"/>
        </w:rPr>
        <w:t xml:space="preserve"> </w:t>
      </w:r>
      <w:proofErr w:type="spellStart"/>
      <w:r w:rsidRPr="00221620">
        <w:rPr>
          <w:sz w:val="24"/>
          <w:szCs w:val="24"/>
          <w:lang w:val="pt-PT"/>
        </w:rPr>
        <w:t>politik</w:t>
      </w:r>
      <w:proofErr w:type="spellEnd"/>
      <w:r w:rsidRPr="00221620">
        <w:rPr>
          <w:sz w:val="24"/>
          <w:szCs w:val="24"/>
          <w:lang w:val="pt-PT"/>
        </w:rPr>
        <w:t xml:space="preserve"> (</w:t>
      </w:r>
      <w:proofErr w:type="spellStart"/>
      <w:r w:rsidRPr="00221620">
        <w:rPr>
          <w:sz w:val="24"/>
          <w:szCs w:val="24"/>
          <w:lang w:val="pt-PT"/>
        </w:rPr>
        <w:t>Úř</w:t>
      </w:r>
      <w:proofErr w:type="spellEnd"/>
      <w:r w:rsidRPr="00221620">
        <w:rPr>
          <w:sz w:val="24"/>
          <w:szCs w:val="24"/>
          <w:lang w:val="pt-PT"/>
        </w:rPr>
        <w:t>. </w:t>
      </w:r>
      <w:proofErr w:type="spellStart"/>
      <w:r w:rsidRPr="00221620">
        <w:rPr>
          <w:sz w:val="24"/>
          <w:szCs w:val="24"/>
          <w:lang w:val="pt-PT"/>
        </w:rPr>
        <w:t>věst</w:t>
      </w:r>
      <w:proofErr w:type="spellEnd"/>
      <w:r w:rsidRPr="00221620">
        <w:rPr>
          <w:sz w:val="24"/>
          <w:szCs w:val="24"/>
          <w:lang w:val="pt-PT"/>
        </w:rPr>
        <w:t>. L 209, 2.8.1997, s. 1).</w:t>
      </w:r>
    </w:p>
  </w:footnote>
  <w:footnote w:id="11">
    <w:p w14:paraId="557B810B" w14:textId="77777777" w:rsidR="00E93045" w:rsidRPr="00221620" w:rsidRDefault="00E93045" w:rsidP="00E93045">
      <w:pPr>
        <w:pStyle w:val="FootnoteText"/>
        <w:ind w:left="851" w:hanging="851"/>
        <w:rPr>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Nařízení</w:t>
      </w:r>
      <w:proofErr w:type="spellEnd"/>
      <w:r w:rsidRPr="00221620">
        <w:rPr>
          <w:sz w:val="24"/>
          <w:szCs w:val="24"/>
          <w:lang w:val="pt-PT"/>
        </w:rPr>
        <w:t xml:space="preserve"> </w:t>
      </w:r>
      <w:proofErr w:type="spellStart"/>
      <w:r w:rsidRPr="00221620">
        <w:rPr>
          <w:sz w:val="24"/>
          <w:szCs w:val="24"/>
          <w:lang w:val="pt-PT"/>
        </w:rPr>
        <w:t>Rady</w:t>
      </w:r>
      <w:proofErr w:type="spellEnd"/>
      <w:r w:rsidRPr="00221620">
        <w:rPr>
          <w:sz w:val="24"/>
          <w:szCs w:val="24"/>
          <w:lang w:val="pt-PT"/>
        </w:rPr>
        <w:t xml:space="preserve"> (EU)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w:t>
      </w:r>
      <w:proofErr w:type="spellStart"/>
      <w:r w:rsidRPr="00221620">
        <w:rPr>
          <w:i/>
          <w:sz w:val="24"/>
          <w:szCs w:val="24"/>
          <w:lang w:val="pt-PT"/>
        </w:rPr>
        <w:t>vložte</w:t>
      </w:r>
      <w:proofErr w:type="spellEnd"/>
      <w:r w:rsidRPr="00221620">
        <w:rPr>
          <w:i/>
          <w:sz w:val="24"/>
          <w:szCs w:val="24"/>
          <w:lang w:val="pt-PT"/>
        </w:rPr>
        <w:t xml:space="preserve"> </w:t>
      </w:r>
      <w:proofErr w:type="spellStart"/>
      <w:r w:rsidRPr="00221620">
        <w:rPr>
          <w:i/>
          <w:sz w:val="24"/>
          <w:szCs w:val="24"/>
          <w:lang w:val="pt-PT"/>
        </w:rPr>
        <w:t>datum</w:t>
      </w:r>
      <w:proofErr w:type="spellEnd"/>
      <w:r w:rsidRPr="00221620">
        <w:rPr>
          <w:sz w:val="24"/>
          <w:szCs w:val="24"/>
          <w:lang w:val="pt-PT"/>
        </w:rPr>
        <w:t>] [</w:t>
      </w:r>
      <w:proofErr w:type="spellStart"/>
      <w:r w:rsidRPr="00221620">
        <w:rPr>
          <w:i/>
          <w:sz w:val="24"/>
          <w:szCs w:val="24"/>
          <w:lang w:val="pt-PT"/>
        </w:rPr>
        <w:t>vložte</w:t>
      </w:r>
      <w:proofErr w:type="spellEnd"/>
      <w:r w:rsidRPr="00221620">
        <w:rPr>
          <w:i/>
          <w:sz w:val="24"/>
          <w:szCs w:val="24"/>
          <w:lang w:val="pt-PT"/>
        </w:rPr>
        <w:t xml:space="preserve"> </w:t>
      </w:r>
      <w:proofErr w:type="spellStart"/>
      <w:r w:rsidRPr="00221620">
        <w:rPr>
          <w:i/>
          <w:sz w:val="24"/>
          <w:szCs w:val="24"/>
          <w:lang w:val="pt-PT"/>
        </w:rPr>
        <w:t>úplný</w:t>
      </w:r>
      <w:proofErr w:type="spellEnd"/>
      <w:r w:rsidRPr="00221620">
        <w:rPr>
          <w:i/>
          <w:sz w:val="24"/>
          <w:szCs w:val="24"/>
          <w:lang w:val="pt-PT"/>
        </w:rPr>
        <w:t xml:space="preserve"> </w:t>
      </w:r>
      <w:proofErr w:type="spellStart"/>
      <w:r w:rsidRPr="00221620">
        <w:rPr>
          <w:i/>
          <w:sz w:val="24"/>
          <w:szCs w:val="24"/>
          <w:lang w:val="pt-PT"/>
        </w:rPr>
        <w:t>název</w:t>
      </w:r>
      <w:proofErr w:type="spellEnd"/>
      <w:r w:rsidRPr="00221620">
        <w:rPr>
          <w:sz w:val="24"/>
          <w:szCs w:val="24"/>
          <w:lang w:val="pt-PT"/>
        </w:rPr>
        <w:t>] (</w:t>
      </w:r>
      <w:proofErr w:type="spellStart"/>
      <w:r w:rsidRPr="00221620">
        <w:rPr>
          <w:sz w:val="24"/>
          <w:szCs w:val="24"/>
          <w:lang w:val="pt-PT"/>
        </w:rPr>
        <w:t>Úř</w:t>
      </w:r>
      <w:proofErr w:type="spellEnd"/>
      <w:r w:rsidRPr="00221620">
        <w:rPr>
          <w:sz w:val="24"/>
          <w:szCs w:val="24"/>
          <w:lang w:val="pt-PT"/>
        </w:rPr>
        <w:t>. </w:t>
      </w:r>
      <w:proofErr w:type="spellStart"/>
      <w:r w:rsidRPr="00221620">
        <w:rPr>
          <w:sz w:val="24"/>
          <w:szCs w:val="24"/>
          <w:lang w:val="pt-PT"/>
        </w:rPr>
        <w:t>věst</w:t>
      </w:r>
      <w:proofErr w:type="spellEnd"/>
      <w:r w:rsidRPr="00221620">
        <w:rPr>
          <w:sz w:val="24"/>
          <w:szCs w:val="24"/>
          <w:lang w:val="pt-PT"/>
        </w:rPr>
        <w:t>. L</w:t>
      </w:r>
      <w:proofErr w:type="gramStart"/>
      <w:r w:rsidRPr="00221620">
        <w:rPr>
          <w:sz w:val="24"/>
          <w:szCs w:val="24"/>
          <w:lang w:val="pt-PT"/>
        </w:rPr>
        <w:t xml:space="preserve"> ..</w:t>
      </w:r>
      <w:proofErr w:type="gramEnd"/>
      <w:r w:rsidRPr="00221620">
        <w:rPr>
          <w:sz w:val="24"/>
          <w:szCs w:val="24"/>
          <w:lang w:val="pt-PT"/>
        </w:rPr>
        <w:t>).</w:t>
      </w:r>
    </w:p>
  </w:footnote>
  <w:footnote w:id="12">
    <w:p w14:paraId="7E126F57" w14:textId="77777777" w:rsidR="00E93045" w:rsidRPr="00221620" w:rsidRDefault="00E93045" w:rsidP="00E93045">
      <w:pPr>
        <w:pStyle w:val="FootnoteText"/>
        <w:ind w:left="851" w:hanging="851"/>
        <w:rPr>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Nařízení</w:t>
      </w:r>
      <w:proofErr w:type="spellEnd"/>
      <w:r w:rsidRPr="00221620">
        <w:rPr>
          <w:sz w:val="24"/>
          <w:szCs w:val="24"/>
          <w:lang w:val="pt-PT"/>
        </w:rPr>
        <w:t xml:space="preserve"> </w:t>
      </w:r>
      <w:proofErr w:type="spellStart"/>
      <w:r w:rsidRPr="00221620">
        <w:rPr>
          <w:sz w:val="24"/>
          <w:szCs w:val="24"/>
          <w:lang w:val="pt-PT"/>
        </w:rPr>
        <w:t>Rady</w:t>
      </w:r>
      <w:proofErr w:type="spellEnd"/>
      <w:r w:rsidRPr="00221620">
        <w:rPr>
          <w:sz w:val="24"/>
          <w:szCs w:val="24"/>
          <w:lang w:val="pt-PT"/>
        </w:rPr>
        <w:t xml:space="preserve"> (ES) č. 1467/97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7. </w:t>
      </w:r>
      <w:proofErr w:type="spellStart"/>
      <w:r w:rsidRPr="00221620">
        <w:rPr>
          <w:sz w:val="24"/>
          <w:szCs w:val="24"/>
          <w:lang w:val="pt-PT"/>
        </w:rPr>
        <w:t>července</w:t>
      </w:r>
      <w:proofErr w:type="spellEnd"/>
      <w:r w:rsidRPr="00221620">
        <w:rPr>
          <w:sz w:val="24"/>
          <w:szCs w:val="24"/>
          <w:lang w:val="pt-PT"/>
        </w:rPr>
        <w:t xml:space="preserve"> 1997 o </w:t>
      </w:r>
      <w:proofErr w:type="spellStart"/>
      <w:r w:rsidRPr="00221620">
        <w:rPr>
          <w:sz w:val="24"/>
          <w:szCs w:val="24"/>
          <w:lang w:val="pt-PT"/>
        </w:rPr>
        <w:t>urychlení</w:t>
      </w:r>
      <w:proofErr w:type="spellEnd"/>
      <w:r w:rsidRPr="00221620">
        <w:rPr>
          <w:sz w:val="24"/>
          <w:szCs w:val="24"/>
          <w:lang w:val="pt-PT"/>
        </w:rPr>
        <w:t xml:space="preserve"> a </w:t>
      </w:r>
      <w:proofErr w:type="spellStart"/>
      <w:r w:rsidRPr="00221620">
        <w:rPr>
          <w:sz w:val="24"/>
          <w:szCs w:val="24"/>
          <w:lang w:val="pt-PT"/>
        </w:rPr>
        <w:t>vyjasnění</w:t>
      </w:r>
      <w:proofErr w:type="spellEnd"/>
      <w:r w:rsidRPr="00221620">
        <w:rPr>
          <w:sz w:val="24"/>
          <w:szCs w:val="24"/>
          <w:lang w:val="pt-PT"/>
        </w:rPr>
        <w:t xml:space="preserve"> </w:t>
      </w:r>
      <w:proofErr w:type="spellStart"/>
      <w:r w:rsidRPr="00221620">
        <w:rPr>
          <w:sz w:val="24"/>
          <w:szCs w:val="24"/>
          <w:lang w:val="pt-PT"/>
        </w:rPr>
        <w:t>postupu</w:t>
      </w:r>
      <w:proofErr w:type="spellEnd"/>
      <w:r w:rsidRPr="00221620">
        <w:rPr>
          <w:sz w:val="24"/>
          <w:szCs w:val="24"/>
          <w:lang w:val="pt-PT"/>
        </w:rPr>
        <w:t xml:space="preserve"> </w:t>
      </w:r>
      <w:proofErr w:type="spellStart"/>
      <w:r w:rsidRPr="00221620">
        <w:rPr>
          <w:sz w:val="24"/>
          <w:szCs w:val="24"/>
          <w:lang w:val="pt-PT"/>
        </w:rPr>
        <w:t>při</w:t>
      </w:r>
      <w:proofErr w:type="spellEnd"/>
      <w:r w:rsidRPr="00221620">
        <w:rPr>
          <w:sz w:val="24"/>
          <w:szCs w:val="24"/>
          <w:lang w:val="pt-PT"/>
        </w:rPr>
        <w:t xml:space="preserve"> </w:t>
      </w:r>
      <w:proofErr w:type="spellStart"/>
      <w:r w:rsidRPr="00221620">
        <w:rPr>
          <w:sz w:val="24"/>
          <w:szCs w:val="24"/>
          <w:lang w:val="pt-PT"/>
        </w:rPr>
        <w:t>nadměrném</w:t>
      </w:r>
      <w:proofErr w:type="spellEnd"/>
      <w:r w:rsidRPr="00221620">
        <w:rPr>
          <w:sz w:val="24"/>
          <w:szCs w:val="24"/>
          <w:lang w:val="pt-PT"/>
        </w:rPr>
        <w:t xml:space="preserve"> </w:t>
      </w:r>
      <w:proofErr w:type="spellStart"/>
      <w:r w:rsidRPr="00221620">
        <w:rPr>
          <w:sz w:val="24"/>
          <w:szCs w:val="24"/>
          <w:lang w:val="pt-PT"/>
        </w:rPr>
        <w:t>schodku</w:t>
      </w:r>
      <w:proofErr w:type="spellEnd"/>
      <w:r w:rsidRPr="00221620">
        <w:rPr>
          <w:sz w:val="24"/>
          <w:szCs w:val="24"/>
          <w:lang w:val="pt-PT"/>
        </w:rPr>
        <w:t xml:space="preserve"> (</w:t>
      </w:r>
      <w:proofErr w:type="spellStart"/>
      <w:r w:rsidRPr="00221620">
        <w:rPr>
          <w:sz w:val="24"/>
          <w:szCs w:val="24"/>
          <w:lang w:val="pt-PT"/>
        </w:rPr>
        <w:t>Úř</w:t>
      </w:r>
      <w:proofErr w:type="spellEnd"/>
      <w:r w:rsidRPr="00221620">
        <w:rPr>
          <w:sz w:val="24"/>
          <w:szCs w:val="24"/>
          <w:lang w:val="pt-PT"/>
        </w:rPr>
        <w:t>. </w:t>
      </w:r>
      <w:proofErr w:type="spellStart"/>
      <w:r w:rsidRPr="00221620">
        <w:rPr>
          <w:sz w:val="24"/>
          <w:szCs w:val="24"/>
          <w:lang w:val="pt-PT"/>
        </w:rPr>
        <w:t>věst</w:t>
      </w:r>
      <w:proofErr w:type="spellEnd"/>
      <w:r w:rsidRPr="00221620">
        <w:rPr>
          <w:sz w:val="24"/>
          <w:szCs w:val="24"/>
          <w:lang w:val="pt-PT"/>
        </w:rPr>
        <w:t>. L 209, 2.8.1997, s. 6).</w:t>
      </w:r>
    </w:p>
  </w:footnote>
  <w:footnote w:id="13">
    <w:p w14:paraId="24464F79" w14:textId="77777777" w:rsidR="00E93045" w:rsidRPr="00221620" w:rsidRDefault="00E93045" w:rsidP="00E93045">
      <w:pPr>
        <w:pStyle w:val="FootnoteText"/>
        <w:ind w:left="851" w:hanging="851"/>
        <w:contextualSpacing/>
        <w:rPr>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Smlouva</w:t>
      </w:r>
      <w:proofErr w:type="spellEnd"/>
      <w:r w:rsidRPr="00221620">
        <w:rPr>
          <w:sz w:val="24"/>
          <w:szCs w:val="24"/>
          <w:lang w:val="pt-PT"/>
        </w:rPr>
        <w:t xml:space="preserve"> o </w:t>
      </w:r>
      <w:proofErr w:type="spellStart"/>
      <w:r w:rsidRPr="00221620">
        <w:rPr>
          <w:sz w:val="24"/>
          <w:szCs w:val="24"/>
          <w:lang w:val="pt-PT"/>
        </w:rPr>
        <w:t>stabilitě</w:t>
      </w:r>
      <w:proofErr w:type="spellEnd"/>
      <w:r w:rsidRPr="00221620">
        <w:rPr>
          <w:sz w:val="24"/>
          <w:szCs w:val="24"/>
          <w:lang w:val="pt-PT"/>
        </w:rPr>
        <w:t xml:space="preserve">, </w:t>
      </w:r>
      <w:proofErr w:type="spellStart"/>
      <w:r w:rsidRPr="00221620">
        <w:rPr>
          <w:sz w:val="24"/>
          <w:szCs w:val="24"/>
          <w:lang w:val="pt-PT"/>
        </w:rPr>
        <w:t>koordinaci</w:t>
      </w:r>
      <w:proofErr w:type="spellEnd"/>
      <w:r w:rsidRPr="00221620">
        <w:rPr>
          <w:sz w:val="24"/>
          <w:szCs w:val="24"/>
          <w:lang w:val="pt-PT"/>
        </w:rPr>
        <w:t xml:space="preserve"> a </w:t>
      </w:r>
      <w:proofErr w:type="spellStart"/>
      <w:r w:rsidRPr="00221620">
        <w:rPr>
          <w:sz w:val="24"/>
          <w:szCs w:val="24"/>
          <w:lang w:val="pt-PT"/>
        </w:rPr>
        <w:t>správě</w:t>
      </w:r>
      <w:proofErr w:type="spellEnd"/>
      <w:r w:rsidRPr="00221620">
        <w:rPr>
          <w:sz w:val="24"/>
          <w:szCs w:val="24"/>
          <w:lang w:val="pt-PT"/>
        </w:rPr>
        <w:t xml:space="preserve"> v </w:t>
      </w:r>
      <w:proofErr w:type="spellStart"/>
      <w:r w:rsidRPr="00221620">
        <w:rPr>
          <w:sz w:val="24"/>
          <w:szCs w:val="24"/>
          <w:lang w:val="pt-PT"/>
        </w:rPr>
        <w:t>hospodářské</w:t>
      </w:r>
      <w:proofErr w:type="spellEnd"/>
      <w:r w:rsidRPr="00221620">
        <w:rPr>
          <w:sz w:val="24"/>
          <w:szCs w:val="24"/>
          <w:lang w:val="pt-PT"/>
        </w:rPr>
        <w:t xml:space="preserve"> a </w:t>
      </w:r>
      <w:proofErr w:type="spellStart"/>
      <w:r w:rsidRPr="00221620">
        <w:rPr>
          <w:sz w:val="24"/>
          <w:szCs w:val="24"/>
          <w:lang w:val="pt-PT"/>
        </w:rPr>
        <w:t>měnové</w:t>
      </w:r>
      <w:proofErr w:type="spellEnd"/>
      <w:r w:rsidRPr="00221620">
        <w:rPr>
          <w:sz w:val="24"/>
          <w:szCs w:val="24"/>
          <w:lang w:val="pt-PT"/>
        </w:rPr>
        <w:t xml:space="preserve"> </w:t>
      </w:r>
      <w:proofErr w:type="spellStart"/>
      <w:r w:rsidRPr="00221620">
        <w:rPr>
          <w:sz w:val="24"/>
          <w:szCs w:val="24"/>
          <w:lang w:val="pt-PT"/>
        </w:rPr>
        <w:t>unii</w:t>
      </w:r>
      <w:proofErr w:type="spellEnd"/>
      <w:r w:rsidRPr="00221620">
        <w:rPr>
          <w:sz w:val="24"/>
          <w:szCs w:val="24"/>
          <w:lang w:val="pt-PT"/>
        </w:rPr>
        <w:t xml:space="preserve">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2. </w:t>
      </w:r>
      <w:proofErr w:type="spellStart"/>
      <w:r w:rsidRPr="00221620">
        <w:rPr>
          <w:sz w:val="24"/>
          <w:szCs w:val="24"/>
          <w:lang w:val="pt-PT"/>
        </w:rPr>
        <w:t>března</w:t>
      </w:r>
      <w:proofErr w:type="spellEnd"/>
      <w:r w:rsidRPr="00221620">
        <w:rPr>
          <w:sz w:val="24"/>
          <w:szCs w:val="24"/>
          <w:lang w:val="pt-PT"/>
        </w:rPr>
        <w:t xml:space="preserve"> 2012.</w:t>
      </w:r>
    </w:p>
  </w:footnote>
  <w:footnote w:id="14">
    <w:p w14:paraId="386399F7" w14:textId="6E775191" w:rsidR="00E93045" w:rsidRPr="00221620" w:rsidRDefault="00E93045" w:rsidP="00E93045">
      <w:pPr>
        <w:pStyle w:val="FootnoteText"/>
        <w:ind w:left="851" w:hanging="851"/>
        <w:rPr>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Sdělení</w:t>
      </w:r>
      <w:proofErr w:type="spellEnd"/>
      <w:r w:rsidRPr="00221620">
        <w:rPr>
          <w:sz w:val="24"/>
          <w:szCs w:val="24"/>
          <w:lang w:val="pt-PT"/>
        </w:rPr>
        <w:t xml:space="preserve"> </w:t>
      </w:r>
      <w:proofErr w:type="spellStart"/>
      <w:r w:rsidRPr="00221620">
        <w:rPr>
          <w:sz w:val="24"/>
          <w:szCs w:val="24"/>
          <w:lang w:val="pt-PT"/>
        </w:rPr>
        <w:t>Komise</w:t>
      </w:r>
      <w:proofErr w:type="spellEnd"/>
      <w:r w:rsidRPr="00221620">
        <w:rPr>
          <w:sz w:val="24"/>
          <w:szCs w:val="24"/>
          <w:lang w:val="pt-PT"/>
        </w:rPr>
        <w:t xml:space="preserve"> </w:t>
      </w:r>
      <w:proofErr w:type="gramStart"/>
      <w:r w:rsidRPr="00221620">
        <w:rPr>
          <w:sz w:val="24"/>
          <w:szCs w:val="24"/>
          <w:lang w:val="pt-PT"/>
        </w:rPr>
        <w:t>COM(</w:t>
      </w:r>
      <w:proofErr w:type="gramEnd"/>
      <w:r w:rsidRPr="00221620">
        <w:rPr>
          <w:sz w:val="24"/>
          <w:szCs w:val="24"/>
          <w:lang w:val="pt-PT"/>
        </w:rPr>
        <w:t>2012)</w:t>
      </w:r>
      <w:r w:rsidR="003E4358">
        <w:rPr>
          <w:sz w:val="24"/>
          <w:szCs w:val="24"/>
          <w:lang w:val="pt-PT"/>
        </w:rPr>
        <w:t>0</w:t>
      </w:r>
      <w:r w:rsidRPr="00221620">
        <w:rPr>
          <w:sz w:val="24"/>
          <w:szCs w:val="24"/>
          <w:lang w:val="pt-PT"/>
        </w:rPr>
        <w:t xml:space="preserve">342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20. </w:t>
      </w:r>
      <w:proofErr w:type="spellStart"/>
      <w:r w:rsidRPr="00221620">
        <w:rPr>
          <w:sz w:val="24"/>
          <w:szCs w:val="24"/>
          <w:lang w:val="pt-PT"/>
        </w:rPr>
        <w:t>června</w:t>
      </w:r>
      <w:proofErr w:type="spellEnd"/>
      <w:r w:rsidRPr="00221620">
        <w:rPr>
          <w:sz w:val="24"/>
          <w:szCs w:val="24"/>
          <w:lang w:val="pt-PT"/>
        </w:rPr>
        <w:t xml:space="preserve"> 2012 s </w:t>
      </w:r>
      <w:proofErr w:type="spellStart"/>
      <w:r w:rsidRPr="00221620">
        <w:rPr>
          <w:sz w:val="24"/>
          <w:szCs w:val="24"/>
          <w:lang w:val="pt-PT"/>
        </w:rPr>
        <w:t>názvem</w:t>
      </w:r>
      <w:proofErr w:type="spellEnd"/>
      <w:r w:rsidRPr="00221620">
        <w:rPr>
          <w:sz w:val="24"/>
          <w:szCs w:val="24"/>
          <w:lang w:val="pt-PT"/>
        </w:rPr>
        <w:t xml:space="preserve"> „</w:t>
      </w:r>
      <w:proofErr w:type="spellStart"/>
      <w:r w:rsidRPr="00221620">
        <w:rPr>
          <w:sz w:val="24"/>
          <w:szCs w:val="24"/>
          <w:lang w:val="pt-PT"/>
        </w:rPr>
        <w:t>Společné</w:t>
      </w:r>
      <w:proofErr w:type="spellEnd"/>
      <w:r w:rsidRPr="00221620">
        <w:rPr>
          <w:sz w:val="24"/>
          <w:szCs w:val="24"/>
          <w:lang w:val="pt-PT"/>
        </w:rPr>
        <w:t xml:space="preserve"> </w:t>
      </w:r>
      <w:proofErr w:type="spellStart"/>
      <w:r w:rsidRPr="00221620">
        <w:rPr>
          <w:sz w:val="24"/>
          <w:szCs w:val="24"/>
          <w:lang w:val="pt-PT"/>
        </w:rPr>
        <w:t>zásady</w:t>
      </w:r>
      <w:proofErr w:type="spellEnd"/>
      <w:r w:rsidRPr="00221620">
        <w:rPr>
          <w:sz w:val="24"/>
          <w:szCs w:val="24"/>
          <w:lang w:val="pt-PT"/>
        </w:rPr>
        <w:t xml:space="preserve"> pro </w:t>
      </w:r>
      <w:proofErr w:type="spellStart"/>
      <w:r w:rsidRPr="00221620">
        <w:rPr>
          <w:sz w:val="24"/>
          <w:szCs w:val="24"/>
          <w:lang w:val="pt-PT"/>
        </w:rPr>
        <w:t>vnitrostátní</w:t>
      </w:r>
      <w:proofErr w:type="spellEnd"/>
      <w:r w:rsidRPr="00221620">
        <w:rPr>
          <w:sz w:val="24"/>
          <w:szCs w:val="24"/>
          <w:lang w:val="pt-PT"/>
        </w:rPr>
        <w:t xml:space="preserve"> </w:t>
      </w:r>
      <w:proofErr w:type="spellStart"/>
      <w:r w:rsidRPr="00221620">
        <w:rPr>
          <w:sz w:val="24"/>
          <w:szCs w:val="24"/>
          <w:lang w:val="pt-PT"/>
        </w:rPr>
        <w:t>rozpočtové</w:t>
      </w:r>
      <w:proofErr w:type="spellEnd"/>
      <w:r w:rsidRPr="00221620">
        <w:rPr>
          <w:sz w:val="24"/>
          <w:szCs w:val="24"/>
          <w:lang w:val="pt-PT"/>
        </w:rPr>
        <w:t xml:space="preserve"> </w:t>
      </w:r>
      <w:proofErr w:type="spellStart"/>
      <w:r w:rsidRPr="00221620">
        <w:rPr>
          <w:sz w:val="24"/>
          <w:szCs w:val="24"/>
          <w:lang w:val="pt-PT"/>
        </w:rPr>
        <w:t>mechanismy</w:t>
      </w:r>
      <w:proofErr w:type="spellEnd"/>
      <w:r w:rsidRPr="00221620">
        <w:rPr>
          <w:sz w:val="24"/>
          <w:szCs w:val="24"/>
          <w:lang w:val="pt-PT"/>
        </w:rPr>
        <w:t xml:space="preserve"> </w:t>
      </w:r>
      <w:proofErr w:type="spellStart"/>
      <w:proofErr w:type="gramStart"/>
      <w:r w:rsidRPr="00221620">
        <w:rPr>
          <w:sz w:val="24"/>
          <w:szCs w:val="24"/>
          <w:lang w:val="pt-PT"/>
        </w:rPr>
        <w:t>nápravy</w:t>
      </w:r>
      <w:proofErr w:type="spellEnd"/>
      <w:r w:rsidRPr="00221620">
        <w:rPr>
          <w:sz w:val="24"/>
          <w:szCs w:val="24"/>
          <w:lang w:val="pt-PT"/>
        </w:rPr>
        <w:t>“</w:t>
      </w:r>
      <w:proofErr w:type="gramEnd"/>
      <w:r w:rsidRPr="00221620">
        <w:rPr>
          <w:sz w:val="24"/>
          <w:szCs w:val="24"/>
          <w:lang w:val="pt-PT"/>
        </w:rPr>
        <w:t>.</w:t>
      </w:r>
    </w:p>
  </w:footnote>
  <w:footnote w:id="15">
    <w:p w14:paraId="60167DBB" w14:textId="77777777" w:rsidR="00E93045" w:rsidRPr="00221620" w:rsidRDefault="00E93045" w:rsidP="00E93045">
      <w:pPr>
        <w:pStyle w:val="FootnoteText"/>
        <w:ind w:left="851" w:hanging="851"/>
        <w:rPr>
          <w:sz w:val="24"/>
          <w:szCs w:val="24"/>
          <w:lang w:val="pt-PT"/>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Nařízení</w:t>
      </w:r>
      <w:proofErr w:type="spellEnd"/>
      <w:r w:rsidRPr="00221620">
        <w:rPr>
          <w:sz w:val="24"/>
          <w:szCs w:val="24"/>
          <w:lang w:val="pt-PT"/>
        </w:rPr>
        <w:t xml:space="preserve"> </w:t>
      </w:r>
      <w:proofErr w:type="spellStart"/>
      <w:r w:rsidRPr="00221620">
        <w:rPr>
          <w:sz w:val="24"/>
          <w:szCs w:val="24"/>
          <w:lang w:val="pt-PT"/>
        </w:rPr>
        <w:t>Evropského</w:t>
      </w:r>
      <w:proofErr w:type="spellEnd"/>
      <w:r w:rsidRPr="00221620">
        <w:rPr>
          <w:sz w:val="24"/>
          <w:szCs w:val="24"/>
          <w:lang w:val="pt-PT"/>
        </w:rPr>
        <w:t xml:space="preserve"> </w:t>
      </w:r>
      <w:proofErr w:type="spellStart"/>
      <w:r w:rsidRPr="00221620">
        <w:rPr>
          <w:sz w:val="24"/>
          <w:szCs w:val="24"/>
          <w:lang w:val="pt-PT"/>
        </w:rPr>
        <w:t>parlamentu</w:t>
      </w:r>
      <w:proofErr w:type="spellEnd"/>
      <w:r w:rsidRPr="00221620">
        <w:rPr>
          <w:sz w:val="24"/>
          <w:szCs w:val="24"/>
          <w:lang w:val="pt-PT"/>
        </w:rPr>
        <w:t xml:space="preserve"> a </w:t>
      </w:r>
      <w:proofErr w:type="spellStart"/>
      <w:r w:rsidRPr="00221620">
        <w:rPr>
          <w:sz w:val="24"/>
          <w:szCs w:val="24"/>
          <w:lang w:val="pt-PT"/>
        </w:rPr>
        <w:t>Rady</w:t>
      </w:r>
      <w:proofErr w:type="spellEnd"/>
      <w:r w:rsidRPr="00221620">
        <w:rPr>
          <w:sz w:val="24"/>
          <w:szCs w:val="24"/>
          <w:lang w:val="pt-PT"/>
        </w:rPr>
        <w:t xml:space="preserve"> (EU) č. 473/2013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21. </w:t>
      </w:r>
      <w:proofErr w:type="spellStart"/>
      <w:r w:rsidRPr="00221620">
        <w:rPr>
          <w:sz w:val="24"/>
          <w:szCs w:val="24"/>
          <w:lang w:val="pt-PT"/>
        </w:rPr>
        <w:t>května</w:t>
      </w:r>
      <w:proofErr w:type="spellEnd"/>
      <w:r w:rsidRPr="00221620">
        <w:rPr>
          <w:sz w:val="24"/>
          <w:szCs w:val="24"/>
          <w:lang w:val="pt-PT"/>
        </w:rPr>
        <w:t xml:space="preserve"> 2013 o </w:t>
      </w:r>
      <w:proofErr w:type="spellStart"/>
      <w:r w:rsidRPr="00221620">
        <w:rPr>
          <w:sz w:val="24"/>
          <w:szCs w:val="24"/>
          <w:lang w:val="pt-PT"/>
        </w:rPr>
        <w:t>společných</w:t>
      </w:r>
      <w:proofErr w:type="spellEnd"/>
      <w:r w:rsidRPr="00221620">
        <w:rPr>
          <w:sz w:val="24"/>
          <w:szCs w:val="24"/>
          <w:lang w:val="pt-PT"/>
        </w:rPr>
        <w:t xml:space="preserve"> </w:t>
      </w:r>
      <w:proofErr w:type="spellStart"/>
      <w:r w:rsidRPr="00221620">
        <w:rPr>
          <w:sz w:val="24"/>
          <w:szCs w:val="24"/>
          <w:lang w:val="pt-PT"/>
        </w:rPr>
        <w:t>ustanoveních</w:t>
      </w:r>
      <w:proofErr w:type="spellEnd"/>
      <w:r w:rsidRPr="00221620">
        <w:rPr>
          <w:sz w:val="24"/>
          <w:szCs w:val="24"/>
          <w:lang w:val="pt-PT"/>
        </w:rPr>
        <w:t xml:space="preserve"> </w:t>
      </w:r>
      <w:proofErr w:type="spellStart"/>
      <w:r w:rsidRPr="00221620">
        <w:rPr>
          <w:sz w:val="24"/>
          <w:szCs w:val="24"/>
          <w:lang w:val="pt-PT"/>
        </w:rPr>
        <w:t>týkajících</w:t>
      </w:r>
      <w:proofErr w:type="spellEnd"/>
      <w:r w:rsidRPr="00221620">
        <w:rPr>
          <w:sz w:val="24"/>
          <w:szCs w:val="24"/>
          <w:lang w:val="pt-PT"/>
        </w:rPr>
        <w:t xml:space="preserve"> se </w:t>
      </w:r>
      <w:proofErr w:type="spellStart"/>
      <w:r w:rsidRPr="00221620">
        <w:rPr>
          <w:sz w:val="24"/>
          <w:szCs w:val="24"/>
          <w:lang w:val="pt-PT"/>
        </w:rPr>
        <w:t>sledování</w:t>
      </w:r>
      <w:proofErr w:type="spellEnd"/>
      <w:r w:rsidRPr="00221620">
        <w:rPr>
          <w:sz w:val="24"/>
          <w:szCs w:val="24"/>
          <w:lang w:val="pt-PT"/>
        </w:rPr>
        <w:t xml:space="preserve"> a </w:t>
      </w:r>
      <w:proofErr w:type="spellStart"/>
      <w:r w:rsidRPr="00221620">
        <w:rPr>
          <w:sz w:val="24"/>
          <w:szCs w:val="24"/>
          <w:lang w:val="pt-PT"/>
        </w:rPr>
        <w:t>posuzování</w:t>
      </w:r>
      <w:proofErr w:type="spellEnd"/>
      <w:r w:rsidRPr="00221620">
        <w:rPr>
          <w:sz w:val="24"/>
          <w:szCs w:val="24"/>
          <w:lang w:val="pt-PT"/>
        </w:rPr>
        <w:t xml:space="preserve"> </w:t>
      </w:r>
      <w:proofErr w:type="spellStart"/>
      <w:r w:rsidRPr="00221620">
        <w:rPr>
          <w:sz w:val="24"/>
          <w:szCs w:val="24"/>
          <w:lang w:val="pt-PT"/>
        </w:rPr>
        <w:t>návrhů</w:t>
      </w:r>
      <w:proofErr w:type="spellEnd"/>
      <w:r w:rsidRPr="00221620">
        <w:rPr>
          <w:sz w:val="24"/>
          <w:szCs w:val="24"/>
          <w:lang w:val="pt-PT"/>
        </w:rPr>
        <w:t xml:space="preserve"> </w:t>
      </w:r>
      <w:proofErr w:type="spellStart"/>
      <w:r w:rsidRPr="00221620">
        <w:rPr>
          <w:sz w:val="24"/>
          <w:szCs w:val="24"/>
          <w:lang w:val="pt-PT"/>
        </w:rPr>
        <w:t>rozpočtových</w:t>
      </w:r>
      <w:proofErr w:type="spellEnd"/>
      <w:r w:rsidRPr="00221620">
        <w:rPr>
          <w:sz w:val="24"/>
          <w:szCs w:val="24"/>
          <w:lang w:val="pt-PT"/>
        </w:rPr>
        <w:t xml:space="preserve"> </w:t>
      </w:r>
      <w:proofErr w:type="spellStart"/>
      <w:r w:rsidRPr="00221620">
        <w:rPr>
          <w:sz w:val="24"/>
          <w:szCs w:val="24"/>
          <w:lang w:val="pt-PT"/>
        </w:rPr>
        <w:t>plánů</w:t>
      </w:r>
      <w:proofErr w:type="spellEnd"/>
      <w:r w:rsidRPr="00221620">
        <w:rPr>
          <w:sz w:val="24"/>
          <w:szCs w:val="24"/>
          <w:lang w:val="pt-PT"/>
        </w:rPr>
        <w:t xml:space="preserve"> a </w:t>
      </w:r>
      <w:proofErr w:type="spellStart"/>
      <w:r w:rsidRPr="00221620">
        <w:rPr>
          <w:sz w:val="24"/>
          <w:szCs w:val="24"/>
          <w:lang w:val="pt-PT"/>
        </w:rPr>
        <w:t>zajišťování</w:t>
      </w:r>
      <w:proofErr w:type="spellEnd"/>
      <w:r w:rsidRPr="00221620">
        <w:rPr>
          <w:sz w:val="24"/>
          <w:szCs w:val="24"/>
          <w:lang w:val="pt-PT"/>
        </w:rPr>
        <w:t xml:space="preserve"> </w:t>
      </w:r>
      <w:proofErr w:type="spellStart"/>
      <w:r w:rsidRPr="00221620">
        <w:rPr>
          <w:sz w:val="24"/>
          <w:szCs w:val="24"/>
          <w:lang w:val="pt-PT"/>
        </w:rPr>
        <w:t>nápravy</w:t>
      </w:r>
      <w:proofErr w:type="spellEnd"/>
      <w:r w:rsidRPr="00221620">
        <w:rPr>
          <w:sz w:val="24"/>
          <w:szCs w:val="24"/>
          <w:lang w:val="pt-PT"/>
        </w:rPr>
        <w:t xml:space="preserve"> </w:t>
      </w:r>
      <w:proofErr w:type="spellStart"/>
      <w:r w:rsidRPr="00221620">
        <w:rPr>
          <w:sz w:val="24"/>
          <w:szCs w:val="24"/>
          <w:lang w:val="pt-PT"/>
        </w:rPr>
        <w:t>nadměrného</w:t>
      </w:r>
      <w:proofErr w:type="spellEnd"/>
      <w:r w:rsidRPr="00221620">
        <w:rPr>
          <w:sz w:val="24"/>
          <w:szCs w:val="24"/>
          <w:lang w:val="pt-PT"/>
        </w:rPr>
        <w:t xml:space="preserve"> </w:t>
      </w:r>
      <w:proofErr w:type="spellStart"/>
      <w:r w:rsidRPr="00221620">
        <w:rPr>
          <w:sz w:val="24"/>
          <w:szCs w:val="24"/>
          <w:lang w:val="pt-PT"/>
        </w:rPr>
        <w:t>schodku</w:t>
      </w:r>
      <w:proofErr w:type="spellEnd"/>
      <w:r w:rsidRPr="00221620">
        <w:rPr>
          <w:sz w:val="24"/>
          <w:szCs w:val="24"/>
          <w:lang w:val="pt-PT"/>
        </w:rPr>
        <w:t xml:space="preserve"> </w:t>
      </w:r>
      <w:proofErr w:type="spellStart"/>
      <w:r w:rsidRPr="00221620">
        <w:rPr>
          <w:sz w:val="24"/>
          <w:szCs w:val="24"/>
          <w:lang w:val="pt-PT"/>
        </w:rPr>
        <w:t>členských</w:t>
      </w:r>
      <w:proofErr w:type="spellEnd"/>
      <w:r w:rsidRPr="00221620">
        <w:rPr>
          <w:sz w:val="24"/>
          <w:szCs w:val="24"/>
          <w:lang w:val="pt-PT"/>
        </w:rPr>
        <w:t xml:space="preserve"> </w:t>
      </w:r>
      <w:proofErr w:type="spellStart"/>
      <w:r w:rsidRPr="00221620">
        <w:rPr>
          <w:sz w:val="24"/>
          <w:szCs w:val="24"/>
          <w:lang w:val="pt-PT"/>
        </w:rPr>
        <w:t>států</w:t>
      </w:r>
      <w:proofErr w:type="spellEnd"/>
      <w:r w:rsidRPr="00221620">
        <w:rPr>
          <w:sz w:val="24"/>
          <w:szCs w:val="24"/>
          <w:lang w:val="pt-PT"/>
        </w:rPr>
        <w:t xml:space="preserve"> v </w:t>
      </w:r>
      <w:proofErr w:type="spellStart"/>
      <w:r w:rsidRPr="00221620">
        <w:rPr>
          <w:sz w:val="24"/>
          <w:szCs w:val="24"/>
          <w:lang w:val="pt-PT"/>
        </w:rPr>
        <w:t>eurozóně</w:t>
      </w:r>
      <w:proofErr w:type="spellEnd"/>
      <w:r w:rsidRPr="00221620">
        <w:rPr>
          <w:sz w:val="24"/>
          <w:szCs w:val="24"/>
          <w:lang w:val="pt-PT"/>
        </w:rPr>
        <w:t xml:space="preserve"> (</w:t>
      </w:r>
      <w:proofErr w:type="spellStart"/>
      <w:r w:rsidRPr="00221620">
        <w:rPr>
          <w:sz w:val="24"/>
          <w:szCs w:val="24"/>
          <w:lang w:val="pt-PT"/>
        </w:rPr>
        <w:t>Úř</w:t>
      </w:r>
      <w:proofErr w:type="spellEnd"/>
      <w:r w:rsidRPr="00221620">
        <w:rPr>
          <w:sz w:val="24"/>
          <w:szCs w:val="24"/>
          <w:lang w:val="pt-PT"/>
        </w:rPr>
        <w:t xml:space="preserve">. </w:t>
      </w:r>
      <w:proofErr w:type="spellStart"/>
      <w:r w:rsidRPr="00221620">
        <w:rPr>
          <w:sz w:val="24"/>
          <w:szCs w:val="24"/>
          <w:lang w:val="pt-PT"/>
        </w:rPr>
        <w:t>věst</w:t>
      </w:r>
      <w:proofErr w:type="spellEnd"/>
      <w:r w:rsidRPr="00221620">
        <w:rPr>
          <w:sz w:val="24"/>
          <w:szCs w:val="24"/>
          <w:lang w:val="pt-PT"/>
        </w:rPr>
        <w:t>. L 140, 27.5.2013, s. 11).</w:t>
      </w:r>
    </w:p>
  </w:footnote>
  <w:footnote w:id="16">
    <w:p w14:paraId="59E26971" w14:textId="5BFB617D" w:rsidR="00E93045" w:rsidRPr="009E2C16" w:rsidRDefault="00E93045" w:rsidP="00E93045">
      <w:pPr>
        <w:pStyle w:val="FootnoteText"/>
        <w:ind w:left="851" w:hanging="851"/>
        <w:rPr>
          <w:sz w:val="24"/>
          <w:szCs w:val="24"/>
        </w:rPr>
      </w:pPr>
      <w:r w:rsidRPr="009E2C16">
        <w:rPr>
          <w:rStyle w:val="FootnoteReference"/>
          <w:sz w:val="24"/>
          <w:szCs w:val="24"/>
        </w:rPr>
        <w:footnoteRef/>
      </w:r>
      <w:r w:rsidRPr="00221620">
        <w:rPr>
          <w:sz w:val="24"/>
          <w:szCs w:val="24"/>
          <w:lang w:val="pt-PT"/>
        </w:rPr>
        <w:tab/>
      </w:r>
      <w:proofErr w:type="spellStart"/>
      <w:r w:rsidRPr="00221620">
        <w:rPr>
          <w:sz w:val="24"/>
          <w:szCs w:val="24"/>
          <w:lang w:val="pt-PT"/>
        </w:rPr>
        <w:t>Sdělení</w:t>
      </w:r>
      <w:proofErr w:type="spellEnd"/>
      <w:r w:rsidRPr="00221620">
        <w:rPr>
          <w:sz w:val="24"/>
          <w:szCs w:val="24"/>
          <w:lang w:val="pt-PT"/>
        </w:rPr>
        <w:t xml:space="preserve"> </w:t>
      </w:r>
      <w:proofErr w:type="spellStart"/>
      <w:r w:rsidRPr="00221620">
        <w:rPr>
          <w:sz w:val="24"/>
          <w:szCs w:val="24"/>
          <w:lang w:val="pt-PT"/>
        </w:rPr>
        <w:t>Komise</w:t>
      </w:r>
      <w:proofErr w:type="spellEnd"/>
      <w:r w:rsidRPr="00221620">
        <w:rPr>
          <w:sz w:val="24"/>
          <w:szCs w:val="24"/>
          <w:lang w:val="pt-PT"/>
        </w:rPr>
        <w:t xml:space="preserve"> </w:t>
      </w:r>
      <w:proofErr w:type="gramStart"/>
      <w:r w:rsidRPr="00221620">
        <w:rPr>
          <w:sz w:val="24"/>
          <w:szCs w:val="24"/>
          <w:lang w:val="pt-PT"/>
        </w:rPr>
        <w:t>COM(</w:t>
      </w:r>
      <w:proofErr w:type="gramEnd"/>
      <w:r w:rsidRPr="00221620">
        <w:rPr>
          <w:sz w:val="24"/>
          <w:szCs w:val="24"/>
          <w:lang w:val="pt-PT"/>
        </w:rPr>
        <w:t>2022)</w:t>
      </w:r>
      <w:r w:rsidR="003E4358">
        <w:rPr>
          <w:sz w:val="24"/>
          <w:szCs w:val="24"/>
          <w:lang w:val="pt-PT"/>
        </w:rPr>
        <w:t>0</w:t>
      </w:r>
      <w:r w:rsidRPr="00221620">
        <w:rPr>
          <w:sz w:val="24"/>
          <w:szCs w:val="24"/>
          <w:lang w:val="pt-PT"/>
        </w:rPr>
        <w:t xml:space="preserve">494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28. </w:t>
      </w:r>
      <w:proofErr w:type="spellStart"/>
      <w:r w:rsidRPr="00221620">
        <w:rPr>
          <w:sz w:val="24"/>
          <w:szCs w:val="24"/>
          <w:lang w:val="pt-PT"/>
        </w:rPr>
        <w:t>září</w:t>
      </w:r>
      <w:proofErr w:type="spellEnd"/>
      <w:r w:rsidRPr="00221620">
        <w:rPr>
          <w:sz w:val="24"/>
          <w:szCs w:val="24"/>
          <w:lang w:val="pt-PT"/>
        </w:rPr>
        <w:t xml:space="preserve"> 2022 s </w:t>
      </w:r>
      <w:proofErr w:type="spellStart"/>
      <w:r w:rsidRPr="00221620">
        <w:rPr>
          <w:sz w:val="24"/>
          <w:szCs w:val="24"/>
          <w:lang w:val="pt-PT"/>
        </w:rPr>
        <w:t>názvem</w:t>
      </w:r>
      <w:proofErr w:type="spellEnd"/>
      <w:r w:rsidRPr="00221620">
        <w:rPr>
          <w:sz w:val="24"/>
          <w:szCs w:val="24"/>
          <w:lang w:val="pt-PT"/>
        </w:rPr>
        <w:t xml:space="preserve"> „</w:t>
      </w:r>
      <w:proofErr w:type="spellStart"/>
      <w:r w:rsidRPr="00221620">
        <w:rPr>
          <w:sz w:val="24"/>
          <w:szCs w:val="24"/>
          <w:lang w:val="pt-PT"/>
        </w:rPr>
        <w:t>Lepší</w:t>
      </w:r>
      <w:proofErr w:type="spellEnd"/>
      <w:r w:rsidRPr="00221620">
        <w:rPr>
          <w:sz w:val="24"/>
          <w:szCs w:val="24"/>
          <w:lang w:val="pt-PT"/>
        </w:rPr>
        <w:t xml:space="preserve"> </w:t>
      </w:r>
      <w:proofErr w:type="spellStart"/>
      <w:r w:rsidRPr="00221620">
        <w:rPr>
          <w:sz w:val="24"/>
          <w:szCs w:val="24"/>
          <w:lang w:val="pt-PT"/>
        </w:rPr>
        <w:t>posouzení</w:t>
      </w:r>
      <w:proofErr w:type="spellEnd"/>
      <w:r w:rsidRPr="00221620">
        <w:rPr>
          <w:sz w:val="24"/>
          <w:szCs w:val="24"/>
          <w:lang w:val="pt-PT"/>
        </w:rPr>
        <w:t xml:space="preserve"> </w:t>
      </w:r>
      <w:proofErr w:type="spellStart"/>
      <w:r w:rsidRPr="00221620">
        <w:rPr>
          <w:sz w:val="24"/>
          <w:szCs w:val="24"/>
          <w:lang w:val="pt-PT"/>
        </w:rPr>
        <w:t>distribučního</w:t>
      </w:r>
      <w:proofErr w:type="spellEnd"/>
      <w:r w:rsidRPr="00221620">
        <w:rPr>
          <w:sz w:val="24"/>
          <w:szCs w:val="24"/>
          <w:lang w:val="pt-PT"/>
        </w:rPr>
        <w:t xml:space="preserve"> </w:t>
      </w:r>
      <w:proofErr w:type="spellStart"/>
      <w:r w:rsidRPr="00221620">
        <w:rPr>
          <w:sz w:val="24"/>
          <w:szCs w:val="24"/>
          <w:lang w:val="pt-PT"/>
        </w:rPr>
        <w:t>dopadu</w:t>
      </w:r>
      <w:proofErr w:type="spellEnd"/>
      <w:r w:rsidRPr="00221620">
        <w:rPr>
          <w:sz w:val="24"/>
          <w:szCs w:val="24"/>
          <w:lang w:val="pt-PT"/>
        </w:rPr>
        <w:t xml:space="preserve"> </w:t>
      </w:r>
      <w:proofErr w:type="spellStart"/>
      <w:r w:rsidRPr="00221620">
        <w:rPr>
          <w:sz w:val="24"/>
          <w:szCs w:val="24"/>
          <w:lang w:val="pt-PT"/>
        </w:rPr>
        <w:t>politik</w:t>
      </w:r>
      <w:proofErr w:type="spellEnd"/>
      <w:r w:rsidRPr="00221620">
        <w:rPr>
          <w:sz w:val="24"/>
          <w:szCs w:val="24"/>
          <w:lang w:val="pt-PT"/>
        </w:rPr>
        <w:t xml:space="preserve"> </w:t>
      </w:r>
      <w:proofErr w:type="spellStart"/>
      <w:r w:rsidRPr="00221620">
        <w:rPr>
          <w:sz w:val="24"/>
          <w:szCs w:val="24"/>
          <w:lang w:val="pt-PT"/>
        </w:rPr>
        <w:t>členských</w:t>
      </w:r>
      <w:proofErr w:type="spellEnd"/>
      <w:r w:rsidRPr="00221620">
        <w:rPr>
          <w:sz w:val="24"/>
          <w:szCs w:val="24"/>
          <w:lang w:val="pt-PT"/>
        </w:rPr>
        <w:t xml:space="preserve"> </w:t>
      </w:r>
      <w:proofErr w:type="spellStart"/>
      <w:proofErr w:type="gramStart"/>
      <w:r w:rsidRPr="00221620">
        <w:rPr>
          <w:sz w:val="24"/>
          <w:szCs w:val="24"/>
          <w:lang w:val="pt-PT"/>
        </w:rPr>
        <w:t>států</w:t>
      </w:r>
      <w:proofErr w:type="spellEnd"/>
      <w:r w:rsidRPr="00221620">
        <w:rPr>
          <w:sz w:val="24"/>
          <w:szCs w:val="24"/>
          <w:lang w:val="pt-PT"/>
        </w:rPr>
        <w:t>“ a</w:t>
      </w:r>
      <w:proofErr w:type="gramEnd"/>
      <w:r w:rsidRPr="00221620">
        <w:rPr>
          <w:sz w:val="24"/>
          <w:szCs w:val="24"/>
          <w:lang w:val="pt-PT"/>
        </w:rPr>
        <w:t> </w:t>
      </w:r>
      <w:proofErr w:type="spellStart"/>
      <w:r w:rsidRPr="00221620">
        <w:rPr>
          <w:sz w:val="24"/>
          <w:szCs w:val="24"/>
          <w:lang w:val="pt-PT"/>
        </w:rPr>
        <w:t>čl</w:t>
      </w:r>
      <w:proofErr w:type="spellEnd"/>
      <w:r w:rsidRPr="00221620">
        <w:rPr>
          <w:sz w:val="24"/>
          <w:szCs w:val="24"/>
          <w:lang w:val="pt-PT"/>
        </w:rPr>
        <w:t xml:space="preserve">. 6 </w:t>
      </w:r>
      <w:proofErr w:type="spellStart"/>
      <w:r w:rsidRPr="00221620">
        <w:rPr>
          <w:sz w:val="24"/>
          <w:szCs w:val="24"/>
          <w:lang w:val="pt-PT"/>
        </w:rPr>
        <w:t>odst</w:t>
      </w:r>
      <w:proofErr w:type="spellEnd"/>
      <w:r w:rsidRPr="00221620">
        <w:rPr>
          <w:sz w:val="24"/>
          <w:szCs w:val="24"/>
          <w:lang w:val="pt-PT"/>
        </w:rPr>
        <w:t xml:space="preserve">. 3 </w:t>
      </w:r>
      <w:proofErr w:type="spellStart"/>
      <w:r w:rsidRPr="00221620">
        <w:rPr>
          <w:sz w:val="24"/>
          <w:szCs w:val="24"/>
          <w:lang w:val="pt-PT"/>
        </w:rPr>
        <w:t>písm</w:t>
      </w:r>
      <w:proofErr w:type="spellEnd"/>
      <w:r w:rsidRPr="00221620">
        <w:rPr>
          <w:sz w:val="24"/>
          <w:szCs w:val="24"/>
          <w:lang w:val="pt-PT"/>
        </w:rPr>
        <w:t xml:space="preserve">. d) </w:t>
      </w:r>
      <w:proofErr w:type="spellStart"/>
      <w:r w:rsidRPr="00221620">
        <w:rPr>
          <w:sz w:val="24"/>
          <w:szCs w:val="24"/>
          <w:lang w:val="pt-PT"/>
        </w:rPr>
        <w:t>nařízení</w:t>
      </w:r>
      <w:proofErr w:type="spellEnd"/>
      <w:r w:rsidRPr="00221620">
        <w:rPr>
          <w:sz w:val="24"/>
          <w:szCs w:val="24"/>
          <w:lang w:val="pt-PT"/>
        </w:rPr>
        <w:t xml:space="preserve"> </w:t>
      </w:r>
      <w:proofErr w:type="spellStart"/>
      <w:r w:rsidRPr="00221620">
        <w:rPr>
          <w:sz w:val="24"/>
          <w:szCs w:val="24"/>
          <w:lang w:val="pt-PT"/>
        </w:rPr>
        <w:t>Evropského</w:t>
      </w:r>
      <w:proofErr w:type="spellEnd"/>
      <w:r w:rsidRPr="00221620">
        <w:rPr>
          <w:sz w:val="24"/>
          <w:szCs w:val="24"/>
          <w:lang w:val="pt-PT"/>
        </w:rPr>
        <w:t xml:space="preserve"> </w:t>
      </w:r>
      <w:proofErr w:type="spellStart"/>
      <w:r w:rsidRPr="00221620">
        <w:rPr>
          <w:sz w:val="24"/>
          <w:szCs w:val="24"/>
          <w:lang w:val="pt-PT"/>
        </w:rPr>
        <w:t>parlamentu</w:t>
      </w:r>
      <w:proofErr w:type="spellEnd"/>
      <w:r w:rsidRPr="00221620">
        <w:rPr>
          <w:sz w:val="24"/>
          <w:szCs w:val="24"/>
          <w:lang w:val="pt-PT"/>
        </w:rPr>
        <w:t xml:space="preserve"> a </w:t>
      </w:r>
      <w:proofErr w:type="spellStart"/>
      <w:r w:rsidRPr="00221620">
        <w:rPr>
          <w:sz w:val="24"/>
          <w:szCs w:val="24"/>
          <w:lang w:val="pt-PT"/>
        </w:rPr>
        <w:t>Rady</w:t>
      </w:r>
      <w:proofErr w:type="spellEnd"/>
      <w:r w:rsidRPr="00221620">
        <w:rPr>
          <w:sz w:val="24"/>
          <w:szCs w:val="24"/>
          <w:lang w:val="pt-PT"/>
        </w:rPr>
        <w:t xml:space="preserve"> (EU) č. 473/2013 </w:t>
      </w:r>
      <w:proofErr w:type="spellStart"/>
      <w:r w:rsidRPr="00221620">
        <w:rPr>
          <w:sz w:val="24"/>
          <w:szCs w:val="24"/>
          <w:lang w:val="pt-PT"/>
        </w:rPr>
        <w:t>ze</w:t>
      </w:r>
      <w:proofErr w:type="spellEnd"/>
      <w:r w:rsidRPr="00221620">
        <w:rPr>
          <w:sz w:val="24"/>
          <w:szCs w:val="24"/>
          <w:lang w:val="pt-PT"/>
        </w:rPr>
        <w:t xml:space="preserve"> </w:t>
      </w:r>
      <w:proofErr w:type="spellStart"/>
      <w:r w:rsidRPr="00221620">
        <w:rPr>
          <w:sz w:val="24"/>
          <w:szCs w:val="24"/>
          <w:lang w:val="pt-PT"/>
        </w:rPr>
        <w:t>dne</w:t>
      </w:r>
      <w:proofErr w:type="spellEnd"/>
      <w:r w:rsidRPr="00221620">
        <w:rPr>
          <w:sz w:val="24"/>
          <w:szCs w:val="24"/>
          <w:lang w:val="pt-PT"/>
        </w:rPr>
        <w:t xml:space="preserve"> 21. </w:t>
      </w:r>
      <w:proofErr w:type="spellStart"/>
      <w:r w:rsidRPr="00221620">
        <w:rPr>
          <w:sz w:val="24"/>
          <w:szCs w:val="24"/>
          <w:lang w:val="pt-PT"/>
        </w:rPr>
        <w:t>května</w:t>
      </w:r>
      <w:proofErr w:type="spellEnd"/>
      <w:r w:rsidRPr="00221620">
        <w:rPr>
          <w:sz w:val="24"/>
          <w:szCs w:val="24"/>
          <w:lang w:val="pt-PT"/>
        </w:rPr>
        <w:t xml:space="preserve"> 2013 o </w:t>
      </w:r>
      <w:proofErr w:type="spellStart"/>
      <w:r w:rsidRPr="00221620">
        <w:rPr>
          <w:sz w:val="24"/>
          <w:szCs w:val="24"/>
          <w:lang w:val="pt-PT"/>
        </w:rPr>
        <w:t>společných</w:t>
      </w:r>
      <w:proofErr w:type="spellEnd"/>
      <w:r w:rsidRPr="00221620">
        <w:rPr>
          <w:sz w:val="24"/>
          <w:szCs w:val="24"/>
          <w:lang w:val="pt-PT"/>
        </w:rPr>
        <w:t xml:space="preserve"> </w:t>
      </w:r>
      <w:proofErr w:type="spellStart"/>
      <w:r w:rsidRPr="00221620">
        <w:rPr>
          <w:sz w:val="24"/>
          <w:szCs w:val="24"/>
          <w:lang w:val="pt-PT"/>
        </w:rPr>
        <w:t>ustanoveních</w:t>
      </w:r>
      <w:proofErr w:type="spellEnd"/>
      <w:r w:rsidRPr="00221620">
        <w:rPr>
          <w:sz w:val="24"/>
          <w:szCs w:val="24"/>
          <w:lang w:val="pt-PT"/>
        </w:rPr>
        <w:t xml:space="preserve"> </w:t>
      </w:r>
      <w:proofErr w:type="spellStart"/>
      <w:r w:rsidRPr="00221620">
        <w:rPr>
          <w:sz w:val="24"/>
          <w:szCs w:val="24"/>
          <w:lang w:val="pt-PT"/>
        </w:rPr>
        <w:t>týkajících</w:t>
      </w:r>
      <w:proofErr w:type="spellEnd"/>
      <w:r w:rsidRPr="00221620">
        <w:rPr>
          <w:sz w:val="24"/>
          <w:szCs w:val="24"/>
          <w:lang w:val="pt-PT"/>
        </w:rPr>
        <w:t xml:space="preserve"> se </w:t>
      </w:r>
      <w:proofErr w:type="spellStart"/>
      <w:r w:rsidRPr="00221620">
        <w:rPr>
          <w:sz w:val="24"/>
          <w:szCs w:val="24"/>
          <w:lang w:val="pt-PT"/>
        </w:rPr>
        <w:t>sledování</w:t>
      </w:r>
      <w:proofErr w:type="spellEnd"/>
      <w:r w:rsidRPr="00221620">
        <w:rPr>
          <w:sz w:val="24"/>
          <w:szCs w:val="24"/>
          <w:lang w:val="pt-PT"/>
        </w:rPr>
        <w:t xml:space="preserve"> a </w:t>
      </w:r>
      <w:proofErr w:type="spellStart"/>
      <w:r w:rsidRPr="00221620">
        <w:rPr>
          <w:sz w:val="24"/>
          <w:szCs w:val="24"/>
          <w:lang w:val="pt-PT"/>
        </w:rPr>
        <w:t>posuzování</w:t>
      </w:r>
      <w:proofErr w:type="spellEnd"/>
      <w:r w:rsidRPr="00221620">
        <w:rPr>
          <w:sz w:val="24"/>
          <w:szCs w:val="24"/>
          <w:lang w:val="pt-PT"/>
        </w:rPr>
        <w:t xml:space="preserve"> </w:t>
      </w:r>
      <w:proofErr w:type="spellStart"/>
      <w:r w:rsidRPr="00221620">
        <w:rPr>
          <w:sz w:val="24"/>
          <w:szCs w:val="24"/>
          <w:lang w:val="pt-PT"/>
        </w:rPr>
        <w:t>návrhů</w:t>
      </w:r>
      <w:proofErr w:type="spellEnd"/>
      <w:r w:rsidRPr="00221620">
        <w:rPr>
          <w:sz w:val="24"/>
          <w:szCs w:val="24"/>
          <w:lang w:val="pt-PT"/>
        </w:rPr>
        <w:t xml:space="preserve"> </w:t>
      </w:r>
      <w:proofErr w:type="spellStart"/>
      <w:r w:rsidRPr="00221620">
        <w:rPr>
          <w:sz w:val="24"/>
          <w:szCs w:val="24"/>
          <w:lang w:val="pt-PT"/>
        </w:rPr>
        <w:t>rozpočtových</w:t>
      </w:r>
      <w:proofErr w:type="spellEnd"/>
      <w:r w:rsidRPr="00221620">
        <w:rPr>
          <w:sz w:val="24"/>
          <w:szCs w:val="24"/>
          <w:lang w:val="pt-PT"/>
        </w:rPr>
        <w:t xml:space="preserve"> </w:t>
      </w:r>
      <w:proofErr w:type="spellStart"/>
      <w:r w:rsidRPr="00221620">
        <w:rPr>
          <w:sz w:val="24"/>
          <w:szCs w:val="24"/>
          <w:lang w:val="pt-PT"/>
        </w:rPr>
        <w:t>plánů</w:t>
      </w:r>
      <w:proofErr w:type="spellEnd"/>
      <w:r w:rsidRPr="00221620">
        <w:rPr>
          <w:sz w:val="24"/>
          <w:szCs w:val="24"/>
          <w:lang w:val="pt-PT"/>
        </w:rPr>
        <w:t xml:space="preserve"> a </w:t>
      </w:r>
      <w:proofErr w:type="spellStart"/>
      <w:r w:rsidRPr="00221620">
        <w:rPr>
          <w:sz w:val="24"/>
          <w:szCs w:val="24"/>
          <w:lang w:val="pt-PT"/>
        </w:rPr>
        <w:t>zajišťování</w:t>
      </w:r>
      <w:proofErr w:type="spellEnd"/>
      <w:r w:rsidRPr="00221620">
        <w:rPr>
          <w:sz w:val="24"/>
          <w:szCs w:val="24"/>
          <w:lang w:val="pt-PT"/>
        </w:rPr>
        <w:t xml:space="preserve"> </w:t>
      </w:r>
      <w:proofErr w:type="spellStart"/>
      <w:r w:rsidRPr="00221620">
        <w:rPr>
          <w:sz w:val="24"/>
          <w:szCs w:val="24"/>
          <w:lang w:val="pt-PT"/>
        </w:rPr>
        <w:t>nápravy</w:t>
      </w:r>
      <w:proofErr w:type="spellEnd"/>
      <w:r w:rsidRPr="00221620">
        <w:rPr>
          <w:sz w:val="24"/>
          <w:szCs w:val="24"/>
          <w:lang w:val="pt-PT"/>
        </w:rPr>
        <w:t xml:space="preserve"> </w:t>
      </w:r>
      <w:proofErr w:type="spellStart"/>
      <w:r w:rsidRPr="00221620">
        <w:rPr>
          <w:sz w:val="24"/>
          <w:szCs w:val="24"/>
          <w:lang w:val="pt-PT"/>
        </w:rPr>
        <w:t>nadměrného</w:t>
      </w:r>
      <w:proofErr w:type="spellEnd"/>
      <w:r w:rsidRPr="00221620">
        <w:rPr>
          <w:sz w:val="24"/>
          <w:szCs w:val="24"/>
          <w:lang w:val="pt-PT"/>
        </w:rPr>
        <w:t xml:space="preserve"> </w:t>
      </w:r>
      <w:proofErr w:type="spellStart"/>
      <w:r w:rsidRPr="00221620">
        <w:rPr>
          <w:sz w:val="24"/>
          <w:szCs w:val="24"/>
          <w:lang w:val="pt-PT"/>
        </w:rPr>
        <w:t>schodku</w:t>
      </w:r>
      <w:proofErr w:type="spellEnd"/>
      <w:r w:rsidRPr="00221620">
        <w:rPr>
          <w:sz w:val="24"/>
          <w:szCs w:val="24"/>
          <w:lang w:val="pt-PT"/>
        </w:rPr>
        <w:t xml:space="preserve"> </w:t>
      </w:r>
      <w:proofErr w:type="spellStart"/>
      <w:r w:rsidRPr="00221620">
        <w:rPr>
          <w:sz w:val="24"/>
          <w:szCs w:val="24"/>
          <w:lang w:val="pt-PT"/>
        </w:rPr>
        <w:t>členských</w:t>
      </w:r>
      <w:proofErr w:type="spellEnd"/>
      <w:r w:rsidRPr="00221620">
        <w:rPr>
          <w:sz w:val="24"/>
          <w:szCs w:val="24"/>
          <w:lang w:val="pt-PT"/>
        </w:rPr>
        <w:t xml:space="preserve"> </w:t>
      </w:r>
      <w:proofErr w:type="spellStart"/>
      <w:r w:rsidRPr="00221620">
        <w:rPr>
          <w:sz w:val="24"/>
          <w:szCs w:val="24"/>
          <w:lang w:val="pt-PT"/>
        </w:rPr>
        <w:t>států</w:t>
      </w:r>
      <w:proofErr w:type="spellEnd"/>
      <w:r w:rsidRPr="00221620">
        <w:rPr>
          <w:sz w:val="24"/>
          <w:szCs w:val="24"/>
          <w:lang w:val="pt-PT"/>
        </w:rPr>
        <w:t xml:space="preserve"> v </w:t>
      </w:r>
      <w:proofErr w:type="spellStart"/>
      <w:r w:rsidRPr="00221620">
        <w:rPr>
          <w:sz w:val="24"/>
          <w:szCs w:val="24"/>
          <w:lang w:val="pt-PT"/>
        </w:rPr>
        <w:t>eurozóně</w:t>
      </w:r>
      <w:proofErr w:type="spellEnd"/>
      <w:r w:rsidRPr="00221620">
        <w:rPr>
          <w:sz w:val="24"/>
          <w:szCs w:val="24"/>
          <w:lang w:val="pt-PT"/>
        </w:rPr>
        <w:t xml:space="preserve"> (</w:t>
      </w:r>
      <w:proofErr w:type="spellStart"/>
      <w:r w:rsidRPr="00221620">
        <w:rPr>
          <w:sz w:val="24"/>
          <w:szCs w:val="24"/>
          <w:lang w:val="pt-PT"/>
        </w:rPr>
        <w:t>Úř</w:t>
      </w:r>
      <w:proofErr w:type="spellEnd"/>
      <w:r w:rsidRPr="00221620">
        <w:rPr>
          <w:sz w:val="24"/>
          <w:szCs w:val="24"/>
          <w:lang w:val="pt-PT"/>
        </w:rPr>
        <w:t xml:space="preserve">. </w:t>
      </w:r>
      <w:proofErr w:type="spellStart"/>
      <w:r w:rsidRPr="00221620">
        <w:rPr>
          <w:sz w:val="24"/>
          <w:szCs w:val="24"/>
          <w:lang w:val="pt-PT"/>
        </w:rPr>
        <w:t>věst</w:t>
      </w:r>
      <w:proofErr w:type="spellEnd"/>
      <w:r w:rsidRPr="00221620">
        <w:rPr>
          <w:sz w:val="24"/>
          <w:szCs w:val="24"/>
          <w:lang w:val="pt-PT"/>
        </w:rPr>
        <w:t xml:space="preserve">. </w:t>
      </w:r>
      <w:r w:rsidRPr="009E2C16">
        <w:rPr>
          <w:sz w:val="24"/>
          <w:szCs w:val="24"/>
        </w:rPr>
        <w:t>L 140, 27.5.2013,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13B51" w14:textId="77777777" w:rsidR="00064002" w:rsidRPr="006365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84590" w14:textId="77777777" w:rsidR="00064002" w:rsidRPr="006365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55F6F" w14:textId="77777777" w:rsidR="00064002" w:rsidRPr="006365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CS"/>
    <w:docVar w:name="dvnumam" w:val="0"/>
    <w:docVar w:name="dvpe" w:val="757.278"/>
    <w:docVar w:name="dvrapporteur" w:val="Zpravodajky: "/>
    <w:docVar w:name="dvstar" w:val="*"/>
    <w:docVar w:name="dvtitre" w:val="Legislativní usnesení Evropského parlamentu ze dne 23. dubna 2024 o návrhu směrnice Rady, kterou se mění směrnice 2011/85/EU o požadavcích na rozpočtové rámce členských států(COM(2023)0242 – C9-0171/2023 – 2023/0136(NLE))"/>
  </w:docVars>
  <w:rsids>
    <w:rsidRoot w:val="001C7B85"/>
    <w:rsid w:val="00002272"/>
    <w:rsid w:val="00021192"/>
    <w:rsid w:val="00064002"/>
    <w:rsid w:val="000677B9"/>
    <w:rsid w:val="000831BA"/>
    <w:rsid w:val="000A42CC"/>
    <w:rsid w:val="000E7DD9"/>
    <w:rsid w:val="0010095E"/>
    <w:rsid w:val="00125B37"/>
    <w:rsid w:val="00125F71"/>
    <w:rsid w:val="00187494"/>
    <w:rsid w:val="001C7B85"/>
    <w:rsid w:val="001F32AE"/>
    <w:rsid w:val="00221620"/>
    <w:rsid w:val="00242D69"/>
    <w:rsid w:val="00261DD7"/>
    <w:rsid w:val="00271367"/>
    <w:rsid w:val="002767FF"/>
    <w:rsid w:val="002867C1"/>
    <w:rsid w:val="002B18FE"/>
    <w:rsid w:val="002B5493"/>
    <w:rsid w:val="002D5D0A"/>
    <w:rsid w:val="002F7AAC"/>
    <w:rsid w:val="00343214"/>
    <w:rsid w:val="003604F4"/>
    <w:rsid w:val="00361C00"/>
    <w:rsid w:val="00395FA1"/>
    <w:rsid w:val="003D5754"/>
    <w:rsid w:val="003E15D4"/>
    <w:rsid w:val="003E435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72B8"/>
    <w:rsid w:val="0063653D"/>
    <w:rsid w:val="006631B6"/>
    <w:rsid w:val="00680577"/>
    <w:rsid w:val="006F5F1D"/>
    <w:rsid w:val="006F74FA"/>
    <w:rsid w:val="00731ADD"/>
    <w:rsid w:val="00734777"/>
    <w:rsid w:val="00747932"/>
    <w:rsid w:val="00751A4A"/>
    <w:rsid w:val="00756632"/>
    <w:rsid w:val="00762C74"/>
    <w:rsid w:val="007817B3"/>
    <w:rsid w:val="00786EC0"/>
    <w:rsid w:val="007B71CA"/>
    <w:rsid w:val="007D1690"/>
    <w:rsid w:val="007E22AD"/>
    <w:rsid w:val="007F4057"/>
    <w:rsid w:val="00817416"/>
    <w:rsid w:val="00842779"/>
    <w:rsid w:val="0085795F"/>
    <w:rsid w:val="00865F67"/>
    <w:rsid w:val="00874DA2"/>
    <w:rsid w:val="00881A7B"/>
    <w:rsid w:val="008840E5"/>
    <w:rsid w:val="00887B3E"/>
    <w:rsid w:val="008C2AC6"/>
    <w:rsid w:val="00930C23"/>
    <w:rsid w:val="0093193B"/>
    <w:rsid w:val="009509D8"/>
    <w:rsid w:val="00950B64"/>
    <w:rsid w:val="009739A9"/>
    <w:rsid w:val="00981893"/>
    <w:rsid w:val="00995026"/>
    <w:rsid w:val="009D6307"/>
    <w:rsid w:val="00A1687D"/>
    <w:rsid w:val="00A43E52"/>
    <w:rsid w:val="00A4678D"/>
    <w:rsid w:val="00A778C7"/>
    <w:rsid w:val="00AB441E"/>
    <w:rsid w:val="00AB6293"/>
    <w:rsid w:val="00AC08D3"/>
    <w:rsid w:val="00AE0928"/>
    <w:rsid w:val="00AF3B82"/>
    <w:rsid w:val="00B12E95"/>
    <w:rsid w:val="00B22876"/>
    <w:rsid w:val="00B558F0"/>
    <w:rsid w:val="00B96992"/>
    <w:rsid w:val="00BD259E"/>
    <w:rsid w:val="00BD48FE"/>
    <w:rsid w:val="00BD7BD8"/>
    <w:rsid w:val="00BE4798"/>
    <w:rsid w:val="00BE6ADC"/>
    <w:rsid w:val="00C05BFE"/>
    <w:rsid w:val="00C23CD4"/>
    <w:rsid w:val="00C61C0C"/>
    <w:rsid w:val="00C71B17"/>
    <w:rsid w:val="00C941CB"/>
    <w:rsid w:val="00CC2357"/>
    <w:rsid w:val="00CE4A2B"/>
    <w:rsid w:val="00CE63AA"/>
    <w:rsid w:val="00CF071A"/>
    <w:rsid w:val="00D058B8"/>
    <w:rsid w:val="00D35A91"/>
    <w:rsid w:val="00D56C11"/>
    <w:rsid w:val="00D834A0"/>
    <w:rsid w:val="00D872DF"/>
    <w:rsid w:val="00D91E21"/>
    <w:rsid w:val="00DA7FCD"/>
    <w:rsid w:val="00E365E1"/>
    <w:rsid w:val="00E820A4"/>
    <w:rsid w:val="00E879CB"/>
    <w:rsid w:val="00E93045"/>
    <w:rsid w:val="00EB006A"/>
    <w:rsid w:val="00EB4772"/>
    <w:rsid w:val="00ED169E"/>
    <w:rsid w:val="00ED4235"/>
    <w:rsid w:val="00F04346"/>
    <w:rsid w:val="00F075DC"/>
    <w:rsid w:val="00F149E9"/>
    <w:rsid w:val="00F164D3"/>
    <w:rsid w:val="00F23CE2"/>
    <w:rsid w:val="00F5134D"/>
    <w:rsid w:val="00F74202"/>
    <w:rsid w:val="00F87713"/>
    <w:rsid w:val="00F922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7992F"/>
  <w15:chartTrackingRefBased/>
  <w15:docId w15:val="{26BA28BA-CFF3-4AA9-96AF-5A08907D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61DD7"/>
    <w:rPr>
      <w:b/>
    </w:rPr>
  </w:style>
  <w:style w:type="paragraph" w:customStyle="1" w:styleId="NormalHanging12a">
    <w:name w:val="NormalHanging12a"/>
    <w:basedOn w:val="Normal"/>
    <w:rsid w:val="00261DD7"/>
    <w:pPr>
      <w:spacing w:after="240"/>
      <w:ind w:left="567" w:hanging="567"/>
    </w:pPr>
  </w:style>
  <w:style w:type="paragraph" w:customStyle="1" w:styleId="AmNumberTabs">
    <w:name w:val="AmNumberTabs"/>
    <w:basedOn w:val="Normal"/>
    <w:rsid w:val="00261D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61DD7"/>
    <w:pPr>
      <w:spacing w:before="480" w:after="240"/>
    </w:pPr>
  </w:style>
  <w:style w:type="paragraph" w:customStyle="1" w:styleId="NormalCenter12a">
    <w:name w:val="NormalCenter12a"/>
    <w:basedOn w:val="Normal"/>
    <w:rsid w:val="00261DD7"/>
    <w:pPr>
      <w:spacing w:after="240"/>
      <w:jc w:val="center"/>
    </w:pPr>
  </w:style>
  <w:style w:type="paragraph" w:customStyle="1" w:styleId="AmHeadingConsam">
    <w:name w:val="AmHeadingConsam"/>
    <w:basedOn w:val="Normal"/>
    <w:next w:val="NormalCenter12a"/>
    <w:rsid w:val="00261DD7"/>
    <w:pPr>
      <w:spacing w:before="720" w:after="240"/>
      <w:jc w:val="center"/>
    </w:pPr>
  </w:style>
  <w:style w:type="paragraph" w:styleId="ListParagraph">
    <w:name w:val="List Paragraph"/>
    <w:basedOn w:val="Normal"/>
    <w:uiPriority w:val="34"/>
    <w:qFormat/>
    <w:rsid w:val="00261DD7"/>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261DD7"/>
    <w:pPr>
      <w:widowControl/>
      <w:spacing w:before="120" w:after="120"/>
      <w:ind w:left="850"/>
      <w:jc w:val="both"/>
    </w:pPr>
    <w:rPr>
      <w:rFonts w:eastAsiaTheme="minorHAnsi"/>
      <w:szCs w:val="22"/>
      <w:lang w:eastAsia="en-US"/>
    </w:rPr>
  </w:style>
  <w:style w:type="paragraph" w:customStyle="1" w:styleId="Text2">
    <w:name w:val="Text 2"/>
    <w:basedOn w:val="Normal"/>
    <w:rsid w:val="00261DD7"/>
    <w:pPr>
      <w:widowControl/>
      <w:spacing w:before="120" w:after="120"/>
      <w:ind w:left="1417"/>
      <w:jc w:val="both"/>
    </w:pPr>
    <w:rPr>
      <w:rFonts w:eastAsiaTheme="minorHAnsi"/>
      <w:szCs w:val="22"/>
      <w:lang w:eastAsia="en-US"/>
    </w:rPr>
  </w:style>
  <w:style w:type="paragraph" w:customStyle="1" w:styleId="Text3">
    <w:name w:val="Text 3"/>
    <w:basedOn w:val="Normal"/>
    <w:rsid w:val="00261DD7"/>
    <w:pPr>
      <w:widowControl/>
      <w:spacing w:before="120" w:after="120"/>
      <w:ind w:left="1984"/>
      <w:jc w:val="both"/>
    </w:pPr>
    <w:rPr>
      <w:rFonts w:eastAsiaTheme="minorHAnsi"/>
      <w:szCs w:val="22"/>
      <w:lang w:eastAsia="en-US"/>
    </w:rPr>
  </w:style>
  <w:style w:type="paragraph" w:customStyle="1" w:styleId="Point3">
    <w:name w:val="Point 3"/>
    <w:basedOn w:val="Normal"/>
    <w:rsid w:val="00261DD7"/>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261DD7"/>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261DD7"/>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261DD7"/>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261DD7"/>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261DD7"/>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261DD7"/>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261DD7"/>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261DD7"/>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261DD7"/>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261DD7"/>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261DD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61DD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61DD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61DD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61DD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61DD7"/>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261DD7"/>
    <w:pPr>
      <w:widowControl/>
      <w:spacing w:before="360"/>
      <w:jc w:val="center"/>
    </w:pPr>
    <w:rPr>
      <w:rFonts w:eastAsiaTheme="minorHAnsi"/>
      <w:b/>
      <w:szCs w:val="22"/>
      <w:lang w:eastAsia="en-US"/>
    </w:rPr>
  </w:style>
  <w:style w:type="paragraph" w:customStyle="1" w:styleId="Titreobjet">
    <w:name w:val="Titre objet"/>
    <w:basedOn w:val="Normal"/>
    <w:next w:val="Normal"/>
    <w:rsid w:val="00261DD7"/>
    <w:pPr>
      <w:widowControl/>
      <w:spacing w:before="360" w:after="360"/>
      <w:jc w:val="center"/>
    </w:pPr>
    <w:rPr>
      <w:rFonts w:eastAsiaTheme="minorHAnsi"/>
      <w:b/>
      <w:szCs w:val="22"/>
      <w:lang w:eastAsia="en-US"/>
    </w:rPr>
  </w:style>
  <w:style w:type="character" w:customStyle="1" w:styleId="Added">
    <w:name w:val="Added"/>
    <w:basedOn w:val="DefaultParagraphFont"/>
    <w:rsid w:val="00261DD7"/>
    <w:rPr>
      <w:b/>
      <w:bCs w:val="0"/>
      <w:u w:val="single"/>
    </w:rPr>
  </w:style>
  <w:style w:type="character" w:styleId="CommentReference">
    <w:name w:val="annotation reference"/>
    <w:basedOn w:val="DefaultParagraphFont"/>
    <w:rsid w:val="003D5754"/>
    <w:rPr>
      <w:sz w:val="16"/>
      <w:szCs w:val="16"/>
    </w:rPr>
  </w:style>
  <w:style w:type="paragraph" w:styleId="CommentText">
    <w:name w:val="annotation text"/>
    <w:basedOn w:val="Normal"/>
    <w:link w:val="CommentTextChar"/>
    <w:rsid w:val="003D5754"/>
    <w:rPr>
      <w:sz w:val="20"/>
    </w:rPr>
  </w:style>
  <w:style w:type="character" w:customStyle="1" w:styleId="CommentTextChar">
    <w:name w:val="Comment Text Char"/>
    <w:basedOn w:val="DefaultParagraphFont"/>
    <w:link w:val="CommentText"/>
    <w:rsid w:val="003D5754"/>
    <w:rPr>
      <w:lang w:val="cs-CZ"/>
    </w:rPr>
  </w:style>
  <w:style w:type="paragraph" w:styleId="CommentSubject">
    <w:name w:val="annotation subject"/>
    <w:basedOn w:val="CommentText"/>
    <w:next w:val="CommentText"/>
    <w:link w:val="CommentSubjectChar"/>
    <w:rsid w:val="003D5754"/>
    <w:rPr>
      <w:b/>
      <w:bCs/>
    </w:rPr>
  </w:style>
  <w:style w:type="character" w:customStyle="1" w:styleId="CommentSubjectChar">
    <w:name w:val="Comment Subject Char"/>
    <w:basedOn w:val="CommentTextChar"/>
    <w:link w:val="CommentSubject"/>
    <w:rsid w:val="003D5754"/>
    <w:rPr>
      <w:b/>
      <w:bCs/>
      <w:lang w:val="cs-CZ"/>
    </w:rPr>
  </w:style>
  <w:style w:type="paragraph" w:styleId="BalloonText">
    <w:name w:val="Balloon Text"/>
    <w:basedOn w:val="Normal"/>
    <w:link w:val="BalloonTextChar"/>
    <w:rsid w:val="003D5754"/>
    <w:rPr>
      <w:rFonts w:ascii="Segoe UI" w:hAnsi="Segoe UI" w:cs="Segoe UI"/>
      <w:sz w:val="18"/>
      <w:szCs w:val="18"/>
    </w:rPr>
  </w:style>
  <w:style w:type="character" w:customStyle="1" w:styleId="BalloonTextChar">
    <w:name w:val="Balloon Text Char"/>
    <w:basedOn w:val="DefaultParagraphFont"/>
    <w:link w:val="BalloonText"/>
    <w:rsid w:val="003D5754"/>
    <w:rPr>
      <w:rFonts w:ascii="Segoe UI" w:hAnsi="Segoe UI" w:cs="Segoe UI"/>
      <w:sz w:val="18"/>
      <w:szCs w:val="18"/>
      <w:lang w:val="cs-CZ"/>
    </w:rPr>
  </w:style>
  <w:style w:type="paragraph" w:customStyle="1" w:styleId="FootnoteTextForceStyle">
    <w:name w:val="Footnote Text ForceStyle"/>
    <w:rsid w:val="00AC08D3"/>
    <w:pPr>
      <w:keepLines/>
      <w:widowControl w:val="0"/>
      <w:ind w:left="850" w:hanging="850"/>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E276A-C071-4370-BB1B-4940599F2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4240</Words>
  <Characters>26100</Characters>
  <Application>Microsoft Office Word</Application>
  <DocSecurity>0</DocSecurity>
  <Lines>492</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2024-09-05T13:53:00Z</dcterms:created>
  <dcterms:modified xsi:type="dcterms:W3CDTF">2024-09-05T13:53:00Z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P9_TA(2024)0313_</vt:lpwstr>
  </property>
  <property fmtid="{D5CDD505-2E9C-101B-9397-08002B2CF9AE}" pid="4" name="&lt;Type&gt;">
    <vt:lpwstr>RR</vt:lpwstr>
  </property>
</Properties>
</file>