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1995" w:rsidTr="0010095E">
        <w:trPr>
          <w:trHeight w:hRule="exact" w:val="1418"/>
        </w:trPr>
        <w:tc>
          <w:tcPr>
            <w:tcW w:w="6804" w:type="dxa"/>
            <w:shd w:val="clear" w:color="auto" w:fill="auto"/>
            <w:vAlign w:val="center"/>
          </w:tcPr>
          <w:p w:rsidR="00751A4A" w:rsidRPr="00541995" w:rsidRDefault="00C76AA8" w:rsidP="0010095E">
            <w:pPr>
              <w:pStyle w:val="EPName"/>
            </w:pPr>
            <w:r w:rsidRPr="00541995">
              <w:t>Parlement européen</w:t>
            </w:r>
          </w:p>
          <w:p w:rsidR="00751A4A" w:rsidRPr="00541995" w:rsidRDefault="00817416" w:rsidP="00756632">
            <w:pPr>
              <w:pStyle w:val="EPTerm"/>
              <w:rPr>
                <w:rStyle w:val="HideTWBExt"/>
                <w:noProof w:val="0"/>
                <w:vanish w:val="0"/>
                <w:color w:val="auto"/>
              </w:rPr>
            </w:pPr>
            <w:r w:rsidRPr="00541995">
              <w:t>2019-2024</w:t>
            </w:r>
          </w:p>
        </w:tc>
        <w:tc>
          <w:tcPr>
            <w:tcW w:w="2268" w:type="dxa"/>
            <w:shd w:val="clear" w:color="auto" w:fill="auto"/>
          </w:tcPr>
          <w:p w:rsidR="00751A4A" w:rsidRPr="00541995" w:rsidRDefault="00187494" w:rsidP="0010095E">
            <w:pPr>
              <w:pStyle w:val="EPLogo"/>
            </w:pPr>
            <w:r w:rsidRPr="005419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1995" w:rsidRDefault="00D058B8" w:rsidP="004C5D52">
      <w:pPr>
        <w:pStyle w:val="LineTop"/>
      </w:pPr>
    </w:p>
    <w:p w:rsidR="00680577" w:rsidRPr="00541995" w:rsidRDefault="00C76AA8" w:rsidP="00680577">
      <w:pPr>
        <w:pStyle w:val="EPBodyTA1"/>
      </w:pPr>
      <w:r w:rsidRPr="00541995">
        <w:t>TEXTES ADOPTÉS</w:t>
      </w:r>
    </w:p>
    <w:p w:rsidR="00D058B8" w:rsidRPr="00541995" w:rsidRDefault="00D058B8" w:rsidP="00D058B8">
      <w:pPr>
        <w:pStyle w:val="LineBottom"/>
      </w:pPr>
    </w:p>
    <w:p w:rsidR="00C76AA8" w:rsidRPr="00541995" w:rsidRDefault="00C76AA8" w:rsidP="00C76AA8">
      <w:pPr>
        <w:pStyle w:val="ATHeading1"/>
      </w:pPr>
      <w:bookmarkStart w:id="0" w:name="TANumber"/>
      <w:r w:rsidRPr="00541995">
        <w:t>P9_</w:t>
      </w:r>
      <w:proofErr w:type="gramStart"/>
      <w:r w:rsidRPr="00541995">
        <w:t>TA(</w:t>
      </w:r>
      <w:proofErr w:type="gramEnd"/>
      <w:r w:rsidRPr="00541995">
        <w:t>2024)0</w:t>
      </w:r>
      <w:bookmarkEnd w:id="0"/>
      <w:r w:rsidR="0038791C">
        <w:t>313</w:t>
      </w:r>
    </w:p>
    <w:p w:rsidR="00C76AA8" w:rsidRPr="00541995" w:rsidRDefault="00224125" w:rsidP="00C76AA8">
      <w:pPr>
        <w:pStyle w:val="ATHeading2"/>
      </w:pPr>
      <w:r w:rsidRPr="00541995">
        <w:rPr>
          <w:bCs/>
        </w:rPr>
        <w:t>E</w:t>
      </w:r>
      <w:r w:rsidR="006B0D54" w:rsidRPr="00541995">
        <w:rPr>
          <w:bCs/>
        </w:rPr>
        <w:t>xigences applicables aux cadres budgétaires des États membres</w:t>
      </w:r>
      <w:r w:rsidR="0054376A" w:rsidRPr="00541995">
        <w:rPr>
          <w:bCs/>
        </w:rPr>
        <w:t xml:space="preserve"> – directive modificative</w:t>
      </w:r>
    </w:p>
    <w:p w:rsidR="00C76AA8" w:rsidRPr="00541995" w:rsidRDefault="00C76AA8" w:rsidP="00C76AA8">
      <w:pPr>
        <w:rPr>
          <w:i/>
          <w:vanish/>
        </w:rPr>
      </w:pPr>
      <w:r w:rsidRPr="00541995">
        <w:rPr>
          <w:i/>
        </w:rPr>
        <w:fldChar w:fldCharType="begin"/>
      </w:r>
      <w:r w:rsidRPr="00541995">
        <w:rPr>
          <w:i/>
        </w:rPr>
        <w:instrText xml:space="preserve"> TC"(</w:instrText>
      </w:r>
      <w:bookmarkStart w:id="1" w:name="DocNumber"/>
      <w:r w:rsidRPr="00541995">
        <w:rPr>
          <w:i/>
        </w:rPr>
        <w:instrText>A9-0440/2023</w:instrText>
      </w:r>
      <w:bookmarkEnd w:id="1"/>
      <w:r w:rsidRPr="00541995">
        <w:rPr>
          <w:i/>
        </w:rPr>
        <w:instrText xml:space="preserve"> - Rapporteurs: </w:instrText>
      </w:r>
      <w:r w:rsidR="00264C6F" w:rsidRPr="00541995">
        <w:rPr>
          <w:i/>
        </w:rPr>
        <w:instrText xml:space="preserve">Markus </w:instrText>
      </w:r>
      <w:proofErr w:type="spellStart"/>
      <w:r w:rsidR="00264C6F" w:rsidRPr="00541995">
        <w:rPr>
          <w:i/>
        </w:rPr>
        <w:instrText>Ferber</w:instrText>
      </w:r>
      <w:proofErr w:type="spellEnd"/>
      <w:r w:rsidRPr="00541995">
        <w:rPr>
          <w:i/>
        </w:rPr>
        <w:instrText xml:space="preserve">, </w:instrText>
      </w:r>
      <w:proofErr w:type="spellStart"/>
      <w:r w:rsidRPr="00541995">
        <w:rPr>
          <w:i/>
        </w:rPr>
        <w:instrText>Margarida</w:instrText>
      </w:r>
      <w:proofErr w:type="spellEnd"/>
      <w:r w:rsidRPr="00541995">
        <w:rPr>
          <w:i/>
        </w:rPr>
        <w:instrText xml:space="preserve"> Marques)"\l3 \n&gt; \* MERGEFORMAT </w:instrText>
      </w:r>
      <w:r w:rsidRPr="00541995">
        <w:rPr>
          <w:i/>
        </w:rPr>
        <w:fldChar w:fldCharType="end"/>
      </w:r>
    </w:p>
    <w:p w:rsidR="00C76AA8" w:rsidRPr="00541995" w:rsidRDefault="00C76AA8" w:rsidP="00C76AA8">
      <w:pPr>
        <w:rPr>
          <w:vanish/>
        </w:rPr>
      </w:pPr>
      <w:bookmarkStart w:id="2" w:name="Commission"/>
      <w:r w:rsidRPr="00541995">
        <w:rPr>
          <w:vanish/>
        </w:rPr>
        <w:t>Commission des affaires économiques et monétaires</w:t>
      </w:r>
      <w:bookmarkEnd w:id="2"/>
    </w:p>
    <w:p w:rsidR="00C76AA8" w:rsidRPr="00541995" w:rsidRDefault="00C76AA8" w:rsidP="00C76AA8">
      <w:pPr>
        <w:rPr>
          <w:vanish/>
        </w:rPr>
      </w:pPr>
      <w:bookmarkStart w:id="3" w:name="PE"/>
      <w:r w:rsidRPr="00541995">
        <w:rPr>
          <w:vanish/>
        </w:rPr>
        <w:t>PE757.278</w:t>
      </w:r>
      <w:bookmarkEnd w:id="3"/>
    </w:p>
    <w:p w:rsidR="00C76AA8" w:rsidRPr="00541995" w:rsidRDefault="00C76AA8" w:rsidP="00C76AA8">
      <w:pPr>
        <w:pStyle w:val="ATHeading3"/>
      </w:pPr>
      <w:bookmarkStart w:id="4" w:name="Sujet"/>
      <w:r w:rsidRPr="00541995">
        <w:t xml:space="preserve">Résolution législative du Parlement européen du </w:t>
      </w:r>
      <w:r w:rsidR="00224125" w:rsidRPr="00541995">
        <w:t>23</w:t>
      </w:r>
      <w:r w:rsidR="001F3C27" w:rsidRPr="00541995">
        <w:t xml:space="preserve"> avril</w:t>
      </w:r>
      <w:r w:rsidRPr="00541995">
        <w:t xml:space="preserve"> 2024 sur la proposition de directive du Conseil modifiant la directive 2011/85/UE du Conseil sur les exigences applicables aux cadres budgétaires des États membres</w:t>
      </w:r>
      <w:bookmarkEnd w:id="4"/>
      <w:r w:rsidRPr="00541995">
        <w:t xml:space="preserve"> </w:t>
      </w:r>
      <w:bookmarkStart w:id="5" w:name="References"/>
      <w:r w:rsidRPr="00541995">
        <w:t>(</w:t>
      </w:r>
      <w:r w:rsidR="000B0AD9" w:rsidRPr="00541995">
        <w:t>15396/2023</w:t>
      </w:r>
      <w:r w:rsidRPr="00541995">
        <w:t xml:space="preserve"> – C9-0</w:t>
      </w:r>
      <w:r w:rsidR="000B0AD9" w:rsidRPr="00541995">
        <w:t>006</w:t>
      </w:r>
      <w:r w:rsidRPr="00541995">
        <w:t>/202</w:t>
      </w:r>
      <w:r w:rsidR="000B0AD9" w:rsidRPr="00541995">
        <w:t>4</w:t>
      </w:r>
      <w:r w:rsidRPr="00541995">
        <w:t xml:space="preserve"> – 2023/0136(NLE))</w:t>
      </w:r>
      <w:bookmarkEnd w:id="5"/>
    </w:p>
    <w:p w:rsidR="007D2975" w:rsidRPr="00541995" w:rsidRDefault="007D2975" w:rsidP="007D2975">
      <w:pPr>
        <w:pStyle w:val="NormalBold"/>
      </w:pPr>
      <w:bookmarkStart w:id="6" w:name="TextBodyBegin"/>
      <w:bookmarkEnd w:id="6"/>
      <w:r w:rsidRPr="00541995">
        <w:t>(Consultation)</w:t>
      </w:r>
    </w:p>
    <w:p w:rsidR="007D2975" w:rsidRPr="00541995" w:rsidRDefault="007D2975" w:rsidP="007D2975">
      <w:pPr>
        <w:pStyle w:val="EPComma"/>
      </w:pPr>
      <w:r w:rsidRPr="00541995">
        <w:rPr>
          <w:i/>
          <w:iCs/>
        </w:rPr>
        <w:t>Le Parlement européen</w:t>
      </w:r>
      <w:r w:rsidRPr="00541995">
        <w:t>,</w:t>
      </w:r>
    </w:p>
    <w:p w:rsidR="007D2975" w:rsidRPr="00541995" w:rsidRDefault="007D2975" w:rsidP="007D2975">
      <w:pPr>
        <w:pStyle w:val="NormalHanging12a"/>
      </w:pPr>
      <w:r w:rsidRPr="00541995">
        <w:t>–</w:t>
      </w:r>
      <w:r w:rsidRPr="00541995">
        <w:tab/>
        <w:t xml:space="preserve">vu </w:t>
      </w:r>
      <w:r w:rsidR="000B0AD9" w:rsidRPr="00541995">
        <w:t>le projet du Conseil (15396/2023)</w:t>
      </w:r>
      <w:r w:rsidRPr="00541995">
        <w:t>,</w:t>
      </w:r>
    </w:p>
    <w:p w:rsidR="007D2975" w:rsidRPr="00541995" w:rsidRDefault="007D2975" w:rsidP="007D2975">
      <w:pPr>
        <w:pStyle w:val="NormalHanging12a"/>
      </w:pPr>
      <w:r w:rsidRPr="00541995">
        <w:t>–</w:t>
      </w:r>
      <w:r w:rsidRPr="00541995">
        <w:tab/>
        <w:t xml:space="preserve">vu l’article 126, paragraphe 14, troisième alinéa du traité sur </w:t>
      </w:r>
      <w:r w:rsidR="00E13E2E">
        <w:t xml:space="preserve">le fonctionnement de </w:t>
      </w:r>
      <w:r w:rsidRPr="00541995">
        <w:t>l’Union européenne, conformément auquel il a été consulté par le Conseil (C9</w:t>
      </w:r>
      <w:r w:rsidRPr="00541995">
        <w:noBreakHyphen/>
      </w:r>
      <w:r w:rsidR="006B6C4D" w:rsidRPr="00541995">
        <w:t>0006</w:t>
      </w:r>
      <w:r w:rsidRPr="00541995">
        <w:t>/202</w:t>
      </w:r>
      <w:r w:rsidR="006B6C4D" w:rsidRPr="00541995">
        <w:t>4</w:t>
      </w:r>
      <w:r w:rsidRPr="00541995">
        <w:t>),</w:t>
      </w:r>
    </w:p>
    <w:p w:rsidR="007D2975" w:rsidRPr="00541995" w:rsidRDefault="007D2975" w:rsidP="007D2975">
      <w:pPr>
        <w:pStyle w:val="NormalHanging12a"/>
      </w:pPr>
      <w:r w:rsidRPr="00541995">
        <w:t>–</w:t>
      </w:r>
      <w:r w:rsidRPr="00541995">
        <w:tab/>
        <w:t>vu l’article 82 de son règlement intérieur,</w:t>
      </w:r>
    </w:p>
    <w:p w:rsidR="007D2975" w:rsidRPr="00541995" w:rsidRDefault="007D2975" w:rsidP="007D2975">
      <w:pPr>
        <w:pStyle w:val="NormalHanging12a"/>
      </w:pPr>
      <w:r w:rsidRPr="00541995">
        <w:t>–</w:t>
      </w:r>
      <w:r w:rsidRPr="00541995">
        <w:tab/>
        <w:t>vu le rapport de la commission des affaires économiques et monétaires (A9-0440/2023),</w:t>
      </w:r>
    </w:p>
    <w:p w:rsidR="007D2975" w:rsidRPr="00541995" w:rsidRDefault="007D2975" w:rsidP="007D2975">
      <w:pPr>
        <w:pStyle w:val="NormalHanging12a"/>
      </w:pPr>
      <w:r w:rsidRPr="00541995">
        <w:t>1.</w:t>
      </w:r>
      <w:r w:rsidRPr="00541995">
        <w:tab/>
        <w:t xml:space="preserve">approuve </w:t>
      </w:r>
      <w:r w:rsidR="006B6C4D" w:rsidRPr="00541995">
        <w:t>le projet du Conseil</w:t>
      </w:r>
      <w:r w:rsidRPr="00541995">
        <w:t xml:space="preserve"> tel qu’amendé;</w:t>
      </w:r>
    </w:p>
    <w:p w:rsidR="007D2975" w:rsidRPr="00541995" w:rsidRDefault="002F6B8F" w:rsidP="007D2975">
      <w:pPr>
        <w:pStyle w:val="NormalHanging12a"/>
      </w:pPr>
      <w:r w:rsidRPr="00541995">
        <w:t>2</w:t>
      </w:r>
      <w:r w:rsidR="007D2975" w:rsidRPr="00541995">
        <w:t>.</w:t>
      </w:r>
      <w:r w:rsidR="007D2975" w:rsidRPr="00541995">
        <w:tab/>
        <w:t>invite le Conseil, s’il entend s’écarter du texte approuvé par le Parlement, à en informer celui-ci;</w:t>
      </w:r>
    </w:p>
    <w:p w:rsidR="007D2975" w:rsidRPr="00541995" w:rsidRDefault="002F6B8F" w:rsidP="007D2975">
      <w:pPr>
        <w:pStyle w:val="NormalHanging12a"/>
      </w:pPr>
      <w:r w:rsidRPr="00541995">
        <w:t>3</w:t>
      </w:r>
      <w:r w:rsidR="007D2975" w:rsidRPr="00541995">
        <w:t>.</w:t>
      </w:r>
      <w:r w:rsidR="007D2975" w:rsidRPr="00541995">
        <w:tab/>
        <w:t xml:space="preserve">demande au Conseil de le consulter à nouveau, s’il entend modifier de manière substantielle </w:t>
      </w:r>
      <w:r w:rsidRPr="00541995">
        <w:t>son projet</w:t>
      </w:r>
      <w:r w:rsidR="007D2975" w:rsidRPr="00541995">
        <w:t>;</w:t>
      </w:r>
    </w:p>
    <w:p w:rsidR="007D2975" w:rsidRPr="00541995" w:rsidRDefault="002F6B8F" w:rsidP="007D2975">
      <w:pPr>
        <w:pStyle w:val="NormalHanging12a"/>
      </w:pPr>
      <w:r w:rsidRPr="00541995">
        <w:t>4</w:t>
      </w:r>
      <w:r w:rsidR="007D2975" w:rsidRPr="00541995">
        <w:t>.</w:t>
      </w:r>
      <w:r w:rsidR="007D2975" w:rsidRPr="00541995">
        <w:tab/>
        <w:t xml:space="preserve">charge sa Présidente de transmettre la position du Parlement </w:t>
      </w:r>
      <w:r w:rsidR="00FA1241" w:rsidRPr="00541995">
        <w:t>au Conseil et à la Commission.</w:t>
      </w:r>
    </w:p>
    <w:p w:rsidR="007D2975" w:rsidRPr="00541995" w:rsidRDefault="007D2975" w:rsidP="007D2975">
      <w:pPr>
        <w:widowControl/>
      </w:pPr>
      <w:r w:rsidRPr="00541995">
        <w:br w:type="page"/>
      </w:r>
    </w:p>
    <w:p w:rsidR="007D2975" w:rsidRPr="00541995" w:rsidRDefault="007D2975" w:rsidP="007D2975">
      <w:pPr>
        <w:pStyle w:val="AmNumberTabs"/>
        <w:keepNext/>
      </w:pPr>
      <w:r w:rsidRPr="00541995">
        <w:lastRenderedPageBreak/>
        <w:t>Amendement</w:t>
      </w:r>
      <w:r w:rsidRPr="00541995">
        <w:tab/>
      </w:r>
      <w:r w:rsidRPr="00541995">
        <w:tab/>
      </w:r>
      <w:r w:rsidR="00541995">
        <w:t>2</w:t>
      </w:r>
    </w:p>
    <w:p w:rsidR="00224125" w:rsidRPr="00224125" w:rsidRDefault="00224125" w:rsidP="00224125">
      <w:pPr>
        <w:spacing w:before="720" w:after="240"/>
        <w:jc w:val="center"/>
      </w:pPr>
      <w:r w:rsidRPr="00224125">
        <w:t>AMENDEMENTS DU PARLEMENT EUROPÉEN</w:t>
      </w:r>
      <w:r w:rsidRPr="00541995">
        <w:rPr>
          <w:vertAlign w:val="superscript"/>
        </w:rPr>
        <w:footnoteReference w:customMarkFollows="1" w:id="1"/>
        <w:t>*</w:t>
      </w:r>
    </w:p>
    <w:p w:rsidR="00224125" w:rsidRPr="00224125" w:rsidRDefault="00541995" w:rsidP="00224125">
      <w:pPr>
        <w:spacing w:after="240"/>
        <w:jc w:val="center"/>
      </w:pPr>
      <w:r>
        <w:t>au projet du Conseil</w:t>
      </w:r>
    </w:p>
    <w:p w:rsidR="00224125" w:rsidRPr="00224125" w:rsidRDefault="00224125" w:rsidP="00224125">
      <w:pPr>
        <w:spacing w:after="240"/>
        <w:jc w:val="center"/>
      </w:pPr>
      <w:r w:rsidRPr="00224125">
        <w:t>---------------------------------------------------------</w:t>
      </w:r>
    </w:p>
    <w:p w:rsidR="00224125" w:rsidRPr="00224125" w:rsidRDefault="00224125" w:rsidP="00224125">
      <w:pPr>
        <w:widowControl/>
        <w:spacing w:before="360" w:line="360" w:lineRule="auto"/>
        <w:jc w:val="center"/>
        <w:rPr>
          <w:rFonts w:eastAsia="Calibri"/>
          <w:b/>
          <w:szCs w:val="22"/>
          <w:lang w:eastAsia="en-US"/>
        </w:rPr>
      </w:pPr>
      <w:r w:rsidRPr="00224125">
        <w:rPr>
          <w:rFonts w:eastAsia="Calibri"/>
          <w:b/>
          <w:szCs w:val="22"/>
          <w:lang w:eastAsia="en-US"/>
        </w:rPr>
        <w:t>DIRECTIVE DU CONSEIL</w:t>
      </w:r>
    </w:p>
    <w:p w:rsidR="00224125" w:rsidRPr="00224125" w:rsidRDefault="00224125" w:rsidP="00224125">
      <w:pPr>
        <w:widowControl/>
        <w:spacing w:before="360" w:after="360" w:line="360" w:lineRule="auto"/>
        <w:jc w:val="center"/>
        <w:rPr>
          <w:rFonts w:eastAsia="Calibri"/>
          <w:b/>
          <w:szCs w:val="22"/>
          <w:lang w:eastAsia="en-US"/>
        </w:rPr>
      </w:pPr>
      <w:r w:rsidRPr="00224125">
        <w:rPr>
          <w:rFonts w:eastAsia="Calibri"/>
          <w:b/>
          <w:szCs w:val="22"/>
          <w:lang w:eastAsia="en-US"/>
        </w:rPr>
        <w:t>modifiant la directive 2011/85/UE sur les exigences applicables aux cadres budgétaires des États membres</w:t>
      </w:r>
    </w:p>
    <w:p w:rsidR="00224125" w:rsidRPr="00224125" w:rsidRDefault="00224125" w:rsidP="00224125">
      <w:pPr>
        <w:keepNext/>
        <w:widowControl/>
        <w:spacing w:before="600" w:after="120" w:line="360" w:lineRule="auto"/>
        <w:rPr>
          <w:rFonts w:eastAsia="Calibri"/>
          <w:szCs w:val="22"/>
          <w:lang w:eastAsia="en-US"/>
        </w:rPr>
      </w:pPr>
      <w:r w:rsidRPr="00224125">
        <w:rPr>
          <w:rFonts w:eastAsia="Calibri"/>
          <w:szCs w:val="22"/>
          <w:lang w:eastAsia="en-US"/>
        </w:rPr>
        <w:t>LE CONSEIL DE L'UNION EUROPÉENNE,</w:t>
      </w:r>
    </w:p>
    <w:p w:rsidR="00224125" w:rsidRPr="00224125" w:rsidRDefault="00224125" w:rsidP="00224125">
      <w:pPr>
        <w:widowControl/>
        <w:spacing w:before="120" w:after="120" w:line="360" w:lineRule="auto"/>
        <w:rPr>
          <w:rFonts w:eastAsia="Calibri"/>
          <w:szCs w:val="22"/>
          <w:lang w:eastAsia="en-US"/>
        </w:rPr>
      </w:pPr>
      <w:proofErr w:type="gramStart"/>
      <w:r w:rsidRPr="00224125">
        <w:rPr>
          <w:rFonts w:eastAsia="Calibri"/>
          <w:szCs w:val="22"/>
          <w:lang w:eastAsia="en-US"/>
        </w:rPr>
        <w:t>vu</w:t>
      </w:r>
      <w:proofErr w:type="gramEnd"/>
      <w:r w:rsidRPr="00224125">
        <w:rPr>
          <w:rFonts w:eastAsia="Calibri"/>
          <w:szCs w:val="22"/>
          <w:lang w:eastAsia="en-US"/>
        </w:rPr>
        <w:t xml:space="preserve"> le traité sur le fonctionnement de l'Union européenne, et notamment son article 126, paragraphe 14, troisième alinéa,</w:t>
      </w:r>
    </w:p>
    <w:p w:rsidR="00224125" w:rsidRPr="00224125" w:rsidRDefault="00224125" w:rsidP="00224125">
      <w:pPr>
        <w:widowControl/>
        <w:spacing w:before="120" w:after="120" w:line="360" w:lineRule="auto"/>
        <w:rPr>
          <w:rFonts w:eastAsia="Calibri"/>
          <w:szCs w:val="22"/>
          <w:lang w:eastAsia="en-US"/>
        </w:rPr>
      </w:pPr>
      <w:proofErr w:type="gramStart"/>
      <w:r w:rsidRPr="00224125">
        <w:rPr>
          <w:rFonts w:eastAsia="Calibri"/>
          <w:szCs w:val="22"/>
          <w:lang w:eastAsia="en-US"/>
        </w:rPr>
        <w:t>vu</w:t>
      </w:r>
      <w:proofErr w:type="gramEnd"/>
      <w:r w:rsidRPr="00224125">
        <w:rPr>
          <w:rFonts w:eastAsia="Calibri"/>
          <w:szCs w:val="22"/>
          <w:lang w:eastAsia="en-US"/>
        </w:rPr>
        <w:t xml:space="preserve"> la proposition de la Commission européenne,</w:t>
      </w:r>
    </w:p>
    <w:p w:rsidR="00224125" w:rsidRPr="00224125" w:rsidRDefault="00224125" w:rsidP="00224125">
      <w:pPr>
        <w:widowControl/>
        <w:spacing w:before="120" w:after="120" w:line="360" w:lineRule="auto"/>
        <w:rPr>
          <w:rFonts w:eastAsia="Calibri"/>
          <w:szCs w:val="22"/>
          <w:lang w:eastAsia="en-US"/>
        </w:rPr>
      </w:pPr>
      <w:proofErr w:type="gramStart"/>
      <w:r w:rsidRPr="00224125">
        <w:rPr>
          <w:rFonts w:eastAsia="Calibri"/>
          <w:szCs w:val="22"/>
          <w:lang w:eastAsia="en-US"/>
        </w:rPr>
        <w:t>vu</w:t>
      </w:r>
      <w:proofErr w:type="gramEnd"/>
      <w:r w:rsidRPr="00224125">
        <w:rPr>
          <w:rFonts w:eastAsia="Calibri"/>
          <w:szCs w:val="22"/>
          <w:lang w:eastAsia="en-US"/>
        </w:rPr>
        <w:t xml:space="preserve"> l'avis du Parlement européen,</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vu l'avis de la Banque centrale européenne</w:t>
      </w:r>
      <w:r w:rsidRPr="00224125">
        <w:rPr>
          <w:rFonts w:eastAsia="Calibri"/>
          <w:szCs w:val="22"/>
          <w:vertAlign w:val="superscript"/>
          <w:lang w:eastAsia="en-US"/>
        </w:rPr>
        <w:footnoteReference w:id="2"/>
      </w:r>
      <w:r w:rsidRPr="00224125">
        <w:rPr>
          <w:rFonts w:eastAsia="Calibri"/>
          <w:szCs w:val="22"/>
          <w:lang w:eastAsia="en-US"/>
        </w:rPr>
        <w:t>,</w:t>
      </w:r>
    </w:p>
    <w:p w:rsidR="00224125" w:rsidRPr="00224125" w:rsidRDefault="00224125" w:rsidP="00224125">
      <w:pPr>
        <w:widowControl/>
        <w:spacing w:before="120" w:after="120" w:line="360" w:lineRule="auto"/>
        <w:rPr>
          <w:rFonts w:eastAsia="Calibri"/>
          <w:szCs w:val="22"/>
          <w:lang w:eastAsia="en-US"/>
        </w:rPr>
      </w:pPr>
      <w:proofErr w:type="gramStart"/>
      <w:r w:rsidRPr="00224125">
        <w:rPr>
          <w:rFonts w:eastAsia="Calibri"/>
          <w:szCs w:val="22"/>
          <w:lang w:eastAsia="en-US"/>
        </w:rPr>
        <w:t>considérant</w:t>
      </w:r>
      <w:proofErr w:type="gramEnd"/>
      <w:r w:rsidRPr="00224125">
        <w:rPr>
          <w:rFonts w:eastAsia="Calibri"/>
          <w:szCs w:val="22"/>
          <w:lang w:eastAsia="en-US"/>
        </w:rPr>
        <w:t xml:space="preserve"> ce qui suit:</w:t>
      </w:r>
    </w:p>
    <w:p w:rsidR="00224125" w:rsidRPr="00224125" w:rsidRDefault="00224125" w:rsidP="00224125">
      <w:pPr>
        <w:widowControl/>
        <w:numPr>
          <w:ilvl w:val="0"/>
          <w:numId w:val="45"/>
        </w:numPr>
        <w:spacing w:before="120" w:after="120" w:line="360" w:lineRule="auto"/>
        <w:rPr>
          <w:rFonts w:eastAsia="Calibri"/>
          <w:szCs w:val="22"/>
          <w:lang w:eastAsia="en-US"/>
        </w:rPr>
      </w:pPr>
      <w:r w:rsidRPr="00224125">
        <w:rPr>
          <w:rFonts w:eastAsia="Calibri"/>
          <w:szCs w:val="22"/>
          <w:lang w:eastAsia="en-US"/>
        </w:rPr>
        <w:t>Afin de veiller au respect, par les États membres, des obligations qui leur incombent en vertu du traité sur le fonctionnement de l'Union européenne (TFUE) dans le domaine de la politique budgétaire, notamment pour ce qui est d'éviter des déficits publics excessifs, la directive 2011/85/UE du Conseil</w:t>
      </w:r>
      <w:r w:rsidRPr="00224125">
        <w:rPr>
          <w:rFonts w:eastAsia="Calibri"/>
          <w:szCs w:val="22"/>
          <w:vertAlign w:val="superscript"/>
          <w:lang w:eastAsia="en-US"/>
        </w:rPr>
        <w:footnoteReference w:id="3"/>
      </w:r>
      <w:r w:rsidRPr="00224125">
        <w:rPr>
          <w:rFonts w:eastAsia="Calibri"/>
          <w:szCs w:val="22"/>
          <w:lang w:eastAsia="en-US"/>
        </w:rPr>
        <w:t xml:space="preserve"> a établi des règles détaillées relatives aux caractéristiques des cadres budgétaires des États membres.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(2)</w:t>
      </w:r>
      <w:r w:rsidRPr="00224125">
        <w:rPr>
          <w:rFonts w:eastAsia="Calibri"/>
          <w:szCs w:val="22"/>
          <w:lang w:eastAsia="en-US"/>
        </w:rPr>
        <w:tab/>
        <w:t xml:space="preserve">Sur la base de l'expérience acquise dans le cadre de l'Union économique et monétaire depuis l'entrée en vigueur de la directive 2011/85/UE, il est nécessaire de modifier </w:t>
      </w:r>
      <w:r w:rsidRPr="00224125">
        <w:rPr>
          <w:rFonts w:eastAsia="Calibri"/>
          <w:szCs w:val="22"/>
          <w:lang w:eastAsia="en-US"/>
        </w:rPr>
        <w:lastRenderedPageBreak/>
        <w:t>ses exigences en ce qui concerne les règles et procédures formant les cadres budgétaires des États membres.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(3)</w:t>
      </w:r>
      <w:r w:rsidRPr="00224125">
        <w:rPr>
          <w:rFonts w:eastAsia="Calibri"/>
          <w:szCs w:val="22"/>
          <w:lang w:eastAsia="en-US"/>
        </w:rPr>
        <w:tab/>
        <w:t>En 2019, la Cour des comptes européenne a publié un rapport dans lequel elle examine les exigences de l'Union applicables aux cadres budgétaires nationaux et recommande à la Commission de réexaminer ces exigences, en tenant compte des normes et bonnes pratiques internationales. La Cour des comptes européenne a proposé des mesures spécifiques pour améliorer la portée et l'efficacité des cadres budgétaires nationaux, notamment en ce qui concerne les cadres budgétaires à moyen terme et les institutions budgétaires indépendantes</w:t>
      </w:r>
      <w:r w:rsidRPr="00224125">
        <w:rPr>
          <w:rFonts w:eastAsia="Calibri"/>
          <w:szCs w:val="22"/>
          <w:vertAlign w:val="superscript"/>
          <w:lang w:eastAsia="en-US"/>
        </w:rPr>
        <w:footnoteReference w:id="4"/>
      </w:r>
      <w:r w:rsidRPr="00224125">
        <w:rPr>
          <w:rFonts w:eastAsia="Calibri"/>
          <w:szCs w:val="22"/>
          <w:lang w:eastAsia="en-US"/>
        </w:rPr>
        <w:t>.</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(4)</w:t>
      </w:r>
      <w:r w:rsidRPr="00224125">
        <w:rPr>
          <w:rFonts w:eastAsia="Calibri"/>
          <w:szCs w:val="22"/>
          <w:lang w:eastAsia="en-US"/>
        </w:rPr>
        <w:tab/>
        <w:t>La communication de la Commission du 5 février 2020</w:t>
      </w:r>
      <w:r w:rsidRPr="00224125">
        <w:rPr>
          <w:rFonts w:eastAsia="Calibri"/>
          <w:szCs w:val="22"/>
          <w:vertAlign w:val="superscript"/>
          <w:lang w:eastAsia="en-US"/>
        </w:rPr>
        <w:footnoteReference w:id="5"/>
      </w:r>
      <w:r w:rsidRPr="00224125">
        <w:rPr>
          <w:rFonts w:eastAsia="Calibri"/>
          <w:szCs w:val="22"/>
          <w:lang w:eastAsia="en-US"/>
        </w:rPr>
        <w:t xml:space="preserve"> a mis en évidence des progrès substantiels mais inégaux dans l'élaboration des cadres budgétaires nationaux, étant donné que le droit de l'Union ne fixe que des exigences minimales et que la mise en œuvre et le respect des dispositions nationales ont été très variables. Elle a par ailleurs examiné dans quelle mesure le cadre pouvait répondre aux besoins de politique économique, environnementale et sociale liés à la transition vers une économie européenne neutre pour le climat, efficace dans l'utilisation des ressources et numérique, en complément du rôle clé joué par l'environnement réglementaire et les réformes structurelles.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(5)</w:t>
      </w:r>
      <w:r w:rsidRPr="00224125">
        <w:rPr>
          <w:rFonts w:eastAsia="Calibri"/>
          <w:szCs w:val="22"/>
          <w:lang w:eastAsia="en-US"/>
        </w:rPr>
        <w:tab/>
        <w:t>Dans sa communication du 11 décembre 2019 sur le pacte vert pour l'Europe</w:t>
      </w:r>
      <w:r w:rsidRPr="00224125">
        <w:rPr>
          <w:rFonts w:eastAsia="Calibri"/>
          <w:szCs w:val="22"/>
          <w:vertAlign w:val="superscript"/>
          <w:lang w:eastAsia="en-US"/>
        </w:rPr>
        <w:footnoteReference w:id="6"/>
      </w:r>
      <w:r w:rsidRPr="00224125">
        <w:rPr>
          <w:rFonts w:eastAsia="Calibri"/>
          <w:szCs w:val="22"/>
          <w:lang w:eastAsia="en-US"/>
        </w:rPr>
        <w:t>, la Commission a préconisé un recours accru aux outils de budgétisation verte afin de réorienter les investissements publics, la consommation et la fiscalité vers les priorités vertes et de renoncer aux subventions nuisibles. La loi européenne sur le climat fixe un objectif de neutralité climatique à l'échelle de l'Union à l'horizon 2050 et exige des institutions de l'Union et des États membres qu'ils réalisent des progrès en matière de renforcement de la capacité d'adaptation. La Commission s'est engagée à collaborer avec les États membres pour examiner attentivement et comparer les pratiques en matière de budgétisation verte. La communication de la Commission du 24 février 2021 sur la nouvelle stratégie de l'UE pour l'adaptation au changement climatique</w:t>
      </w:r>
      <w:r w:rsidRPr="00224125">
        <w:rPr>
          <w:rFonts w:eastAsia="Calibri"/>
          <w:szCs w:val="22"/>
          <w:vertAlign w:val="superscript"/>
          <w:lang w:eastAsia="en-US"/>
        </w:rPr>
        <w:footnoteReference w:id="7"/>
      </w:r>
      <w:r w:rsidRPr="00224125">
        <w:rPr>
          <w:rFonts w:eastAsia="Calibri"/>
          <w:szCs w:val="22"/>
          <w:lang w:eastAsia="en-US"/>
        </w:rPr>
        <w:t xml:space="preserve"> soulignait la pertinence </w:t>
      </w:r>
      <w:proofErr w:type="spellStart"/>
      <w:r w:rsidRPr="00224125">
        <w:rPr>
          <w:rFonts w:eastAsia="Calibri"/>
          <w:szCs w:val="22"/>
          <w:lang w:eastAsia="en-US"/>
        </w:rPr>
        <w:t>macrobudgétaire</w:t>
      </w:r>
      <w:proofErr w:type="spellEnd"/>
      <w:r w:rsidRPr="00224125">
        <w:rPr>
          <w:rFonts w:eastAsia="Calibri"/>
          <w:szCs w:val="22"/>
          <w:lang w:eastAsia="en-US"/>
        </w:rPr>
        <w:t xml:space="preserve"> du changement climatique et la nécessité d'accroître la résilience de l'UE face aux effets du changement climatique. Le Semestre européen fournit un cadre supplémentaire pour soutenir ces efforts, tandis que l'instrument d'appui technique offre une assistance pratique pour leur mise en œuvre.</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(6)</w:t>
      </w:r>
      <w:r w:rsidRPr="00224125">
        <w:rPr>
          <w:rFonts w:eastAsia="Calibri"/>
          <w:szCs w:val="22"/>
          <w:lang w:eastAsia="en-US"/>
        </w:rPr>
        <w:tab/>
        <w:t>Dans sa communication du 9 novembre 2022 sur les orientations pour une réforme du cadre de gouvernance économique de l'UE</w:t>
      </w:r>
      <w:r w:rsidRPr="00224125">
        <w:rPr>
          <w:rFonts w:eastAsia="Calibri"/>
          <w:szCs w:val="22"/>
          <w:vertAlign w:val="superscript"/>
          <w:lang w:eastAsia="en-US"/>
        </w:rPr>
        <w:footnoteReference w:id="8"/>
      </w:r>
      <w:r w:rsidRPr="00224125">
        <w:rPr>
          <w:rFonts w:eastAsia="Calibri"/>
          <w:szCs w:val="22"/>
          <w:lang w:eastAsia="en-US"/>
        </w:rPr>
        <w:t>, la Commission a souligné la nécessité de renforcer la soutenabilité de la dette et de réduire les ratios élevés de dette publique tout en promouvant une croissance durable et inclusive dans tous les États membres. Les principaux objectifs de ces orientations sont d'améliorer l'appropriation nationale, de simplifier le cadre et de passer à une approche renforcée axée sur le moyen terme, combinée à une application des règles plus rigoureuse et plus cohérente.</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(7)</w:t>
      </w:r>
      <w:r w:rsidRPr="00224125">
        <w:rPr>
          <w:rFonts w:eastAsia="Calibri"/>
          <w:szCs w:val="22"/>
          <w:lang w:eastAsia="en-US"/>
        </w:rPr>
        <w:tab/>
        <w:t>Afin d'améliorer le respect des dispositions du TFUE et, en particulier, d'empêcher la survenance de déficits publics excessifs au sens de l'article 126 du TFUE, il convient de prévoir dans le droit des États membres des dispositions spécifiques visant à renforcer l'appropriation nationale, conformément à la communication de la Commission du 9 novembre 2022 sur les orientations pour une réforme du cadre de gouvernance économique de l'UE, au-delà de celles actuellement requises par la directive 2011/85/UE. S'appuyant sur des données probantes de la mise en œuvre de ladite directive, les modifications devraient également porter sur des dispositions relatives à la transparence et aux statistiques, aux prévisions et à la budgétisation à moyen terme afin de remédier aux faiblesses relevées au cours de la mise en œuvre.</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(8)</w:t>
      </w:r>
      <w:r w:rsidRPr="00224125">
        <w:rPr>
          <w:rFonts w:eastAsia="Calibri"/>
          <w:szCs w:val="22"/>
          <w:lang w:eastAsia="en-US"/>
        </w:rPr>
        <w:tab/>
        <w:t>La présente directive fait partie d'un paquet qui comprend le règlement (UE) [XXX]</w:t>
      </w:r>
      <w:r w:rsidRPr="00224125">
        <w:rPr>
          <w:rFonts w:eastAsia="Calibri"/>
          <w:szCs w:val="22"/>
          <w:vertAlign w:val="superscript"/>
          <w:lang w:eastAsia="en-US"/>
        </w:rPr>
        <w:footnoteReference w:id="9"/>
      </w:r>
      <w:r w:rsidRPr="00224125">
        <w:rPr>
          <w:rFonts w:eastAsia="Calibri"/>
          <w:szCs w:val="22"/>
          <w:lang w:eastAsia="en-US"/>
        </w:rPr>
        <w:t xml:space="preserve"> du Parlement et du Conseil remplaçant le règlement (CE) nº 1466/97</w:t>
      </w:r>
      <w:r w:rsidRPr="00224125">
        <w:rPr>
          <w:rFonts w:eastAsia="Calibri"/>
          <w:szCs w:val="22"/>
          <w:vertAlign w:val="superscript"/>
          <w:lang w:eastAsia="en-US"/>
        </w:rPr>
        <w:footnoteReference w:id="10"/>
      </w:r>
      <w:r w:rsidRPr="00224125">
        <w:rPr>
          <w:rFonts w:eastAsia="Calibri"/>
          <w:szCs w:val="22"/>
          <w:lang w:eastAsia="en-US"/>
        </w:rPr>
        <w:t xml:space="preserve"> (volet préventif du pacte de stabilité et de croissance) et le règlement [XXX] du Conseil</w:t>
      </w:r>
      <w:r w:rsidRPr="00224125">
        <w:rPr>
          <w:rFonts w:eastAsia="Calibri"/>
          <w:szCs w:val="22"/>
          <w:vertAlign w:val="superscript"/>
          <w:lang w:eastAsia="en-US"/>
        </w:rPr>
        <w:footnoteReference w:id="11"/>
      </w:r>
      <w:r w:rsidRPr="00224125">
        <w:rPr>
          <w:rFonts w:eastAsia="Calibri"/>
          <w:szCs w:val="22"/>
          <w:lang w:eastAsia="en-US"/>
        </w:rPr>
        <w:t xml:space="preserve"> modifiant le règlement (CE) nº 1467/97 du Conseil</w:t>
      </w:r>
      <w:r w:rsidRPr="00224125">
        <w:rPr>
          <w:rFonts w:eastAsia="Calibri"/>
          <w:szCs w:val="22"/>
          <w:vertAlign w:val="superscript"/>
          <w:lang w:eastAsia="en-US"/>
        </w:rPr>
        <w:footnoteReference w:id="12"/>
      </w:r>
      <w:r w:rsidRPr="00224125">
        <w:rPr>
          <w:rFonts w:eastAsia="Calibri"/>
          <w:szCs w:val="22"/>
          <w:lang w:eastAsia="en-US"/>
        </w:rPr>
        <w:t xml:space="preserve"> (volet correctif du pacte de stabilité et de croissance). Ensemble, ils établissent un cadre réformé de gouvernance économique de l'Union qui intègre dans le droit de l'Union le contenu du titre III – "Pacte budgétaire" – du traité intergouvernemental sur la stabilité, la coordination et la gouvernance (TSCG) au sein de l'Union économique et monétaire</w:t>
      </w:r>
      <w:r w:rsidRPr="00224125">
        <w:rPr>
          <w:rFonts w:eastAsia="Calibri"/>
          <w:szCs w:val="22"/>
          <w:vertAlign w:val="superscript"/>
          <w:lang w:eastAsia="en-US"/>
        </w:rPr>
        <w:footnoteReference w:id="13"/>
      </w:r>
      <w:r w:rsidRPr="00224125">
        <w:rPr>
          <w:rFonts w:eastAsia="Calibri"/>
          <w:szCs w:val="22"/>
          <w:lang w:eastAsia="en-US"/>
        </w:rPr>
        <w:t>, conformément à son article 16. En s'appuyant sur l'expérience acquise lors de la mise en œuvre du TSCG par les États membres, le paquet conserve l'orientation à moyen terme du pacte budgétaire en tant qu'outil de discipline budgétaire et de promotion de la croissance. Le paquet prévoit une perspective par pays renforcée visant à accroître l'appropriation nationale, notamment en préservant le rôle des institutions budgétaires indépendantes sur la base des principes communs du pacte budgétaire proposés par la Commission</w:t>
      </w:r>
      <w:r w:rsidRPr="00224125">
        <w:rPr>
          <w:rFonts w:eastAsia="Calibri"/>
          <w:szCs w:val="22"/>
          <w:vertAlign w:val="superscript"/>
          <w:lang w:eastAsia="en-US"/>
        </w:rPr>
        <w:footnoteReference w:id="14"/>
      </w:r>
      <w:r w:rsidRPr="00224125">
        <w:rPr>
          <w:rFonts w:eastAsia="Calibri"/>
          <w:szCs w:val="22"/>
          <w:lang w:eastAsia="en-US"/>
        </w:rPr>
        <w:t xml:space="preserve"> conformément à l'article 3, paragraphe 2, du TSCG. L'analyse des dépenses, déduction faite des mesures discrétionnaires en matière de recettes, aux fins de l'évaluation globale de la conformité requise par le pacte budgétaire est exposée dans le règlement [XXX] remplaçant le règlement (CE) nº 1466/97. Comme dans le pacte budgétaire, les écarts temporaires par rapport au plan à moyen terme ne sont autorisés qu'en cas de circonstances exceptionnelles dans le règlement [XXX] remplaçant le règlement (CE) nº 1466/97. De même, en cas d'écarts importants par rapport au plan à moyen terme, des mesures devraient être mises en œuvre pour corriger les écarts sur une période déterminée. Le paquet renforce les procédures de surveillance et d'exécution budgétaires afin d'honorer l'engagement de promouvoir des finances publiques saines et viables et une </w:t>
      </w:r>
      <w:r w:rsidRPr="00224125">
        <w:rPr>
          <w:rFonts w:eastAsia="Calibri"/>
          <w:szCs w:val="22"/>
          <w:lang w:eastAsia="en-US"/>
        </w:rPr>
        <w:lastRenderedPageBreak/>
        <w:t>croissance durable et inclusive. La réforme du cadre de gouvernance économique conserve donc les objectifs fondamentaux de discipline budgétaire et de soutenabilité de la dette énoncés dans le TSCG.</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(9)</w:t>
      </w:r>
      <w:r w:rsidRPr="00224125">
        <w:rPr>
          <w:rFonts w:eastAsia="Calibri"/>
          <w:szCs w:val="22"/>
          <w:lang w:eastAsia="en-US"/>
        </w:rPr>
        <w:tab/>
        <w:t>L'application de pratiques comptables publiques exhaustives et fiables dans tous les sous-secteurs des administrations publiques est une condition préalable à la production de statistiques de grande qualité qui soient comparables d'un État membre à l'autre. La disponibilité de statistiques fondées sur le système européen des comptes nationaux et régionaux (SEC) et la qualité de ces statistiques sont essentielles pour assurer le bon fonctionnement du cadre de surveillance budgétaire de l'Union. Le SEC 2010 repose sur des informations fournies sur la base des droits constatés. Il est donc souhaitable d'améliorer la collecte des données fondées sur les droits constatés et des informations nécessaires pour produire des statistiques fondées sur les droits constatés d'une manière qui soit complète et cohérente dans tous les sous-secteurs des administrations publiques.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(10)</w:t>
      </w:r>
      <w:r w:rsidRPr="00224125">
        <w:rPr>
          <w:rFonts w:eastAsia="Calibri"/>
          <w:szCs w:val="22"/>
          <w:lang w:eastAsia="en-US"/>
        </w:rPr>
        <w:tab/>
        <w:t>La disponibilité de données haute fréquence peut mettre en évidence des évolutions justifiant une surveillance plus étroite et améliorer la qualité des prévisions budgétaires. Les États membres et la Commission (Eurostat) devraient publier des données trimestrielles relatives au déficit et à la dette en appliquant les définitions figurant à l'article 2 du protocole (n° 12) sur la procédure concernant les déficits excessifs annexé au traité sur l'Union européenne (TUE) et au TFUE. La publication de données budgétaires de fréquence plus élevée, qui sont adaptées aux définitions budgétaires nationales, devrait être déterminée sur la base des exigences nationales en matière de transparence et des besoins des utilisateurs, afin d'améliorer l'appropriation nationale.</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(11)</w:t>
      </w:r>
      <w:r w:rsidRPr="00224125">
        <w:rPr>
          <w:rFonts w:eastAsia="Calibri"/>
          <w:szCs w:val="22"/>
          <w:lang w:eastAsia="en-US"/>
        </w:rPr>
        <w:tab/>
        <w:t>Des prévisions macroéconomiques et budgétaires biaisées et irréalistes aux fins de l'établissement des lois budgétaires annuelles et pluriannuelles peuvent considérablement nuire à l'efficacité de la programmation budgétaire et, en conséquence, rendre difficile le respect de la discipline budgétaire. Afin d'améliorer les hypothèses de base, les États membres devraient comparer leurs prévisions macroéconomiques et budgétaires aux prévisions les plus récentes de la Commission et, le cas échéant, à celles d'autres organismes indépendants.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(12)</w:t>
      </w:r>
      <w:r w:rsidRPr="00224125">
        <w:rPr>
          <w:rFonts w:eastAsia="Calibri"/>
          <w:szCs w:val="22"/>
          <w:lang w:eastAsia="en-US"/>
        </w:rPr>
        <w:tab/>
        <w:t>Les prévisions macroéconomiques et budgétaires aux fins de la programmation budgétaire annuelle et pluriannuelle pour les administrations publiques devraient faire l'objet d'évaluations ex post régulières, objectives et globales réalisées par un organisme indépendant ou d'autres organismes jouissant d'une autonomie fonctionnelle à l'égard des autorités budgétaires des États membres, différents de celui qui a réalisé les prévisions, afin d'en améliorer la qualité. Ces évaluations devraient inclure un examen des hypothèses économiques, des comparaisons avec les prévisions établies par d'autres institutions et une évaluation de la performance des prévisions passées.</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(13)</w:t>
      </w:r>
      <w:r w:rsidRPr="00224125">
        <w:rPr>
          <w:rFonts w:eastAsia="Calibri"/>
          <w:szCs w:val="22"/>
          <w:lang w:eastAsia="en-US"/>
        </w:rPr>
        <w:tab/>
        <w:t>Des organismes indépendants chargés de la surveillance des finances publiques dans les États membres constituent une composante efficace des cadres budgétaires. Le règlement (UE) n° 473/2013 du Parlement européen et du Conseil</w:t>
      </w:r>
      <w:r w:rsidRPr="00224125">
        <w:rPr>
          <w:rFonts w:eastAsia="Calibri"/>
          <w:szCs w:val="22"/>
          <w:vertAlign w:val="superscript"/>
          <w:lang w:eastAsia="en-US"/>
        </w:rPr>
        <w:footnoteReference w:id="15"/>
      </w:r>
      <w:r w:rsidRPr="00224125">
        <w:rPr>
          <w:rFonts w:eastAsia="Calibri"/>
          <w:szCs w:val="22"/>
          <w:lang w:eastAsia="en-US"/>
        </w:rPr>
        <w:t xml:space="preserve"> impose aux États membres dont la monnaie est l'euro de disposer d'institutions budgétaires indépendantes chargées d'approuver ou de réaliser des prévisions macroéconomiques et établit des garanties spécifiques en ce qui concerne leur indépendance et leur capacité technique. Sans préjudice des exigences prévues par le règlement (UE) n° 473/2013, la tâche des institutions budgétaires indépendantes consistant à réaliser, évaluer ou approuver des prévisions macroéconomiques, conformément à l'article 8, paragraphe 4, devrait tenir compte des procédures et pratiques nationales établies dans les États membres, y compris celles concernant le moment auquel la tâche est exécutée.</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(14)</w:t>
      </w:r>
      <w:r w:rsidRPr="00224125">
        <w:rPr>
          <w:rFonts w:eastAsia="Calibri"/>
          <w:szCs w:val="22"/>
          <w:lang w:eastAsia="en-US"/>
        </w:rPr>
        <w:tab/>
        <w:t>Afin de parvenir à une responsabilité renforcée en matière de politique budgétaire, les institutions budgétaires indépendantes devraient disposer d'un degré élevé d'indépendance opérationnelle, des ressources nécessaires à l'accomplissement de leurs tâches et d'un accès étendu et en temps utile aux informations nécessaires. Les États membres peuvent mettre en place plus d'une institution budgétaire indépendante, et chacun d'entre elles peut s'acquitter d'une ou de plusieurs des tâches prévues par la présente directive, dès lors que les responsabilités sont clairement réparties et qu'il n'y a pas de chevauchement des compétences entre elles. Il convient d'éviter une fragmentation institutionnelle excessive des tâches de suivi. La mise en place de ces organismes de suivi devrait tenir compte du paysage institutionnel existant et de la structure administrative de l'État membre concerné.</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(15)</w:t>
      </w:r>
      <w:r w:rsidRPr="00224125">
        <w:rPr>
          <w:rFonts w:eastAsia="Calibri"/>
          <w:szCs w:val="22"/>
          <w:lang w:eastAsia="en-US"/>
        </w:rPr>
        <w:tab/>
        <w:t xml:space="preserve">Afin d'améliorer la programmation budgétaire, il convient d'accorder, dans la mesure du possible, toute l'attention voulue aux risques </w:t>
      </w:r>
      <w:proofErr w:type="spellStart"/>
      <w:r w:rsidRPr="00224125">
        <w:rPr>
          <w:rFonts w:eastAsia="Calibri"/>
          <w:szCs w:val="22"/>
          <w:lang w:eastAsia="en-US"/>
        </w:rPr>
        <w:t>macrobudgétaires</w:t>
      </w:r>
      <w:proofErr w:type="spellEnd"/>
      <w:r w:rsidRPr="00224125">
        <w:rPr>
          <w:rFonts w:eastAsia="Calibri"/>
          <w:szCs w:val="22"/>
          <w:lang w:eastAsia="en-US"/>
        </w:rPr>
        <w:t xml:space="preserve"> dus au changement climatique, y compris à leur impact sur l'environnement et à leurs effets distributifs. La compréhension des canaux potentiels par lesquels les chocs liés au climat affectent les finances publiques est essentielle pour des stratégies nationales visant à limiter et à gérer les risques budgétaires découlant du changement climatique et des catastrophes connexes.</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(16)</w:t>
      </w:r>
      <w:r w:rsidRPr="00224125">
        <w:rPr>
          <w:rFonts w:eastAsia="Calibri"/>
          <w:szCs w:val="22"/>
          <w:lang w:eastAsia="en-US"/>
        </w:rPr>
        <w:tab/>
        <w:t>Bien que l'approbation d'une loi budgétaire annuelle soit une étape essentielle dans le processus budgétaire pour la responsabilité démocratique, un horizon d'un an pour la programmation budgétaire constitue une base limitée pour la conduite d'une politique budgétaire saine, étant donné que la plupart des mesures ont des incidences qui vont bien au-delà du cycle budgétaire annuel. Dès lors, une programmation budgétaire à moyen terme efficace renforce la crédibilité de la politique budgétaire tout en tenant compte de la soutenabilité de la dette. Une telle programmation devrait reposer sur une définition claire et cohérente des objectifs budgétaires nationaux à moyen terme pour les administrations publiques, qui sont présentés dans les plans nationaux à moyen terme. Afin de favoriser une perspective budgétaire pluriannuelle, la planification des lois budgétaires annuelles devrait être conforme aux objectifs budgétaires nationaux à moyen terme visés à l'article 2, point e).</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(17)</w:t>
      </w:r>
      <w:r w:rsidRPr="00224125">
        <w:rPr>
          <w:rFonts w:eastAsia="Calibri"/>
          <w:szCs w:val="22"/>
          <w:lang w:eastAsia="en-US"/>
        </w:rPr>
        <w:tab/>
        <w:t>Pour promouvoir efficacement la discipline budgétaire et la soutenabilité des finances publiques, les cadres budgétaires devraient couvrir l'ensemble des finances publiques. C'est pourquoi il conviendrait d'accorder une attention particulière aux opérations desdits organismes et fonds des administrations publiques qui n'entrent pas dans le périmètre des budgets ordinaires mais font partie des administrations publiques, y compris les sous-secteurs, et qui ont un impact immédiat ou à moyen terme sur la situation budgétaire des États membres. Les États membres publient aussi des valeurs correspondant à l'impact combiné de ces organismes et fonds sur les soldes et les dettes des administrations publiques. Des informations détaillées concernant l'impact des dépenses fiscales sur les recettes devraient être publiées.</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widowControl/>
        <w:numPr>
          <w:ilvl w:val="0"/>
          <w:numId w:val="46"/>
        </w:numPr>
        <w:spacing w:before="120" w:after="120" w:line="360" w:lineRule="auto"/>
        <w:rPr>
          <w:rFonts w:eastAsia="Calibri"/>
          <w:szCs w:val="22"/>
          <w:lang w:eastAsia="en-US"/>
        </w:rPr>
      </w:pPr>
      <w:r w:rsidRPr="00224125">
        <w:rPr>
          <w:rFonts w:eastAsia="Calibri"/>
          <w:szCs w:val="22"/>
          <w:lang w:eastAsia="en-US"/>
        </w:rPr>
        <w:t xml:space="preserve">Les outils de budgétisation verte peuvent contribuer à réorienter les recettes et les dépenses publiques vers des priorités écologiques. À cet égard, la communication régulière d'informations pertinentes améliore les délibérations sur le budget. Les </w:t>
      </w:r>
      <w:r w:rsidRPr="00224125">
        <w:rPr>
          <w:rFonts w:eastAsia="Calibri"/>
          <w:szCs w:val="22"/>
          <w:lang w:eastAsia="en-US"/>
        </w:rPr>
        <w:lastRenderedPageBreak/>
        <w:t>États membres pourraient publier les informations sur la manière dont les éléments pertinents de leur budget contribuent à l'exécution des engagements nationaux et internationaux en matière de climat et d'environnement, ainsi que la méthode utilisée. Ils devraient publier des données et des informations descriptives séparément pour les postes de dépenses, de dépenses fiscales et de recettes. Les États membres pourraient publier des informations sur les effets distributifs des politiques budgétaires et à tenir compte des aspects liés à l'emploi, sociaux et distributifs dans la mise au point de la budgétisation verte</w:t>
      </w:r>
      <w:r w:rsidRPr="00224125">
        <w:rPr>
          <w:szCs w:val="22"/>
          <w:vertAlign w:val="superscript"/>
          <w:lang w:eastAsia="en-US"/>
        </w:rPr>
        <w:footnoteReference w:id="16"/>
      </w:r>
      <w:r w:rsidRPr="00224125">
        <w:rPr>
          <w:rFonts w:eastAsia="Calibri"/>
          <w:szCs w:val="22"/>
          <w:lang w:eastAsia="en-US"/>
        </w:rPr>
        <w:t>.</w:t>
      </w:r>
    </w:p>
    <w:p w:rsidR="00224125" w:rsidRPr="00224125" w:rsidRDefault="00224125" w:rsidP="00224125">
      <w:pPr>
        <w:widowControl/>
        <w:spacing w:after="200" w:line="276" w:lineRule="auto"/>
        <w:rPr>
          <w:szCs w:val="22"/>
          <w:lang w:eastAsia="en-US"/>
        </w:rPr>
      </w:pPr>
      <w:r w:rsidRPr="00224125">
        <w:rPr>
          <w:rFonts w:eastAsia="Calibri"/>
          <w:szCs w:val="22"/>
          <w:lang w:eastAsia="en-US"/>
        </w:rPr>
        <w:br w:type="page"/>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lastRenderedPageBreak/>
        <w:t>(20)</w:t>
      </w:r>
      <w:r w:rsidRPr="00224125">
        <w:rPr>
          <w:rFonts w:eastAsia="Calibri"/>
          <w:szCs w:val="22"/>
          <w:lang w:eastAsia="en-US"/>
        </w:rPr>
        <w:tab/>
        <w:t>Il convient d'accorder toute l'attention nécessaire à l'existence d'engagements conditionnels. Plus précisément, les engagements conditionnels englobent les obligations potentielles qui dépendent de la survenance d'un événement futur incertain ou les obligations actuelles pour lesquelles un paiement n'est pas probable ou dont le montant probablement dû ne peut être évalué d'une manière fiable. Ils comprennent, par exemple, les garanties publiques, les prêts improductifs, les passifs découlant de l'activité d'entreprises publiques et, dans la mesure du possible, les engagements conditionnels liés à des catastrophes et au climat.</w:t>
      </w:r>
    </w:p>
    <w:p w:rsidR="00224125" w:rsidRPr="00224125" w:rsidRDefault="00224125" w:rsidP="00224125">
      <w:pPr>
        <w:widowControl/>
        <w:tabs>
          <w:tab w:val="num" w:pos="850"/>
        </w:tabs>
        <w:spacing w:before="120" w:after="120" w:line="360" w:lineRule="auto"/>
        <w:ind w:left="850" w:hanging="850"/>
        <w:rPr>
          <w:rFonts w:eastAsia="Calibri"/>
          <w:szCs w:val="22"/>
          <w:lang w:eastAsia="en-US"/>
        </w:rPr>
      </w:pPr>
      <w:r w:rsidRPr="00224125">
        <w:rPr>
          <w:rFonts w:eastAsia="Calibri"/>
          <w:szCs w:val="22"/>
          <w:lang w:eastAsia="en-US"/>
        </w:rPr>
        <w:t>(21)</w:t>
      </w:r>
      <w:r w:rsidRPr="00224125">
        <w:rPr>
          <w:rFonts w:eastAsia="Calibri"/>
          <w:szCs w:val="22"/>
          <w:lang w:eastAsia="en-US"/>
        </w:rPr>
        <w:tab/>
        <w:t>Les catastrophes naturelles et les phénomènes météorologiques extrêmes ont touché la plupart des États membres et le changement climatique devrait amplifier la fréquence et l'intensité de ces événements. Les pouvoirs publics investissent dans des mesures d'adaptation au changement climatique et interviennent pour couvrir les coûts de l'aide d'urgence, de la relance et de la reconstruction en cas de catastrophe et pour agir en tant qu'assureur de dernier ressort dans certains cas. Compte tenu des défis actuels et futurs pour la viabilité des finances publiques, il convient d'accorder une attention particulière aux obligations des pouvoirs publics et aux risques pour les finances publiques découlant de catastrophes naturelles et de chocs liés au climat, en commençant par la collecte et la publication d'informations sur le coût budgétaire des événements passés dans la mesure du possible.</w:t>
      </w:r>
    </w:p>
    <w:p w:rsidR="00224125" w:rsidRPr="00224125" w:rsidRDefault="00224125" w:rsidP="00224125">
      <w:pPr>
        <w:widowControl/>
        <w:spacing w:before="120" w:after="120" w:line="360" w:lineRule="auto"/>
        <w:ind w:left="850" w:hanging="850"/>
        <w:rPr>
          <w:rFonts w:eastAsia="Calibri"/>
          <w:b/>
          <w:i/>
          <w:szCs w:val="22"/>
          <w:lang w:eastAsia="en-US"/>
        </w:rPr>
      </w:pPr>
      <w:r w:rsidRPr="00224125">
        <w:rPr>
          <w:rFonts w:eastAsia="Calibri"/>
          <w:b/>
          <w:i/>
          <w:szCs w:val="22"/>
          <w:lang w:eastAsia="en-US"/>
        </w:rPr>
        <w:t>(21 bis)</w:t>
      </w:r>
      <w:r w:rsidRPr="00224125">
        <w:rPr>
          <w:rFonts w:eastAsia="Calibri"/>
          <w:b/>
          <w:i/>
          <w:szCs w:val="22"/>
          <w:lang w:eastAsia="en-US"/>
        </w:rPr>
        <w:tab/>
        <w:t xml:space="preserve">La communication d'informations sur les risques </w:t>
      </w:r>
      <w:proofErr w:type="spellStart"/>
      <w:r w:rsidRPr="00224125">
        <w:rPr>
          <w:rFonts w:eastAsia="Calibri"/>
          <w:b/>
          <w:i/>
          <w:szCs w:val="22"/>
          <w:lang w:eastAsia="en-US"/>
        </w:rPr>
        <w:t>macrobudgétaires</w:t>
      </w:r>
      <w:proofErr w:type="spellEnd"/>
      <w:r w:rsidRPr="00224125">
        <w:rPr>
          <w:rFonts w:eastAsia="Calibri"/>
          <w:b/>
          <w:i/>
          <w:szCs w:val="22"/>
          <w:lang w:eastAsia="en-US"/>
        </w:rPr>
        <w:t xml:space="preserve"> dus au changement climatique, les engagements conditionnels liés au climat et les coûts budgétaires des catastrophes s'améliore, mais n'en est encore qu'à ses débuts, des méthodes et des indicateurs pour une telle communication étant toujours en cours d'élaboration. L'adaptation à cette communication d'informations nécessitera des efforts considérables de la part des administrations publiques. Compte tenu de ces défis, et dans la mesure du possible, la communication d'informations dans ces domaines devrait s'effectuer et évoluer en parallèle de ces avancées méthodologiques.</w:t>
      </w:r>
    </w:p>
    <w:p w:rsidR="00224125" w:rsidRPr="00224125" w:rsidRDefault="00224125" w:rsidP="00224125">
      <w:pPr>
        <w:widowControl/>
        <w:spacing w:after="200" w:line="276" w:lineRule="auto"/>
        <w:rPr>
          <w:rFonts w:eastAsia="Calibri"/>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850" w:hanging="850"/>
        <w:jc w:val="both"/>
        <w:rPr>
          <w:rFonts w:eastAsia="Calibri"/>
          <w:szCs w:val="22"/>
          <w:lang w:eastAsia="en-US"/>
        </w:rPr>
      </w:pPr>
    </w:p>
    <w:p w:rsidR="00224125" w:rsidRPr="00224125" w:rsidRDefault="00224125" w:rsidP="00224125">
      <w:pPr>
        <w:widowControl/>
        <w:tabs>
          <w:tab w:val="num" w:pos="850"/>
        </w:tabs>
        <w:spacing w:before="120" w:after="120" w:line="360" w:lineRule="auto"/>
        <w:ind w:left="850" w:hanging="850"/>
        <w:jc w:val="both"/>
        <w:rPr>
          <w:rFonts w:eastAsia="Calibri"/>
          <w:szCs w:val="22"/>
          <w:lang w:eastAsia="en-US"/>
        </w:rPr>
      </w:pPr>
      <w:r w:rsidRPr="00224125">
        <w:rPr>
          <w:rFonts w:eastAsia="Calibri"/>
          <w:szCs w:val="22"/>
          <w:lang w:eastAsia="en-US"/>
        </w:rPr>
        <w:t>(22)</w:t>
      </w:r>
      <w:r w:rsidRPr="00224125">
        <w:rPr>
          <w:rFonts w:eastAsia="Calibri"/>
          <w:szCs w:val="22"/>
          <w:lang w:eastAsia="en-US"/>
        </w:rPr>
        <w:tab/>
        <w:t>La Commission devrait continuer d'assurer un suivi régulier de la mise en œuvre de la directive 2011/85/UE. Il conviendrait de recenser et de partager les bonnes pratiques en ce qui concerne la mise en œuvre des dispositions de ladite directive.</w:t>
      </w:r>
    </w:p>
    <w:p w:rsidR="00224125" w:rsidRPr="00224125" w:rsidRDefault="00224125" w:rsidP="00224125">
      <w:pPr>
        <w:widowControl/>
        <w:tabs>
          <w:tab w:val="num" w:pos="850"/>
        </w:tabs>
        <w:spacing w:before="120" w:after="120" w:line="360" w:lineRule="auto"/>
        <w:ind w:left="850" w:hanging="850"/>
        <w:jc w:val="both"/>
        <w:rPr>
          <w:rFonts w:eastAsia="Calibri"/>
          <w:szCs w:val="22"/>
          <w:lang w:eastAsia="en-US"/>
        </w:rPr>
      </w:pPr>
      <w:r w:rsidRPr="00224125">
        <w:rPr>
          <w:rFonts w:eastAsia="Calibri"/>
          <w:szCs w:val="22"/>
          <w:lang w:eastAsia="en-US"/>
        </w:rPr>
        <w:t>(23)</w:t>
      </w:r>
      <w:r w:rsidRPr="00224125">
        <w:rPr>
          <w:rFonts w:eastAsia="Calibri"/>
          <w:szCs w:val="22"/>
          <w:lang w:eastAsia="en-US"/>
        </w:rPr>
        <w:tab/>
        <w:t>Il convient dès lors de modifier la directive 2011/85/UE en conséquence,</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keepNext/>
        <w:widowControl/>
        <w:spacing w:before="120" w:after="120" w:line="360" w:lineRule="auto"/>
        <w:jc w:val="both"/>
        <w:rPr>
          <w:rFonts w:eastAsia="Calibri"/>
          <w:szCs w:val="22"/>
          <w:lang w:eastAsia="en-US"/>
        </w:rPr>
      </w:pPr>
      <w:r w:rsidRPr="00224125">
        <w:rPr>
          <w:rFonts w:eastAsia="Calibri"/>
          <w:szCs w:val="22"/>
          <w:lang w:eastAsia="en-US"/>
        </w:rPr>
        <w:t>A ADOPTÉ LA PRÉSENTE DIRECTIVE:</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La directive 2011/85/UE est modifiée comme suit:</w:t>
      </w:r>
    </w:p>
    <w:p w:rsidR="00224125" w:rsidRPr="00224125" w:rsidRDefault="00224125" w:rsidP="00224125">
      <w:pPr>
        <w:widowControl/>
        <w:shd w:val="clear" w:color="auto" w:fill="FFFFFF"/>
        <w:spacing w:before="120" w:line="360" w:lineRule="auto"/>
        <w:ind w:left="851" w:hanging="851"/>
        <w:jc w:val="both"/>
        <w:rPr>
          <w:rFonts w:eastAsia="Calibri"/>
          <w:color w:val="000000"/>
          <w:szCs w:val="24"/>
          <w:lang w:eastAsia="en-US"/>
        </w:rPr>
      </w:pPr>
      <w:r w:rsidRPr="00224125">
        <w:rPr>
          <w:rFonts w:eastAsia="Calibri"/>
          <w:color w:val="000000"/>
          <w:szCs w:val="22"/>
          <w:lang w:eastAsia="en-US"/>
        </w:rPr>
        <w:t>1)</w:t>
      </w:r>
      <w:r w:rsidRPr="00224125">
        <w:rPr>
          <w:rFonts w:eastAsia="Calibri"/>
          <w:color w:val="000000"/>
          <w:szCs w:val="22"/>
          <w:lang w:eastAsia="en-US"/>
        </w:rPr>
        <w:tab/>
        <w:t>L'article 2 est modifié comme suit:</w:t>
      </w:r>
    </w:p>
    <w:p w:rsidR="00224125" w:rsidRPr="00224125" w:rsidRDefault="00224125" w:rsidP="00224125">
      <w:pPr>
        <w:widowControl/>
        <w:numPr>
          <w:ilvl w:val="5"/>
          <w:numId w:val="45"/>
        </w:numPr>
        <w:spacing w:before="120" w:after="120" w:line="360" w:lineRule="auto"/>
        <w:ind w:left="1418"/>
        <w:jc w:val="both"/>
        <w:rPr>
          <w:rFonts w:eastAsia="Calibri"/>
          <w:szCs w:val="22"/>
          <w:lang w:eastAsia="en-US"/>
        </w:rPr>
      </w:pPr>
      <w:proofErr w:type="gramStart"/>
      <w:r w:rsidRPr="00224125">
        <w:rPr>
          <w:rFonts w:eastAsia="Calibri"/>
          <w:szCs w:val="22"/>
          <w:lang w:eastAsia="en-US"/>
        </w:rPr>
        <w:t>au</w:t>
      </w:r>
      <w:proofErr w:type="gramEnd"/>
      <w:r w:rsidRPr="00224125">
        <w:rPr>
          <w:rFonts w:eastAsia="Calibri"/>
          <w:szCs w:val="22"/>
          <w:lang w:eastAsia="en-US"/>
        </w:rPr>
        <w:t xml:space="preserve"> premier alinéa, la deuxième phrase est remplacée par le texte suivant:</w:t>
      </w:r>
    </w:p>
    <w:p w:rsidR="00224125" w:rsidRPr="00224125" w:rsidRDefault="00224125" w:rsidP="00224125">
      <w:pPr>
        <w:widowControl/>
        <w:shd w:val="clear" w:color="auto" w:fill="FFFFFF"/>
        <w:spacing w:line="360" w:lineRule="auto"/>
        <w:ind w:left="1418"/>
        <w:contextualSpacing/>
        <w:rPr>
          <w:rFonts w:eastAsia="Calibri"/>
          <w:noProof/>
          <w:sz w:val="28"/>
          <w:szCs w:val="24"/>
          <w:lang w:eastAsia="en-US"/>
        </w:rPr>
      </w:pPr>
      <w:r w:rsidRPr="00224125">
        <w:rPr>
          <w:rFonts w:eastAsia="Calibri"/>
          <w:noProof/>
          <w:szCs w:val="24"/>
          <w:lang w:eastAsia="en-US"/>
        </w:rPr>
        <w:t>"La définition de l'expression "sous-secteurs des administrations publiques" énoncée à l'annexe A du règlement (UE) n° 549/2013 du Parlement européen et du Conseil est applicable*.</w:t>
      </w:r>
    </w:p>
    <w:p w:rsidR="00224125" w:rsidRPr="00224125" w:rsidRDefault="00224125" w:rsidP="00224125">
      <w:pPr>
        <w:widowControl/>
        <w:shd w:val="clear" w:color="auto" w:fill="FFFFFF"/>
        <w:spacing w:line="360" w:lineRule="auto"/>
        <w:contextualSpacing/>
        <w:rPr>
          <w:rFonts w:eastAsia="Calibri"/>
          <w:noProof/>
          <w:color w:val="000000"/>
          <w:szCs w:val="22"/>
          <w:lang w:eastAsia="en-US"/>
        </w:rPr>
      </w:pPr>
      <w:r w:rsidRPr="00224125">
        <w:rPr>
          <w:rFonts w:eastAsia="Calibri" w:cs="Arial"/>
          <w:noProof/>
          <w:color w:val="000000"/>
          <w:szCs w:val="22"/>
          <w:lang w:eastAsia="en-US"/>
        </w:rPr>
        <w:t>___________</w:t>
      </w:r>
    </w:p>
    <w:p w:rsidR="00224125" w:rsidRPr="00224125" w:rsidRDefault="00224125" w:rsidP="00224125">
      <w:pPr>
        <w:widowControl/>
        <w:shd w:val="clear" w:color="auto" w:fill="FFFFFF"/>
        <w:spacing w:line="360" w:lineRule="auto"/>
        <w:contextualSpacing/>
        <w:rPr>
          <w:rFonts w:eastAsia="Calibri"/>
          <w:noProof/>
          <w:szCs w:val="22"/>
          <w:lang w:eastAsia="en-US"/>
        </w:rPr>
      </w:pPr>
      <w:r w:rsidRPr="00224125">
        <w:rPr>
          <w:rFonts w:eastAsia="Calibri" w:cs="Arial"/>
          <w:noProof/>
          <w:szCs w:val="22"/>
          <w:lang w:eastAsia="en-US"/>
        </w:rPr>
        <w:t>*JO L 174 du 26.6.2013, p. 1.";</w:t>
      </w:r>
    </w:p>
    <w:p w:rsidR="00224125" w:rsidRPr="00224125" w:rsidRDefault="00224125" w:rsidP="00224125">
      <w:pPr>
        <w:widowControl/>
        <w:spacing w:after="200" w:line="276" w:lineRule="auto"/>
        <w:rPr>
          <w:rFonts w:eastAsia="Calibri"/>
          <w:color w:val="000000"/>
          <w:szCs w:val="22"/>
          <w:lang w:eastAsia="en-US"/>
        </w:rPr>
      </w:pPr>
      <w:r w:rsidRPr="00224125">
        <w:rPr>
          <w:rFonts w:eastAsia="Calibri"/>
          <w:szCs w:val="22"/>
          <w:lang w:eastAsia="en-US"/>
        </w:rPr>
        <w:br w:type="page"/>
      </w:r>
    </w:p>
    <w:p w:rsidR="00224125" w:rsidRPr="00224125" w:rsidRDefault="00224125" w:rsidP="00224125">
      <w:pPr>
        <w:widowControl/>
        <w:shd w:val="clear" w:color="auto" w:fill="FFFFFF"/>
        <w:spacing w:line="360" w:lineRule="auto"/>
        <w:ind w:left="1800"/>
        <w:contextualSpacing/>
        <w:rPr>
          <w:rFonts w:eastAsia="Calibri"/>
          <w:noProof/>
          <w:color w:val="000000"/>
          <w:szCs w:val="22"/>
          <w:lang w:eastAsia="en-US"/>
        </w:rPr>
      </w:pPr>
    </w:p>
    <w:p w:rsidR="00224125" w:rsidRPr="00224125" w:rsidRDefault="00224125" w:rsidP="00224125">
      <w:pPr>
        <w:widowControl/>
        <w:numPr>
          <w:ilvl w:val="5"/>
          <w:numId w:val="45"/>
        </w:numPr>
        <w:spacing w:before="120" w:after="120" w:line="360" w:lineRule="auto"/>
        <w:ind w:left="1418"/>
        <w:jc w:val="both"/>
        <w:rPr>
          <w:rFonts w:eastAsia="Calibri"/>
          <w:szCs w:val="22"/>
          <w:lang w:eastAsia="en-US"/>
        </w:rPr>
      </w:pPr>
      <w:proofErr w:type="gramStart"/>
      <w:r w:rsidRPr="00224125">
        <w:rPr>
          <w:rFonts w:eastAsia="Calibri"/>
          <w:szCs w:val="22"/>
          <w:lang w:eastAsia="en-US"/>
        </w:rPr>
        <w:t>le</w:t>
      </w:r>
      <w:proofErr w:type="gramEnd"/>
      <w:r w:rsidRPr="00224125">
        <w:rPr>
          <w:rFonts w:eastAsia="Calibri"/>
          <w:szCs w:val="22"/>
          <w:lang w:eastAsia="en-US"/>
        </w:rPr>
        <w:t xml:space="preserve"> second alinéa est modifié comme suit:</w:t>
      </w:r>
    </w:p>
    <w:p w:rsidR="00224125" w:rsidRPr="00224125" w:rsidRDefault="00224125" w:rsidP="00224125">
      <w:pPr>
        <w:widowControl/>
        <w:spacing w:before="120" w:after="120" w:line="360" w:lineRule="auto"/>
        <w:ind w:left="1985" w:hanging="567"/>
        <w:jc w:val="both"/>
        <w:rPr>
          <w:rFonts w:eastAsia="Calibri"/>
          <w:szCs w:val="22"/>
          <w:lang w:eastAsia="en-US"/>
        </w:rPr>
      </w:pPr>
      <w:r w:rsidRPr="00224125">
        <w:rPr>
          <w:rFonts w:eastAsia="Calibri"/>
          <w:szCs w:val="22"/>
          <w:lang w:eastAsia="en-US"/>
        </w:rPr>
        <w:t>i)</w:t>
      </w:r>
      <w:r w:rsidRPr="00224125">
        <w:rPr>
          <w:rFonts w:eastAsia="Calibri"/>
          <w:szCs w:val="22"/>
          <w:lang w:eastAsia="en-US"/>
        </w:rPr>
        <w:tab/>
        <w:t>le point a) est remplacé par le texte suivant:</w:t>
      </w:r>
    </w:p>
    <w:p w:rsidR="00224125" w:rsidRPr="00224125" w:rsidRDefault="00224125" w:rsidP="00224125">
      <w:pPr>
        <w:widowControl/>
        <w:shd w:val="clear" w:color="auto" w:fill="FFFFFF"/>
        <w:spacing w:line="360" w:lineRule="auto"/>
        <w:ind w:left="1418" w:firstLine="22"/>
        <w:contextualSpacing/>
        <w:rPr>
          <w:rFonts w:eastAsia="Calibri"/>
          <w:noProof/>
          <w:szCs w:val="22"/>
          <w:lang w:eastAsia="en-US"/>
        </w:rPr>
      </w:pPr>
      <w:r w:rsidRPr="00224125">
        <w:rPr>
          <w:rFonts w:eastAsia="Calibri" w:cs="Arial"/>
          <w:noProof/>
          <w:szCs w:val="22"/>
          <w:lang w:eastAsia="en-US"/>
        </w:rPr>
        <w:t>"a) les systèmes de comptabilité publique et d'information statistique des administrations publiques;"</w:t>
      </w:r>
    </w:p>
    <w:p w:rsidR="00224125" w:rsidRPr="00224125" w:rsidRDefault="00224125" w:rsidP="00224125">
      <w:pPr>
        <w:widowControl/>
        <w:spacing w:before="120" w:after="120" w:line="360" w:lineRule="auto"/>
        <w:ind w:left="1985" w:hanging="567"/>
        <w:jc w:val="both"/>
        <w:rPr>
          <w:rFonts w:eastAsia="Calibri"/>
          <w:szCs w:val="22"/>
          <w:lang w:eastAsia="en-US"/>
        </w:rPr>
      </w:pPr>
      <w:r w:rsidRPr="00224125">
        <w:rPr>
          <w:rFonts w:eastAsia="Calibri"/>
          <w:szCs w:val="22"/>
          <w:lang w:eastAsia="en-US"/>
        </w:rPr>
        <w:t>ii)</w:t>
      </w:r>
      <w:r w:rsidRPr="00224125">
        <w:rPr>
          <w:rFonts w:eastAsia="Calibri"/>
          <w:szCs w:val="22"/>
          <w:lang w:eastAsia="en-US"/>
        </w:rPr>
        <w:tab/>
        <w:t>le point c) est remplacé par le texte suivant:</w:t>
      </w:r>
    </w:p>
    <w:p w:rsidR="00224125" w:rsidRPr="00224125" w:rsidRDefault="00224125" w:rsidP="00224125">
      <w:pPr>
        <w:widowControl/>
        <w:shd w:val="clear" w:color="auto" w:fill="FFFFFF"/>
        <w:spacing w:line="360" w:lineRule="auto"/>
        <w:ind w:left="1984"/>
        <w:contextualSpacing/>
        <w:rPr>
          <w:rFonts w:eastAsia="Calibri"/>
          <w:noProof/>
          <w:szCs w:val="22"/>
          <w:lang w:eastAsia="en-US"/>
        </w:rPr>
      </w:pPr>
      <w:r w:rsidRPr="00224125">
        <w:rPr>
          <w:rFonts w:eastAsia="Calibri" w:cs="Arial"/>
          <w:noProof/>
          <w:szCs w:val="22"/>
          <w:lang w:eastAsia="en-US"/>
        </w:rPr>
        <w:t>"c) les règles budgétaires chiffrées spécifiques à chaque pays qui contribuent à la cohérence de la conduite par les États membres de la politique budgétaire avec leurs obligations respectives en vertu du traité sur le fonctionnement de l'Union européenne, et qui sont exprimées par un indicateur de la performance budgétaire, tel que le déficit public, l'emprunt public, la dette publique ou l'une de leurs grandes composantes;";</w:t>
      </w:r>
    </w:p>
    <w:p w:rsidR="00224125" w:rsidRPr="00224125" w:rsidRDefault="00224125" w:rsidP="00224125">
      <w:pPr>
        <w:widowControl/>
        <w:spacing w:before="120" w:after="120" w:line="360" w:lineRule="auto"/>
        <w:ind w:left="1985" w:hanging="567"/>
        <w:rPr>
          <w:rFonts w:eastAsia="Calibri"/>
          <w:szCs w:val="22"/>
          <w:lang w:eastAsia="en-US"/>
        </w:rPr>
      </w:pPr>
      <w:r w:rsidRPr="00224125">
        <w:rPr>
          <w:rFonts w:eastAsia="Calibri"/>
          <w:szCs w:val="22"/>
          <w:lang w:eastAsia="en-US"/>
        </w:rPr>
        <w:t>iii)</w:t>
      </w:r>
      <w:r w:rsidRPr="00224125">
        <w:rPr>
          <w:rFonts w:eastAsia="Calibri"/>
          <w:szCs w:val="22"/>
          <w:lang w:eastAsia="en-US"/>
        </w:rPr>
        <w:tab/>
        <w:t>le point e) est remplacé par le texte suivant:</w:t>
      </w:r>
    </w:p>
    <w:p w:rsidR="00224125" w:rsidRPr="00224125" w:rsidRDefault="00224125" w:rsidP="00224125">
      <w:pPr>
        <w:widowControl/>
        <w:spacing w:before="120" w:line="360" w:lineRule="auto"/>
        <w:ind w:left="1984"/>
        <w:rPr>
          <w:rFonts w:ascii="inherit" w:hAnsi="inherit"/>
          <w:color w:val="000000"/>
          <w:szCs w:val="24"/>
          <w:lang w:eastAsia="en-US"/>
        </w:rPr>
      </w:pPr>
      <w:r w:rsidRPr="00224125">
        <w:rPr>
          <w:rFonts w:eastAsia="Calibri"/>
          <w:szCs w:val="22"/>
          <w:lang w:eastAsia="en-US"/>
        </w:rPr>
        <w:t>"e) le cadre budgétaire à moyen terme, conçu comme un ensemble spécifique de procédures budgétaires nationales étendant l'horizon d'élaboration de la politique budgétaire au-delà du calendrier budgétaire annuel, y compris la définition de priorités stratégiques et d'objectifs budgétaires nationaux à moyen terme;";</w:t>
      </w:r>
    </w:p>
    <w:p w:rsidR="00224125" w:rsidRPr="00224125" w:rsidRDefault="00224125" w:rsidP="00224125">
      <w:pPr>
        <w:widowControl/>
        <w:spacing w:before="120" w:after="120" w:line="360" w:lineRule="auto"/>
        <w:ind w:left="1985" w:hanging="567"/>
        <w:rPr>
          <w:rFonts w:eastAsia="Calibri"/>
          <w:szCs w:val="22"/>
          <w:lang w:eastAsia="en-US"/>
        </w:rPr>
      </w:pPr>
      <w:r w:rsidRPr="00224125">
        <w:rPr>
          <w:rFonts w:eastAsia="Calibri"/>
          <w:szCs w:val="22"/>
          <w:lang w:eastAsia="en-US"/>
        </w:rPr>
        <w:t>iv)</w:t>
      </w:r>
      <w:r w:rsidRPr="00224125">
        <w:rPr>
          <w:rFonts w:eastAsia="Calibri"/>
          <w:szCs w:val="22"/>
          <w:lang w:eastAsia="en-US"/>
        </w:rPr>
        <w:tab/>
        <w:t>le point h) suivant est ajouté:</w:t>
      </w:r>
    </w:p>
    <w:p w:rsidR="00224125" w:rsidRPr="00224125" w:rsidRDefault="00224125" w:rsidP="00224125">
      <w:pPr>
        <w:widowControl/>
        <w:spacing w:before="120" w:line="360" w:lineRule="auto"/>
        <w:ind w:left="1984"/>
        <w:rPr>
          <w:rFonts w:eastAsia="Calibri"/>
          <w:szCs w:val="22"/>
          <w:lang w:eastAsia="en-US"/>
        </w:rPr>
      </w:pPr>
      <w:r w:rsidRPr="00224125">
        <w:rPr>
          <w:rFonts w:eastAsia="Calibri"/>
          <w:szCs w:val="22"/>
          <w:lang w:eastAsia="en-US"/>
        </w:rPr>
        <w:t>"h) les institutions budgétaires indépendantes telles que les organismes structurellement indépendants ou jouissant d'une autonomie fonctionnelle par rapport aux autorités budgétaires des États membres établies par des dispositions juridiques nationales conformément à l'article 8.".</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851" w:hanging="851"/>
        <w:jc w:val="both"/>
        <w:rPr>
          <w:rFonts w:eastAsia="Calibri"/>
          <w:szCs w:val="22"/>
          <w:lang w:eastAsia="en-US"/>
        </w:rPr>
      </w:pPr>
      <w:r w:rsidRPr="00224125">
        <w:rPr>
          <w:rFonts w:eastAsia="Calibri"/>
          <w:szCs w:val="22"/>
          <w:lang w:eastAsia="en-US"/>
        </w:rPr>
        <w:lastRenderedPageBreak/>
        <w:t>2)</w:t>
      </w:r>
      <w:r w:rsidRPr="00224125">
        <w:rPr>
          <w:rFonts w:eastAsia="Calibri"/>
          <w:szCs w:val="22"/>
          <w:lang w:eastAsia="en-US"/>
        </w:rPr>
        <w:tab/>
        <w:t>L'article 3 est remplacé par le texte suivant:</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"1. En ce qui concerne les systèmes nationaux de comptabilité publique, les États membres disposent de systèmes de comptabilité publique couvrant de manière exhaustive et cohérente tous les sous-secteurs des administrations publiques et contenant les informations nécessaires à la production de données fondées sur les droits constatés en vue de la préparation de données établies sur la base des normes du système européen des comptes nationaux et régionaux. Ces systèmes de comptabilité publique des administrations publiques sont soumis à un contrôle interne et à un audit indépendant.</w:t>
      </w:r>
    </w:p>
    <w:p w:rsidR="00224125" w:rsidRPr="00224125" w:rsidRDefault="00224125" w:rsidP="00224125">
      <w:pPr>
        <w:widowControl/>
        <w:shd w:val="clear" w:color="auto" w:fill="FFFFFF"/>
        <w:spacing w:before="120" w:line="360" w:lineRule="auto"/>
        <w:rPr>
          <w:rFonts w:eastAsia="Calibri"/>
          <w:bCs/>
          <w:szCs w:val="22"/>
          <w:lang w:eastAsia="en-US"/>
        </w:rPr>
      </w:pPr>
      <w:r w:rsidRPr="00224125">
        <w:rPr>
          <w:rFonts w:eastAsia="Calibri"/>
          <w:szCs w:val="22"/>
          <w:lang w:eastAsia="en-US"/>
        </w:rPr>
        <w:t>2. Les États membres assurent la publication régulière, et en temps utile, de données budgétaires afférentes à tous les sous-secteurs des administrations publiques, comme le prévoit le règlement (UE) n° 549/2013 du Parlement européen et du Conseil</w:t>
      </w:r>
      <w:r w:rsidRPr="00224125">
        <w:rPr>
          <w:rFonts w:eastAsia="Calibri"/>
          <w:szCs w:val="22"/>
          <w:vertAlign w:val="superscript"/>
          <w:lang w:eastAsia="en-US"/>
        </w:rPr>
        <w:t>*</w:t>
      </w:r>
      <w:r w:rsidRPr="00224125">
        <w:rPr>
          <w:rFonts w:eastAsia="Calibri"/>
          <w:szCs w:val="22"/>
          <w:lang w:eastAsia="en-US"/>
        </w:rPr>
        <w:t>. Ils publient notamment, pour l'administration centrale, les administrations d'États fédérés, les administrations locales et les administrations de sécurité sociale, des données relatives à la dette et, à moins qu'ils ne disposent de systèmes de comptabilité financière d'exercice intégrés, complets et harmonisés au niveau national, des données relatives au déficit séparément, avant la fin du trimestre suivant ou après la publication des données pertinentes par la Commission (Eurostat).</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3. La Commission (Eurostat) publie les données statistiques trimestrielles des finances publiques conformément aux tableaux 25, 27 et 28 de l'annexe B du règlement (UE) n° 549/2013, tous les trois mois.</w:t>
      </w:r>
    </w:p>
    <w:p w:rsidR="00224125" w:rsidRPr="00224125" w:rsidRDefault="00224125" w:rsidP="00224125">
      <w:pPr>
        <w:widowControl/>
        <w:shd w:val="clear" w:color="auto" w:fill="FFFFFF"/>
        <w:spacing w:line="360" w:lineRule="auto"/>
        <w:ind w:left="360" w:firstLine="360"/>
        <w:contextualSpacing/>
        <w:rPr>
          <w:rFonts w:eastAsia="Calibri"/>
          <w:noProof/>
          <w:color w:val="000000"/>
          <w:szCs w:val="22"/>
          <w:lang w:eastAsia="en-US"/>
        </w:rPr>
      </w:pPr>
      <w:r w:rsidRPr="00224125">
        <w:rPr>
          <w:rFonts w:eastAsia="Calibri" w:cs="Arial"/>
          <w:noProof/>
          <w:color w:val="000000"/>
          <w:szCs w:val="22"/>
          <w:lang w:eastAsia="en-US"/>
        </w:rPr>
        <w:t>___________</w:t>
      </w:r>
    </w:p>
    <w:p w:rsidR="00224125" w:rsidRPr="00224125" w:rsidRDefault="00224125" w:rsidP="00224125">
      <w:pPr>
        <w:widowControl/>
        <w:spacing w:after="200" w:line="360" w:lineRule="auto"/>
        <w:ind w:left="720"/>
        <w:contextualSpacing/>
        <w:jc w:val="both"/>
        <w:rPr>
          <w:rFonts w:ascii="Calibri" w:eastAsia="Calibri" w:hAnsi="Calibri" w:cs="Arial"/>
          <w:noProof/>
          <w:sz w:val="22"/>
          <w:szCs w:val="22"/>
          <w:lang w:eastAsia="en-US"/>
        </w:rPr>
      </w:pPr>
      <w:r w:rsidRPr="00224125">
        <w:rPr>
          <w:rFonts w:ascii="Calibri" w:eastAsia="Calibri" w:hAnsi="Calibri" w:cs="Arial"/>
          <w:noProof/>
          <w:sz w:val="22"/>
          <w:szCs w:val="22"/>
          <w:lang w:eastAsia="en-US"/>
        </w:rPr>
        <w:t>*</w:t>
      </w:r>
      <w:r w:rsidRPr="00224125">
        <w:rPr>
          <w:rFonts w:eastAsia="Calibri" w:cs="Arial"/>
          <w:noProof/>
          <w:szCs w:val="22"/>
          <w:lang w:eastAsia="en-US"/>
        </w:rPr>
        <w:t>JO L 174 du 26.6.2013, p. 1.</w:t>
      </w:r>
      <w:r w:rsidRPr="00224125">
        <w:rPr>
          <w:rFonts w:ascii="Calibri" w:eastAsia="Calibri" w:hAnsi="Calibri" w:cs="Arial"/>
          <w:noProof/>
          <w:sz w:val="22"/>
          <w:szCs w:val="22"/>
          <w:lang w:eastAsia="en-US"/>
        </w:rPr>
        <w:t>".</w:t>
      </w:r>
    </w:p>
    <w:p w:rsidR="00224125" w:rsidRPr="00224125" w:rsidRDefault="00224125" w:rsidP="00224125">
      <w:pPr>
        <w:widowControl/>
        <w:spacing w:before="120" w:after="120" w:line="360" w:lineRule="auto"/>
        <w:jc w:val="both"/>
        <w:rPr>
          <w:rFonts w:ascii="inherit" w:hAnsi="inherit"/>
          <w:color w:val="000000"/>
          <w:szCs w:val="24"/>
          <w:lang w:eastAsia="pt-PT"/>
        </w:rPr>
      </w:pPr>
    </w:p>
    <w:p w:rsidR="00224125" w:rsidRPr="00224125" w:rsidRDefault="00224125" w:rsidP="00224125">
      <w:pPr>
        <w:widowControl/>
        <w:spacing w:before="120" w:after="120" w:line="360" w:lineRule="auto"/>
        <w:ind w:left="851" w:hanging="851"/>
        <w:jc w:val="both"/>
        <w:rPr>
          <w:rFonts w:eastAsia="Calibri"/>
          <w:color w:val="000000"/>
          <w:szCs w:val="22"/>
          <w:lang w:eastAsia="en-US"/>
        </w:rPr>
      </w:pPr>
      <w:r w:rsidRPr="00224125">
        <w:rPr>
          <w:rFonts w:eastAsia="Calibri"/>
          <w:color w:val="000000"/>
          <w:szCs w:val="22"/>
          <w:lang w:eastAsia="en-US"/>
        </w:rPr>
        <w:t>3)</w:t>
      </w:r>
      <w:r w:rsidRPr="00224125">
        <w:rPr>
          <w:rFonts w:eastAsia="Calibri"/>
          <w:color w:val="000000"/>
          <w:szCs w:val="22"/>
          <w:lang w:eastAsia="en-US"/>
        </w:rPr>
        <w:tab/>
      </w:r>
      <w:r w:rsidRPr="00224125">
        <w:rPr>
          <w:rFonts w:eastAsia="Calibri"/>
          <w:szCs w:val="22"/>
          <w:lang w:eastAsia="en-US"/>
        </w:rPr>
        <w:t>L'article</w:t>
      </w:r>
      <w:r w:rsidRPr="00224125">
        <w:rPr>
          <w:rFonts w:eastAsia="Calibri"/>
          <w:color w:val="000000"/>
          <w:szCs w:val="22"/>
          <w:lang w:eastAsia="en-US"/>
        </w:rPr>
        <w:t> 4 est modifié comme suit:</w:t>
      </w:r>
    </w:p>
    <w:p w:rsidR="00224125" w:rsidRPr="00224125" w:rsidRDefault="00224125" w:rsidP="00224125">
      <w:pPr>
        <w:widowControl/>
        <w:spacing w:before="120" w:after="120" w:line="360" w:lineRule="auto"/>
        <w:ind w:left="1418" w:hanging="567"/>
        <w:jc w:val="both"/>
        <w:rPr>
          <w:rFonts w:eastAsia="Calibri"/>
          <w:szCs w:val="22"/>
          <w:lang w:eastAsia="en-US"/>
        </w:rPr>
      </w:pPr>
      <w:r w:rsidRPr="00224125">
        <w:rPr>
          <w:rFonts w:eastAsia="Calibri"/>
          <w:szCs w:val="22"/>
          <w:lang w:eastAsia="en-US"/>
        </w:rPr>
        <w:t>a)</w:t>
      </w:r>
      <w:r w:rsidRPr="00224125">
        <w:rPr>
          <w:rFonts w:eastAsia="Calibri"/>
          <w:szCs w:val="22"/>
          <w:lang w:eastAsia="en-US"/>
        </w:rPr>
        <w:tab/>
        <w:t>le paragraphe 1 est remplacé par le texte suivant:</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 xml:space="preserve">"1. Les États membres veillent à ce que leur programmation budgétaire annuelle et pluriannuelle soit fondée sur des prévisions macroéconomiques et budgétaires réalistes, en utilisant les informations les plus à jour. La programmation budgétaire repose sur le scénario </w:t>
      </w:r>
      <w:proofErr w:type="spellStart"/>
      <w:r w:rsidRPr="00224125">
        <w:rPr>
          <w:rFonts w:eastAsia="Calibri"/>
          <w:szCs w:val="22"/>
          <w:lang w:eastAsia="en-US"/>
        </w:rPr>
        <w:t>macrobudgétaire</w:t>
      </w:r>
      <w:proofErr w:type="spellEnd"/>
      <w:r w:rsidRPr="00224125">
        <w:rPr>
          <w:rFonts w:eastAsia="Calibri"/>
          <w:szCs w:val="22"/>
          <w:lang w:eastAsia="en-US"/>
        </w:rPr>
        <w:t xml:space="preserve"> le plus probable ou sur un scénario plus prudent. Les prévisions macroéconomiques et budgétaires sont comparées aux prévisions les plus récentes de la Commission et, le cas échéant, à celles d'autres organismes indépendants. Les différences significatives entre les prévisions macroéconomiques et budgétaires de l'État membre et les </w:t>
      </w:r>
      <w:r w:rsidRPr="00224125">
        <w:rPr>
          <w:rFonts w:eastAsia="Calibri"/>
          <w:szCs w:val="22"/>
          <w:lang w:eastAsia="en-US"/>
        </w:rPr>
        <w:lastRenderedPageBreak/>
        <w:t>prévisions de la Commission sont expliquées, y compris lorsque le niveau ou la croissance des variables dans les hypothèses exogènes diffèrent sensiblement des valeurs contenues dans les prévisions de la Commission.";</w:t>
      </w:r>
    </w:p>
    <w:p w:rsidR="00224125" w:rsidRPr="00224125" w:rsidRDefault="00224125" w:rsidP="00224125">
      <w:pPr>
        <w:widowControl/>
        <w:spacing w:before="120" w:after="120" w:line="360" w:lineRule="auto"/>
        <w:ind w:left="1418" w:hanging="567"/>
        <w:jc w:val="both"/>
        <w:rPr>
          <w:rFonts w:eastAsia="Calibri"/>
          <w:szCs w:val="22"/>
          <w:lang w:eastAsia="en-US"/>
        </w:rPr>
      </w:pPr>
      <w:r w:rsidRPr="00224125">
        <w:rPr>
          <w:rFonts w:eastAsia="Calibri"/>
          <w:szCs w:val="22"/>
          <w:lang w:eastAsia="en-US"/>
        </w:rPr>
        <w:t>b)</w:t>
      </w:r>
      <w:r w:rsidRPr="00224125">
        <w:rPr>
          <w:rFonts w:eastAsia="Calibri"/>
          <w:szCs w:val="22"/>
          <w:lang w:eastAsia="en-US"/>
        </w:rPr>
        <w:tab/>
        <w:t>le paragraphe 4 est supprimé;</w:t>
      </w:r>
    </w:p>
    <w:p w:rsidR="00224125" w:rsidRPr="00224125" w:rsidRDefault="00224125" w:rsidP="00224125">
      <w:pPr>
        <w:widowControl/>
        <w:spacing w:before="120" w:after="120" w:line="360" w:lineRule="auto"/>
        <w:ind w:left="131" w:firstLine="720"/>
        <w:jc w:val="both"/>
        <w:rPr>
          <w:rFonts w:eastAsia="Calibri"/>
          <w:szCs w:val="22"/>
          <w:lang w:eastAsia="en-US"/>
        </w:rPr>
      </w:pPr>
      <w:r w:rsidRPr="00224125">
        <w:rPr>
          <w:rFonts w:eastAsia="Calibri"/>
          <w:szCs w:val="22"/>
          <w:lang w:eastAsia="en-US"/>
        </w:rPr>
        <w:t>c)</w:t>
      </w:r>
      <w:r w:rsidRPr="00224125">
        <w:rPr>
          <w:rFonts w:eastAsia="Calibri"/>
          <w:szCs w:val="22"/>
          <w:lang w:eastAsia="en-US"/>
        </w:rPr>
        <w:tab/>
        <w:t>les paragraphes 5 et 6 sont remplacés par le texte suivant:</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"5. Les États membres précisent quelle institution est responsable de la réalisation des prévisions macroéconomiques et budgétaires et rendent publiques les prévisions macroéconomiques et budgétaires officielles qu'ils ont établies aux fins de leur programmation budgétaire. Chaque année au minimum, les États membres et la Commission engagent un dialogue technique concernant les hypothèses qui sous-tendent la préparation des prévisions macroéconomiques et budgétaires.</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6. Les prévisions macroéconomiques et budgétaires aux fins de la programmation budgétaire annuelle et pluriannuelle sont soumises à une évaluation ex post régulière, objective et globale par un organisme indépendant ou d'autres organismes jouissant d'une autonomie fonctionnelle à l'égard des autorités budgétaires des États membres, différents de celui qui a réalisé les prévisions.</w:t>
      </w:r>
      <w:r w:rsidRPr="00224125">
        <w:rPr>
          <w:rFonts w:eastAsia="Calibri"/>
          <w:color w:val="000000"/>
          <w:szCs w:val="22"/>
          <w:lang w:eastAsia="en-US"/>
        </w:rPr>
        <w:t xml:space="preserve"> Le résultat de cette évaluation est rendu public et dûment pris en compte dans les prévisions macroéconomiques et budgétaires ultérieures. Si l'évaluation met à jour une importante distorsion affectant les prévisions macroéconomiques sur une période d'au moins quatre années consécutives, l'État membre concerné prend les mesures nécessaires et les rend publiques.";</w:t>
      </w:r>
    </w:p>
    <w:p w:rsidR="00224125" w:rsidRPr="00224125" w:rsidRDefault="00224125" w:rsidP="00224125">
      <w:pPr>
        <w:widowControl/>
        <w:spacing w:before="120" w:after="120" w:line="360" w:lineRule="auto"/>
        <w:ind w:left="131" w:firstLine="720"/>
        <w:jc w:val="both"/>
        <w:rPr>
          <w:rFonts w:eastAsia="Calibri"/>
          <w:b/>
          <w:szCs w:val="22"/>
          <w:lang w:eastAsia="en-US"/>
        </w:rPr>
      </w:pPr>
      <w:r w:rsidRPr="00224125">
        <w:rPr>
          <w:rFonts w:eastAsia="Calibri"/>
          <w:szCs w:val="22"/>
          <w:lang w:eastAsia="en-US"/>
        </w:rPr>
        <w:t>d)</w:t>
      </w:r>
      <w:r w:rsidRPr="00224125">
        <w:rPr>
          <w:rFonts w:eastAsia="Calibri"/>
          <w:szCs w:val="22"/>
          <w:lang w:eastAsia="en-US"/>
        </w:rPr>
        <w:tab/>
        <w:t>le paragraphe 7 est supprimé.</w:t>
      </w: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851" w:hanging="851"/>
        <w:jc w:val="both"/>
        <w:rPr>
          <w:rFonts w:eastAsia="Calibri"/>
          <w:iCs/>
          <w:szCs w:val="22"/>
          <w:lang w:eastAsia="en-US"/>
        </w:rPr>
      </w:pPr>
      <w:r w:rsidRPr="00224125">
        <w:rPr>
          <w:rFonts w:eastAsia="Calibri"/>
          <w:szCs w:val="22"/>
          <w:lang w:eastAsia="en-US"/>
        </w:rPr>
        <w:lastRenderedPageBreak/>
        <w:t>4)</w:t>
      </w:r>
      <w:r w:rsidRPr="00224125">
        <w:rPr>
          <w:rFonts w:eastAsia="Calibri"/>
          <w:szCs w:val="22"/>
          <w:lang w:eastAsia="en-US"/>
        </w:rPr>
        <w:tab/>
        <w:t>L'article 5 est remplacé par le texte suivant:</w:t>
      </w:r>
    </w:p>
    <w:p w:rsidR="00224125" w:rsidRPr="00224125" w:rsidRDefault="00224125" w:rsidP="00224125">
      <w:pPr>
        <w:widowControl/>
        <w:spacing w:before="120" w:after="120" w:line="360" w:lineRule="auto"/>
        <w:ind w:left="3730" w:firstLine="590"/>
        <w:jc w:val="both"/>
        <w:rPr>
          <w:rFonts w:eastAsia="Calibri"/>
          <w:i/>
          <w:iCs/>
          <w:szCs w:val="22"/>
          <w:lang w:eastAsia="en-US"/>
        </w:rPr>
      </w:pPr>
      <w:r w:rsidRPr="00224125">
        <w:rPr>
          <w:rFonts w:eastAsia="Calibri"/>
          <w:szCs w:val="22"/>
          <w:lang w:eastAsia="en-US"/>
        </w:rPr>
        <w:t>"Article 5</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Chaque État membre établit ses propres règles budgétaires chiffrées afin de favoriser effectivement le respect de ses obligations découlant du traité sur le fonctionnement de l'Union européenne dans le domaine de la politique budgétaire sur une période pluriannuelle, pour les administrations publiques dans leur ensemble. Ces règles favorisent notamment:</w:t>
      </w:r>
    </w:p>
    <w:tbl>
      <w:tblPr>
        <w:tblW w:w="5000" w:type="pct"/>
        <w:shd w:val="clear" w:color="auto" w:fill="FFFFFF"/>
        <w:tblCellMar>
          <w:left w:w="0" w:type="dxa"/>
          <w:right w:w="0" w:type="dxa"/>
        </w:tblCellMar>
        <w:tblLook w:val="04A0" w:firstRow="1" w:lastRow="0" w:firstColumn="1" w:lastColumn="0" w:noHBand="0" w:noVBand="1"/>
      </w:tblPr>
      <w:tblGrid>
        <w:gridCol w:w="200"/>
        <w:gridCol w:w="8870"/>
      </w:tblGrid>
      <w:tr w:rsidR="00224125" w:rsidRPr="00224125" w:rsidTr="00804E47">
        <w:tc>
          <w:tcPr>
            <w:tcW w:w="0" w:type="auto"/>
            <w:shd w:val="clear" w:color="auto" w:fill="FFFFFF"/>
            <w:hideMark/>
          </w:tcPr>
          <w:p w:rsidR="00224125" w:rsidRPr="00224125" w:rsidRDefault="00224125" w:rsidP="00224125">
            <w:pPr>
              <w:widowControl/>
              <w:spacing w:before="120" w:after="120" w:line="360" w:lineRule="auto"/>
              <w:ind w:left="850" w:hanging="850"/>
              <w:rPr>
                <w:rFonts w:eastAsia="Calibri"/>
                <w:szCs w:val="22"/>
                <w:lang w:eastAsia="en-US"/>
              </w:rPr>
            </w:pPr>
            <w:r w:rsidRPr="00224125">
              <w:rPr>
                <w:rFonts w:eastAsia="Calibri"/>
                <w:szCs w:val="22"/>
                <w:lang w:eastAsia="en-US"/>
              </w:rPr>
              <w:t>a)</w:t>
            </w:r>
          </w:p>
        </w:tc>
        <w:tc>
          <w:tcPr>
            <w:tcW w:w="0" w:type="auto"/>
            <w:shd w:val="clear" w:color="auto" w:fill="FFFFFF"/>
            <w:hideMark/>
          </w:tcPr>
          <w:p w:rsidR="00224125" w:rsidRPr="00224125" w:rsidRDefault="00224125" w:rsidP="00224125">
            <w:pPr>
              <w:widowControl/>
              <w:spacing w:before="120" w:after="120" w:line="360" w:lineRule="auto"/>
              <w:ind w:left="648" w:hanging="648"/>
              <w:rPr>
                <w:rFonts w:eastAsia="Calibri"/>
                <w:szCs w:val="22"/>
                <w:lang w:eastAsia="en-US"/>
              </w:rPr>
            </w:pPr>
            <w:r w:rsidRPr="00224125">
              <w:rPr>
                <w:rFonts w:eastAsia="Calibri"/>
                <w:szCs w:val="22"/>
                <w:lang w:eastAsia="en-US"/>
              </w:rPr>
              <w:tab/>
              <w:t xml:space="preserve">le respect des valeurs de référence et des dispositions relatives au déficit public et à la dette publique définies conformément au traité sur le fonctionnement de l'Union européenne; </w:t>
            </w:r>
          </w:p>
        </w:tc>
      </w:tr>
      <w:tr w:rsidR="00224125" w:rsidRPr="00224125" w:rsidTr="00804E47">
        <w:tc>
          <w:tcPr>
            <w:tcW w:w="0" w:type="auto"/>
            <w:shd w:val="clear" w:color="auto" w:fill="FFFFFF"/>
            <w:hideMark/>
          </w:tcPr>
          <w:p w:rsidR="00224125" w:rsidRPr="00224125" w:rsidRDefault="00224125" w:rsidP="00224125">
            <w:pPr>
              <w:widowControl/>
              <w:spacing w:before="120" w:after="120" w:line="360" w:lineRule="auto"/>
              <w:ind w:left="850" w:hanging="850"/>
              <w:rPr>
                <w:rFonts w:eastAsia="Calibri"/>
                <w:szCs w:val="22"/>
                <w:lang w:eastAsia="en-US"/>
              </w:rPr>
            </w:pPr>
            <w:r w:rsidRPr="00224125">
              <w:rPr>
                <w:rFonts w:eastAsia="Calibri"/>
                <w:szCs w:val="22"/>
                <w:lang w:eastAsia="en-US"/>
              </w:rPr>
              <w:t>b)</w:t>
            </w:r>
          </w:p>
        </w:tc>
        <w:tc>
          <w:tcPr>
            <w:tcW w:w="0" w:type="auto"/>
            <w:shd w:val="clear" w:color="auto" w:fill="FFFFFF"/>
            <w:hideMark/>
          </w:tcPr>
          <w:p w:rsidR="00224125" w:rsidRPr="00224125" w:rsidRDefault="00224125" w:rsidP="00224125">
            <w:pPr>
              <w:widowControl/>
              <w:spacing w:before="120" w:after="120" w:line="360" w:lineRule="auto"/>
              <w:ind w:left="648" w:hanging="851"/>
              <w:rPr>
                <w:rFonts w:eastAsia="Calibri"/>
                <w:bCs/>
                <w:szCs w:val="22"/>
                <w:lang w:eastAsia="en-US"/>
              </w:rPr>
            </w:pPr>
            <w:r w:rsidRPr="00224125">
              <w:rPr>
                <w:rFonts w:eastAsia="Calibri"/>
                <w:szCs w:val="22"/>
                <w:lang w:eastAsia="en-US"/>
              </w:rPr>
              <w:tab/>
            </w:r>
            <w:proofErr w:type="gramStart"/>
            <w:r w:rsidRPr="00224125">
              <w:rPr>
                <w:rFonts w:eastAsia="Calibri"/>
                <w:szCs w:val="22"/>
                <w:lang w:eastAsia="en-US"/>
              </w:rPr>
              <w:t>l'adoption</w:t>
            </w:r>
            <w:proofErr w:type="gramEnd"/>
            <w:r w:rsidRPr="00224125">
              <w:rPr>
                <w:rFonts w:eastAsia="Calibri"/>
                <w:szCs w:val="22"/>
                <w:lang w:eastAsia="en-US"/>
              </w:rPr>
              <w:t xml:space="preserve"> d'un horizon de programmation budgétaire à moyen terme, compatible avec les dispositions du règlement [XXX volet préventif du pacte de stabilité et de croissance]*.</w:t>
            </w:r>
          </w:p>
          <w:p w:rsidR="00224125" w:rsidRPr="00224125" w:rsidRDefault="00224125" w:rsidP="00224125">
            <w:pPr>
              <w:widowControl/>
              <w:spacing w:before="120" w:after="120" w:line="360" w:lineRule="auto"/>
              <w:rPr>
                <w:rFonts w:eastAsia="Calibri"/>
                <w:szCs w:val="22"/>
                <w:u w:val="single"/>
                <w:lang w:eastAsia="en-US"/>
              </w:rPr>
            </w:pPr>
            <w:r w:rsidRPr="00224125">
              <w:rPr>
                <w:rFonts w:eastAsia="Calibri"/>
                <w:szCs w:val="22"/>
                <w:u w:val="single"/>
                <w:lang w:eastAsia="en-US"/>
              </w:rPr>
              <w:t>__________________</w:t>
            </w:r>
          </w:p>
          <w:p w:rsidR="00224125" w:rsidRPr="00224125" w:rsidRDefault="00224125" w:rsidP="00224125">
            <w:pPr>
              <w:widowControl/>
              <w:spacing w:before="120" w:after="120" w:line="360" w:lineRule="auto"/>
              <w:rPr>
                <w:rFonts w:ascii="inherit" w:eastAsia="Calibri" w:hAnsi="inherit"/>
                <w:b/>
                <w:color w:val="000000"/>
                <w:szCs w:val="22"/>
                <w:lang w:eastAsia="en-US"/>
              </w:rPr>
            </w:pPr>
            <w:r w:rsidRPr="00224125">
              <w:rPr>
                <w:rFonts w:eastAsia="Calibri"/>
                <w:szCs w:val="22"/>
                <w:lang w:eastAsia="en-US"/>
              </w:rPr>
              <w:t>* Règlement (UE) du Parlement européen et du Conseil du [</w:t>
            </w:r>
            <w:r w:rsidRPr="00224125">
              <w:rPr>
                <w:rFonts w:eastAsia="Calibri"/>
                <w:i/>
                <w:szCs w:val="22"/>
                <w:lang w:eastAsia="en-US"/>
              </w:rPr>
              <w:t>insérer la date</w:t>
            </w:r>
            <w:r w:rsidRPr="00224125">
              <w:rPr>
                <w:rFonts w:eastAsia="Calibri"/>
                <w:szCs w:val="22"/>
                <w:lang w:eastAsia="en-US"/>
              </w:rPr>
              <w:t>] [</w:t>
            </w:r>
            <w:r w:rsidRPr="00224125">
              <w:rPr>
                <w:rFonts w:eastAsia="Calibri"/>
                <w:i/>
                <w:szCs w:val="22"/>
                <w:lang w:eastAsia="en-US"/>
              </w:rPr>
              <w:t>insérer le titre complet</w:t>
            </w:r>
            <w:r w:rsidRPr="00224125">
              <w:rPr>
                <w:rFonts w:eastAsia="Calibri"/>
                <w:szCs w:val="22"/>
                <w:lang w:eastAsia="en-US"/>
              </w:rPr>
              <w:t>] (JO L …)".</w:t>
            </w:r>
          </w:p>
        </w:tc>
      </w:tr>
    </w:tbl>
    <w:p w:rsidR="00224125" w:rsidRPr="00224125" w:rsidRDefault="00224125" w:rsidP="00224125">
      <w:pPr>
        <w:keepNext/>
        <w:widowControl/>
        <w:spacing w:before="360" w:after="120" w:line="360" w:lineRule="auto"/>
        <w:jc w:val="both"/>
        <w:rPr>
          <w:rFonts w:eastAsia="Calibri"/>
          <w:iCs/>
          <w:szCs w:val="22"/>
          <w:lang w:eastAsia="en-US"/>
        </w:rPr>
      </w:pPr>
    </w:p>
    <w:p w:rsidR="00224125" w:rsidRPr="00224125" w:rsidRDefault="00224125" w:rsidP="00224125">
      <w:pPr>
        <w:widowControl/>
        <w:spacing w:before="120" w:after="120" w:line="360" w:lineRule="auto"/>
        <w:ind w:left="851" w:hanging="851"/>
        <w:jc w:val="both"/>
        <w:rPr>
          <w:rFonts w:eastAsia="Calibri"/>
          <w:i/>
          <w:szCs w:val="22"/>
          <w:lang w:eastAsia="en-US"/>
        </w:rPr>
      </w:pPr>
      <w:r w:rsidRPr="00224125">
        <w:rPr>
          <w:rFonts w:eastAsia="Calibri"/>
          <w:szCs w:val="22"/>
          <w:lang w:eastAsia="en-US"/>
        </w:rPr>
        <w:t>5</w:t>
      </w:r>
      <w:r w:rsidR="0046633B">
        <w:rPr>
          <w:rFonts w:eastAsia="Calibri"/>
          <w:szCs w:val="22"/>
          <w:lang w:eastAsia="en-US"/>
        </w:rPr>
        <w:t>.</w:t>
      </w:r>
      <w:r w:rsidRPr="00224125">
        <w:rPr>
          <w:rFonts w:eastAsia="Calibri"/>
          <w:szCs w:val="22"/>
          <w:lang w:eastAsia="en-US"/>
        </w:rPr>
        <w:tab/>
        <w:t>L'article 6 est modifié comme suit:</w:t>
      </w:r>
    </w:p>
    <w:p w:rsidR="00224125" w:rsidRPr="00224125" w:rsidRDefault="00224125" w:rsidP="00224125">
      <w:pPr>
        <w:keepNext/>
        <w:widowControl/>
        <w:spacing w:before="360" w:after="120" w:line="360" w:lineRule="auto"/>
        <w:ind w:left="851" w:hanging="851"/>
        <w:jc w:val="both"/>
        <w:rPr>
          <w:rFonts w:eastAsia="Calibri"/>
          <w:iCs/>
          <w:szCs w:val="22"/>
          <w:lang w:eastAsia="en-US"/>
        </w:rPr>
      </w:pPr>
      <w:r w:rsidRPr="00224125">
        <w:rPr>
          <w:rFonts w:eastAsia="Calibri"/>
          <w:szCs w:val="22"/>
          <w:lang w:eastAsia="en-US"/>
        </w:rPr>
        <w:t>a)</w:t>
      </w:r>
      <w:r w:rsidRPr="00224125">
        <w:rPr>
          <w:rFonts w:eastAsia="Calibri"/>
          <w:szCs w:val="22"/>
          <w:lang w:eastAsia="en-US"/>
        </w:rPr>
        <w:tab/>
        <w:t>au paragraphe 1, le point b) est remplacé par le texte suivant:</w:t>
      </w:r>
    </w:p>
    <w:p w:rsidR="00224125" w:rsidRPr="00224125" w:rsidRDefault="00224125" w:rsidP="00224125">
      <w:pPr>
        <w:keepNext/>
        <w:widowControl/>
        <w:spacing w:before="360" w:after="120" w:line="360" w:lineRule="auto"/>
        <w:ind w:left="851"/>
        <w:rPr>
          <w:rFonts w:eastAsia="Calibri"/>
          <w:iCs/>
          <w:szCs w:val="22"/>
          <w:lang w:eastAsia="en-US"/>
        </w:rPr>
      </w:pPr>
      <w:r w:rsidRPr="00224125">
        <w:rPr>
          <w:rFonts w:eastAsia="Calibri"/>
          <w:szCs w:val="22"/>
          <w:lang w:eastAsia="en-US"/>
        </w:rPr>
        <w:t>"b) le suivi efficace et en temps utile du respect des règles, sur la base d'analyses fiables et indépendantes réalisées par des institutions budgétaires indépendantes établies conformément à l'article 8</w:t>
      </w:r>
      <w:r w:rsidRPr="00224125">
        <w:rPr>
          <w:rFonts w:eastAsia="Calibri"/>
          <w:i/>
          <w:szCs w:val="22"/>
          <w:lang w:eastAsia="en-US"/>
        </w:rPr>
        <w:t xml:space="preserve"> </w:t>
      </w:r>
      <w:r w:rsidRPr="00224125">
        <w:rPr>
          <w:rFonts w:eastAsia="Calibri"/>
          <w:szCs w:val="22"/>
          <w:lang w:eastAsia="en-US"/>
        </w:rPr>
        <w:t>ou par d'autres organismes jouissant d'une autonomie fonctionnelle à l'égard des autorités budgétaires des États membres;";</w:t>
      </w:r>
    </w:p>
    <w:p w:rsidR="00224125" w:rsidRPr="00224125" w:rsidRDefault="00224125" w:rsidP="00224125">
      <w:pPr>
        <w:widowControl/>
        <w:spacing w:after="200" w:line="276" w:lineRule="auto"/>
        <w:rPr>
          <w:rFonts w:eastAsia="Calibri"/>
          <w:iCs/>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851" w:hanging="851"/>
        <w:rPr>
          <w:rFonts w:eastAsia="Calibri"/>
          <w:iCs/>
          <w:szCs w:val="22"/>
          <w:lang w:eastAsia="en-US"/>
        </w:rPr>
      </w:pPr>
      <w:r w:rsidRPr="00224125">
        <w:rPr>
          <w:rFonts w:eastAsia="Calibri"/>
          <w:szCs w:val="22"/>
          <w:lang w:eastAsia="en-US"/>
        </w:rPr>
        <w:lastRenderedPageBreak/>
        <w:t>b)</w:t>
      </w:r>
      <w:r w:rsidRPr="00224125">
        <w:rPr>
          <w:rFonts w:eastAsia="Calibri"/>
          <w:szCs w:val="22"/>
          <w:lang w:eastAsia="en-US"/>
        </w:rPr>
        <w:tab/>
        <w:t>le paragraphe 2 est remplacé par le texte suivant:</w:t>
      </w:r>
    </w:p>
    <w:p w:rsidR="00224125" w:rsidRPr="00224125" w:rsidRDefault="00224125" w:rsidP="00224125">
      <w:pPr>
        <w:widowControl/>
        <w:spacing w:before="120" w:after="120" w:line="360" w:lineRule="auto"/>
        <w:ind w:left="851"/>
        <w:rPr>
          <w:rFonts w:eastAsia="Calibri"/>
          <w:iCs/>
          <w:szCs w:val="22"/>
          <w:lang w:eastAsia="en-US"/>
        </w:rPr>
      </w:pPr>
      <w:r w:rsidRPr="00224125">
        <w:rPr>
          <w:rFonts w:eastAsia="Calibri"/>
          <w:szCs w:val="22"/>
          <w:lang w:eastAsia="en-US"/>
        </w:rPr>
        <w:t>"Si les règles budgétaires chiffrées comportent des clauses dérogatoires, celles-ci prévoient un nombre limité de circonstances spécifiques cohérentes avec les obligations des États membres découlant du traité sur le fonctionnement de l'Union européenne et du règlement [XXX volet préventif du pacte de stabilité et de croissance].".</w:t>
      </w:r>
    </w:p>
    <w:p w:rsidR="00224125" w:rsidRPr="00224125" w:rsidRDefault="00224125" w:rsidP="00224125">
      <w:pPr>
        <w:widowControl/>
        <w:spacing w:before="120" w:after="120" w:line="360" w:lineRule="auto"/>
        <w:jc w:val="both"/>
        <w:rPr>
          <w:rFonts w:eastAsia="Calibri"/>
          <w:iCs/>
          <w:szCs w:val="22"/>
          <w:lang w:eastAsia="en-US"/>
        </w:rPr>
      </w:pPr>
    </w:p>
    <w:p w:rsidR="00224125" w:rsidRPr="00224125" w:rsidRDefault="00224125" w:rsidP="00224125">
      <w:pPr>
        <w:widowControl/>
        <w:spacing w:before="120" w:after="120" w:line="360" w:lineRule="auto"/>
        <w:ind w:left="851" w:hanging="851"/>
        <w:jc w:val="both"/>
        <w:rPr>
          <w:rFonts w:eastAsia="Calibri"/>
          <w:iCs/>
          <w:szCs w:val="22"/>
          <w:lang w:eastAsia="en-US"/>
        </w:rPr>
      </w:pPr>
      <w:r w:rsidRPr="00224125">
        <w:rPr>
          <w:rFonts w:eastAsia="Calibri"/>
          <w:szCs w:val="22"/>
          <w:lang w:eastAsia="en-US"/>
        </w:rPr>
        <w:t xml:space="preserve">6) </w:t>
      </w:r>
      <w:r w:rsidRPr="00224125">
        <w:rPr>
          <w:rFonts w:eastAsia="Calibri"/>
          <w:szCs w:val="22"/>
          <w:lang w:eastAsia="en-US"/>
        </w:rPr>
        <w:tab/>
        <w:t>L'article 7 est remplacé par le texte suivant:</w:t>
      </w:r>
    </w:p>
    <w:p w:rsidR="00224125" w:rsidRPr="00224125" w:rsidRDefault="00224125" w:rsidP="00224125">
      <w:pPr>
        <w:widowControl/>
        <w:spacing w:before="120" w:after="120" w:line="360" w:lineRule="auto"/>
        <w:ind w:left="2880" w:firstLine="720"/>
        <w:jc w:val="both"/>
        <w:rPr>
          <w:rFonts w:eastAsia="Calibri"/>
          <w:szCs w:val="22"/>
          <w:lang w:eastAsia="en-US"/>
        </w:rPr>
      </w:pPr>
      <w:r w:rsidRPr="00224125">
        <w:rPr>
          <w:rFonts w:eastAsia="Calibri"/>
          <w:szCs w:val="22"/>
          <w:lang w:eastAsia="en-US"/>
        </w:rPr>
        <w:t>"Article 7</w:t>
      </w:r>
    </w:p>
    <w:p w:rsidR="00224125" w:rsidRPr="00224125" w:rsidRDefault="00224125" w:rsidP="00224125">
      <w:pPr>
        <w:widowControl/>
        <w:shd w:val="clear" w:color="auto" w:fill="FFFFFF"/>
        <w:spacing w:before="120" w:line="360" w:lineRule="auto"/>
        <w:rPr>
          <w:color w:val="000000"/>
          <w:szCs w:val="24"/>
          <w:lang w:eastAsia="en-US"/>
        </w:rPr>
      </w:pPr>
      <w:r w:rsidRPr="00224125">
        <w:rPr>
          <w:rFonts w:eastAsia="Calibri"/>
          <w:szCs w:val="22"/>
          <w:lang w:eastAsia="en-US"/>
        </w:rPr>
        <w:t>Les lois budgétaires annuelles des États membres sont compatibles avec les règles budgétaires chiffrées en vigueur dans chaque pays.".</w:t>
      </w:r>
    </w:p>
    <w:p w:rsidR="00224125" w:rsidRPr="00224125" w:rsidRDefault="00224125" w:rsidP="00224125">
      <w:pPr>
        <w:widowControl/>
        <w:spacing w:after="200" w:line="276" w:lineRule="auto"/>
        <w:rPr>
          <w:color w:val="000000"/>
          <w:szCs w:val="24"/>
          <w:lang w:eastAsia="en-US"/>
        </w:rPr>
      </w:pPr>
      <w:r w:rsidRPr="00224125">
        <w:rPr>
          <w:rFonts w:eastAsia="Calibri"/>
          <w:szCs w:val="22"/>
          <w:lang w:eastAsia="en-US"/>
        </w:rPr>
        <w:br w:type="page"/>
      </w:r>
    </w:p>
    <w:p w:rsidR="00224125" w:rsidRPr="00224125" w:rsidRDefault="00224125" w:rsidP="00224125">
      <w:pPr>
        <w:widowControl/>
        <w:shd w:val="clear" w:color="auto" w:fill="FFFFFF"/>
        <w:spacing w:before="120" w:line="360" w:lineRule="auto"/>
        <w:jc w:val="both"/>
        <w:rPr>
          <w:color w:val="000000"/>
          <w:szCs w:val="24"/>
          <w:lang w:eastAsia="pt-PT"/>
        </w:rPr>
      </w:pPr>
    </w:p>
    <w:p w:rsidR="00224125" w:rsidRPr="00224125" w:rsidRDefault="00224125" w:rsidP="00224125">
      <w:pPr>
        <w:widowControl/>
        <w:shd w:val="clear" w:color="auto" w:fill="FFFFFF"/>
        <w:spacing w:before="120" w:line="360" w:lineRule="auto"/>
        <w:ind w:left="851" w:hanging="851"/>
        <w:rPr>
          <w:color w:val="000000"/>
          <w:szCs w:val="24"/>
          <w:lang w:eastAsia="en-US"/>
        </w:rPr>
      </w:pPr>
      <w:r w:rsidRPr="00224125">
        <w:rPr>
          <w:rFonts w:eastAsia="Calibri"/>
          <w:color w:val="000000"/>
          <w:szCs w:val="22"/>
          <w:lang w:eastAsia="en-US"/>
        </w:rPr>
        <w:t>7)</w:t>
      </w:r>
      <w:r w:rsidRPr="00224125">
        <w:rPr>
          <w:rFonts w:eastAsia="Calibri"/>
          <w:color w:val="000000"/>
          <w:szCs w:val="22"/>
          <w:lang w:eastAsia="en-US"/>
        </w:rPr>
        <w:tab/>
        <w:t>Au chapitre V, le titre est remplacé par "INSTITUTIONS BUDGÉTAIRES INDÉPENDANTES".</w:t>
      </w:r>
    </w:p>
    <w:p w:rsidR="00224125" w:rsidRPr="00224125" w:rsidRDefault="00224125" w:rsidP="00224125">
      <w:pPr>
        <w:widowControl/>
        <w:shd w:val="clear" w:color="auto" w:fill="FFFFFF"/>
        <w:spacing w:before="120" w:line="360" w:lineRule="auto"/>
        <w:ind w:left="851" w:hanging="851"/>
        <w:rPr>
          <w:color w:val="000000"/>
          <w:szCs w:val="24"/>
          <w:lang w:eastAsia="en-US"/>
        </w:rPr>
      </w:pPr>
      <w:r w:rsidRPr="00224125">
        <w:rPr>
          <w:rFonts w:eastAsia="Calibri"/>
          <w:color w:val="000000"/>
          <w:szCs w:val="22"/>
          <w:lang w:eastAsia="en-US"/>
        </w:rPr>
        <w:t>8)</w:t>
      </w:r>
      <w:r w:rsidRPr="00224125">
        <w:rPr>
          <w:rFonts w:eastAsia="Calibri"/>
          <w:color w:val="000000"/>
          <w:szCs w:val="22"/>
          <w:lang w:eastAsia="en-US"/>
        </w:rPr>
        <w:tab/>
        <w:t>L'article 8 est remplacé par le texte suivant:</w:t>
      </w:r>
    </w:p>
    <w:p w:rsidR="00224125" w:rsidRPr="00224125" w:rsidRDefault="00224125" w:rsidP="00224125">
      <w:pPr>
        <w:widowControl/>
        <w:spacing w:before="120" w:after="120" w:line="360" w:lineRule="auto"/>
        <w:ind w:left="2880" w:firstLine="720"/>
        <w:jc w:val="both"/>
        <w:rPr>
          <w:rFonts w:eastAsia="Calibri"/>
          <w:szCs w:val="22"/>
          <w:lang w:eastAsia="en-US"/>
        </w:rPr>
      </w:pPr>
      <w:r w:rsidRPr="00224125">
        <w:rPr>
          <w:rFonts w:eastAsia="Calibri"/>
          <w:szCs w:val="22"/>
          <w:lang w:eastAsia="en-US"/>
        </w:rPr>
        <w:t>"Article 8</w:t>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t xml:space="preserve">1. </w:t>
      </w:r>
      <w:r w:rsidRPr="00224125">
        <w:rPr>
          <w:rFonts w:eastAsia="Calibri"/>
          <w:szCs w:val="22"/>
          <w:lang w:eastAsia="en-US"/>
        </w:rPr>
        <w:tab/>
        <w:t>Les États membres veillent à ce que des institutions budgétaires indépendantes, telles que des organismes structurellement indépendants ou jouissant d'une autonomie fonctionnelle à l'égard des autorités budgétaires des États membres, soient établies par des dispositions législatives, réglementaires ou administratives contraignantes nationales.</w:t>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t xml:space="preserve">1 </w:t>
      </w:r>
      <w:r w:rsidRPr="00224125">
        <w:rPr>
          <w:rFonts w:eastAsia="Calibri"/>
          <w:i/>
          <w:szCs w:val="22"/>
          <w:lang w:eastAsia="en-US"/>
        </w:rPr>
        <w:t>bis</w:t>
      </w:r>
      <w:r w:rsidRPr="00224125">
        <w:rPr>
          <w:rFonts w:eastAsia="Calibri"/>
          <w:szCs w:val="22"/>
          <w:lang w:eastAsia="en-US"/>
        </w:rPr>
        <w:t xml:space="preserve">. </w:t>
      </w:r>
      <w:r w:rsidRPr="00224125">
        <w:rPr>
          <w:rFonts w:eastAsia="Calibri"/>
          <w:szCs w:val="22"/>
          <w:lang w:eastAsia="en-US"/>
        </w:rPr>
        <w:tab/>
        <w:t>Les États membres peuvent mettre en place plus d'une institution budgétaire indépendante.</w:t>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t xml:space="preserve">2. </w:t>
      </w:r>
      <w:r w:rsidRPr="00224125">
        <w:rPr>
          <w:rFonts w:eastAsia="Calibri"/>
          <w:szCs w:val="22"/>
          <w:lang w:eastAsia="en-US"/>
        </w:rPr>
        <w:tab/>
        <w:t>Les institutions visées au paragraphe 1 sont composées de membres nommés et désignés sur la base de leur expérience et de leurs compétences en matière de finances publiques, de macroéconomie ou de gestion budgétaire, et selon des procédures transparentes.</w:t>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t>3.</w:t>
      </w:r>
      <w:r w:rsidRPr="00224125">
        <w:rPr>
          <w:rFonts w:eastAsia="Calibri"/>
          <w:szCs w:val="22"/>
          <w:lang w:eastAsia="en-US"/>
        </w:rPr>
        <w:tab/>
        <w:t>Les institutions visées au paragraphe 1:</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a)</w:t>
      </w:r>
      <w:r w:rsidRPr="00224125">
        <w:rPr>
          <w:rFonts w:eastAsia="Calibri"/>
          <w:szCs w:val="22"/>
          <w:lang w:eastAsia="en-US"/>
        </w:rPr>
        <w:tab/>
        <w:t>ne prennent pas d'instructions des autorités budgétaires de l'État membre concerné ou de tout autre organisme public ou privé;</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b)</w:t>
      </w:r>
      <w:r w:rsidRPr="00224125">
        <w:rPr>
          <w:rFonts w:eastAsia="Calibri"/>
          <w:szCs w:val="22"/>
          <w:lang w:eastAsia="en-US"/>
        </w:rPr>
        <w:tab/>
        <w:t>ont la capacité de communiquer publiquement à propos de leurs évaluations et de leurs avis en temps utile;</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c)</w:t>
      </w:r>
      <w:r w:rsidRPr="00224125">
        <w:rPr>
          <w:rFonts w:eastAsia="Calibri"/>
          <w:szCs w:val="22"/>
          <w:lang w:eastAsia="en-US"/>
        </w:rPr>
        <w:tab/>
        <w:t>disposent de ressources suffisantes et stables pour mener à bien leurs missions de manière efficace, y compris tout type d'analyse dans le cadre de celles-ci;</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d)</w:t>
      </w:r>
      <w:r w:rsidRPr="00224125">
        <w:rPr>
          <w:rFonts w:eastAsia="Calibri"/>
          <w:szCs w:val="22"/>
          <w:lang w:eastAsia="en-US"/>
        </w:rPr>
        <w:tab/>
        <w:t>disposent d'un accès adéquat et en temps utile aux informations nécessaires à l'accomplissement de leurs missions;</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e)</w:t>
      </w:r>
      <w:r w:rsidRPr="00224125">
        <w:rPr>
          <w:rFonts w:eastAsia="Calibri"/>
          <w:szCs w:val="22"/>
          <w:lang w:eastAsia="en-US"/>
        </w:rPr>
        <w:tab/>
        <w:t>font l'objet d'évaluations externes régulières réalisées par des évaluateurs indépendants.</w:t>
      </w:r>
    </w:p>
    <w:p w:rsidR="00224125" w:rsidRPr="00224125" w:rsidRDefault="00224125" w:rsidP="00224125">
      <w:pPr>
        <w:widowControl/>
        <w:spacing w:after="200" w:line="276" w:lineRule="auto"/>
        <w:rPr>
          <w:rFonts w:eastAsia="Calibri"/>
          <w:szCs w:val="22"/>
          <w:lang w:eastAsia="en-US"/>
        </w:rPr>
      </w:pPr>
      <w:r w:rsidRPr="00224125">
        <w:rPr>
          <w:rFonts w:eastAsia="Calibri"/>
          <w:szCs w:val="22"/>
          <w:lang w:eastAsia="en-US"/>
        </w:rPr>
        <w:br w:type="page"/>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lastRenderedPageBreak/>
        <w:t>4.</w:t>
      </w:r>
      <w:r w:rsidRPr="00224125">
        <w:rPr>
          <w:rFonts w:eastAsia="Calibri"/>
          <w:szCs w:val="22"/>
          <w:lang w:eastAsia="en-US"/>
        </w:rPr>
        <w:tab/>
        <w:t>Sans préjudice des missions et fonctions confiées conformément au règlement (UE) n° 473/2013 aux États membres dont la monnaie est l'euro, tous les États membres veillent à ce que les tâches ci-après soient exécutées par l'une des institutions visées au paragraphe 1:</w:t>
      </w:r>
    </w:p>
    <w:p w:rsidR="00224125" w:rsidRPr="00224125" w:rsidRDefault="00224125" w:rsidP="00224125">
      <w:pPr>
        <w:widowControl/>
        <w:shd w:val="clear" w:color="auto" w:fill="FFFFFF"/>
        <w:spacing w:before="120" w:line="360" w:lineRule="auto"/>
        <w:ind w:left="1440" w:hanging="720"/>
        <w:rPr>
          <w:rFonts w:eastAsia="Calibri"/>
          <w:szCs w:val="22"/>
          <w:lang w:eastAsia="en-US"/>
        </w:rPr>
      </w:pPr>
      <w:r w:rsidRPr="00224125">
        <w:rPr>
          <w:rFonts w:eastAsia="Calibri"/>
          <w:szCs w:val="22"/>
          <w:lang w:eastAsia="en-US"/>
        </w:rPr>
        <w:t>a)</w:t>
      </w:r>
      <w:r w:rsidRPr="00224125">
        <w:rPr>
          <w:rFonts w:eastAsia="Calibri"/>
          <w:szCs w:val="22"/>
          <w:lang w:eastAsia="en-US"/>
        </w:rPr>
        <w:tab/>
        <w:t>réaliser, évaluer ou approuver des prévisions macroéconomiques annuelles et pluriannuelles;</w:t>
      </w:r>
    </w:p>
    <w:p w:rsidR="00224125" w:rsidRPr="00224125" w:rsidRDefault="00224125" w:rsidP="00224125">
      <w:pPr>
        <w:widowControl/>
        <w:shd w:val="clear" w:color="auto" w:fill="FFFFFF"/>
        <w:spacing w:before="120" w:after="120" w:line="360" w:lineRule="auto"/>
        <w:ind w:left="1440" w:hanging="732"/>
        <w:rPr>
          <w:rFonts w:eastAsia="Calibri"/>
          <w:iCs/>
          <w:szCs w:val="22"/>
          <w:lang w:eastAsia="en-US"/>
        </w:rPr>
      </w:pPr>
      <w:r w:rsidRPr="00224125">
        <w:rPr>
          <w:rFonts w:eastAsia="Calibri"/>
          <w:szCs w:val="22"/>
          <w:lang w:eastAsia="en-US"/>
        </w:rPr>
        <w:t>d)</w:t>
      </w:r>
      <w:r w:rsidRPr="00224125">
        <w:rPr>
          <w:rFonts w:eastAsia="Calibri"/>
          <w:szCs w:val="22"/>
          <w:lang w:eastAsia="en-US"/>
        </w:rPr>
        <w:tab/>
        <w:t>contrôler le respect des règles budgétaires chiffrées spécifiques à chaque pays, sauf si ce contrôle est effectué par d'autres organismes conformément à l'article 6; </w:t>
      </w:r>
    </w:p>
    <w:p w:rsidR="00224125" w:rsidRPr="00224125" w:rsidRDefault="00224125" w:rsidP="00224125">
      <w:pPr>
        <w:widowControl/>
        <w:shd w:val="clear" w:color="auto" w:fill="FFFFFF"/>
        <w:spacing w:before="120" w:after="120" w:line="360" w:lineRule="auto"/>
        <w:ind w:left="1440" w:hanging="732"/>
        <w:rPr>
          <w:rFonts w:eastAsia="Calibri"/>
          <w:iCs/>
          <w:szCs w:val="22"/>
          <w:lang w:eastAsia="en-US"/>
        </w:rPr>
      </w:pPr>
      <w:r w:rsidRPr="00224125">
        <w:rPr>
          <w:rFonts w:eastAsia="Calibri"/>
          <w:szCs w:val="22"/>
          <w:lang w:eastAsia="en-US"/>
        </w:rPr>
        <w:t>e)</w:t>
      </w:r>
      <w:r w:rsidRPr="00224125">
        <w:rPr>
          <w:rFonts w:eastAsia="Calibri"/>
          <w:szCs w:val="22"/>
          <w:lang w:eastAsia="en-US"/>
        </w:rPr>
        <w:tab/>
        <w:t xml:space="preserve">exécuter des tâches conformément aux articles pertinents du règlement [XXX volet préventif du pacte de stabilité et de croissance] et du règlement [XXX volet correctif du pacte de stabilité et de </w:t>
      </w:r>
      <w:proofErr w:type="gramStart"/>
      <w:r w:rsidRPr="00224125">
        <w:rPr>
          <w:rFonts w:eastAsia="Calibri"/>
          <w:szCs w:val="22"/>
          <w:lang w:eastAsia="en-US"/>
        </w:rPr>
        <w:t>croissance]*</w:t>
      </w:r>
      <w:proofErr w:type="gramEnd"/>
      <w:r w:rsidRPr="00224125">
        <w:rPr>
          <w:rFonts w:eastAsia="Calibri"/>
          <w:szCs w:val="22"/>
          <w:lang w:eastAsia="en-US"/>
        </w:rPr>
        <w:t>;</w:t>
      </w:r>
    </w:p>
    <w:p w:rsidR="00224125" w:rsidRPr="00224125" w:rsidRDefault="00224125" w:rsidP="00224125">
      <w:pPr>
        <w:widowControl/>
        <w:shd w:val="clear" w:color="auto" w:fill="FFFFFF"/>
        <w:spacing w:before="120" w:after="120" w:line="360" w:lineRule="auto"/>
        <w:ind w:firstLine="708"/>
        <w:rPr>
          <w:rFonts w:eastAsia="Calibri"/>
          <w:iCs/>
          <w:szCs w:val="22"/>
          <w:lang w:eastAsia="en-US"/>
        </w:rPr>
      </w:pPr>
      <w:r w:rsidRPr="00224125">
        <w:rPr>
          <w:rFonts w:eastAsia="Calibri"/>
          <w:szCs w:val="22"/>
          <w:lang w:eastAsia="en-US"/>
        </w:rPr>
        <w:t>f)</w:t>
      </w:r>
      <w:r w:rsidRPr="00224125">
        <w:rPr>
          <w:rFonts w:eastAsia="Calibri"/>
          <w:szCs w:val="22"/>
          <w:lang w:eastAsia="en-US"/>
        </w:rPr>
        <w:tab/>
        <w:t>évaluer l'homogénéité, la cohérence et l'efficacité du cadre budgétaire national;</w:t>
      </w:r>
    </w:p>
    <w:p w:rsidR="00224125" w:rsidRPr="00224125" w:rsidRDefault="00224125" w:rsidP="00224125">
      <w:pPr>
        <w:widowControl/>
        <w:shd w:val="clear" w:color="auto" w:fill="FFFFFF"/>
        <w:spacing w:before="120" w:after="120" w:line="360" w:lineRule="auto"/>
        <w:ind w:left="1440" w:hanging="732"/>
        <w:rPr>
          <w:rFonts w:eastAsia="Calibri"/>
          <w:szCs w:val="22"/>
          <w:lang w:eastAsia="en-US"/>
        </w:rPr>
      </w:pPr>
      <w:r w:rsidRPr="00224125">
        <w:rPr>
          <w:rFonts w:eastAsia="Calibri"/>
          <w:szCs w:val="22"/>
          <w:lang w:eastAsia="en-US"/>
        </w:rPr>
        <w:t>g)</w:t>
      </w:r>
      <w:r w:rsidRPr="00224125">
        <w:rPr>
          <w:rFonts w:eastAsia="Calibri"/>
          <w:szCs w:val="22"/>
          <w:lang w:eastAsia="en-US"/>
        </w:rPr>
        <w:tab/>
        <w:t>sur invitation, participer à des auditions et discussions régulières au parlement national.</w:t>
      </w:r>
    </w:p>
    <w:p w:rsidR="00224125" w:rsidRPr="00224125" w:rsidRDefault="00224125" w:rsidP="00224125">
      <w:pPr>
        <w:widowControl/>
        <w:shd w:val="clear" w:color="auto" w:fill="FFFFFF"/>
        <w:spacing w:before="120" w:line="360" w:lineRule="auto"/>
        <w:rPr>
          <w:rFonts w:eastAsia="Calibri"/>
          <w:szCs w:val="22"/>
          <w:lang w:eastAsia="en-US"/>
        </w:rPr>
      </w:pPr>
      <w:r w:rsidRPr="00224125">
        <w:rPr>
          <w:rFonts w:eastAsia="Calibri"/>
          <w:szCs w:val="22"/>
          <w:lang w:eastAsia="en-US"/>
        </w:rPr>
        <w:t>5.</w:t>
      </w:r>
      <w:r w:rsidRPr="00224125">
        <w:rPr>
          <w:rFonts w:eastAsia="Calibri"/>
          <w:szCs w:val="22"/>
          <w:lang w:eastAsia="en-US"/>
        </w:rPr>
        <w:tab/>
        <w:t xml:space="preserve">Les institutions procèdent à des évaluations dans le cadre des tâches visées au paragraphe 4, </w:t>
      </w:r>
      <w:proofErr w:type="gramStart"/>
      <w:r w:rsidRPr="00224125">
        <w:rPr>
          <w:rFonts w:eastAsia="Calibri"/>
          <w:szCs w:val="22"/>
          <w:lang w:eastAsia="en-US"/>
        </w:rPr>
        <w:t>points a</w:t>
      </w:r>
      <w:proofErr w:type="gramEnd"/>
      <w:r w:rsidRPr="00224125">
        <w:rPr>
          <w:rFonts w:eastAsia="Calibri"/>
          <w:szCs w:val="22"/>
          <w:lang w:eastAsia="en-US"/>
        </w:rPr>
        <w:t>), d), e) et f), sans préjudice des missions et fonctions confiées conformément au règlement (UE) n° 473/2013. Les États membres se conforment à ces évaluations ou, à défaut, expliquent pourquoi ils ne les suivent pas. L'explication est publique et présentée deux mois à compter de la réalisation de ces évaluations.</w:t>
      </w:r>
    </w:p>
    <w:p w:rsidR="00224125" w:rsidRPr="00224125" w:rsidRDefault="00224125" w:rsidP="00224125">
      <w:pPr>
        <w:widowControl/>
        <w:spacing w:before="120" w:after="120" w:line="360" w:lineRule="auto"/>
        <w:ind w:left="1417"/>
        <w:rPr>
          <w:rFonts w:eastAsia="Calibri"/>
          <w:szCs w:val="22"/>
          <w:u w:val="single"/>
          <w:lang w:eastAsia="en-US"/>
        </w:rPr>
      </w:pPr>
      <w:r w:rsidRPr="00224125">
        <w:rPr>
          <w:rFonts w:eastAsia="Calibri"/>
          <w:b/>
          <w:szCs w:val="22"/>
          <w:u w:val="single"/>
          <w:lang w:eastAsia="en-US"/>
        </w:rPr>
        <w:t>_</w:t>
      </w:r>
      <w:r w:rsidRPr="00224125">
        <w:rPr>
          <w:rFonts w:eastAsia="Calibri"/>
          <w:szCs w:val="22"/>
          <w:u w:val="single"/>
          <w:lang w:eastAsia="en-US"/>
        </w:rPr>
        <w:t>________________</w:t>
      </w:r>
    </w:p>
    <w:p w:rsidR="00224125" w:rsidRPr="00224125" w:rsidRDefault="00224125" w:rsidP="00224125">
      <w:pPr>
        <w:widowControl/>
        <w:spacing w:before="120" w:after="120" w:line="360" w:lineRule="auto"/>
        <w:ind w:left="1417"/>
        <w:rPr>
          <w:rFonts w:eastAsia="Calibri"/>
          <w:szCs w:val="22"/>
          <w:lang w:eastAsia="en-US"/>
        </w:rPr>
      </w:pPr>
      <w:r w:rsidRPr="00224125">
        <w:rPr>
          <w:rFonts w:eastAsia="Calibri"/>
          <w:szCs w:val="22"/>
          <w:lang w:eastAsia="en-US"/>
        </w:rPr>
        <w:t>* Règlement (UE) du Conseil du [insérer la date] [insérer le titre complet] (JO L …).</w:t>
      </w:r>
    </w:p>
    <w:p w:rsidR="00224125" w:rsidRPr="00224125" w:rsidRDefault="00224125" w:rsidP="00224125">
      <w:pPr>
        <w:widowControl/>
        <w:spacing w:after="200" w:line="276" w:lineRule="auto"/>
        <w:rPr>
          <w:rFonts w:eastAsia="Calibri"/>
          <w:b/>
          <w:iCs/>
          <w:szCs w:val="22"/>
          <w:lang w:eastAsia="en-US"/>
        </w:rPr>
      </w:pPr>
      <w:r w:rsidRPr="00224125">
        <w:rPr>
          <w:rFonts w:eastAsia="Calibri"/>
          <w:szCs w:val="22"/>
          <w:lang w:eastAsia="en-US"/>
        </w:rPr>
        <w:br w:type="page"/>
      </w:r>
    </w:p>
    <w:p w:rsidR="00224125" w:rsidRPr="00224125" w:rsidRDefault="00224125" w:rsidP="00224125">
      <w:pPr>
        <w:widowControl/>
        <w:shd w:val="clear" w:color="auto" w:fill="FFFFFF"/>
        <w:spacing w:before="120" w:line="360" w:lineRule="auto"/>
        <w:ind w:left="851" w:hanging="851"/>
        <w:jc w:val="both"/>
        <w:rPr>
          <w:color w:val="000000"/>
          <w:szCs w:val="24"/>
          <w:lang w:eastAsia="en-US"/>
        </w:rPr>
      </w:pPr>
      <w:r w:rsidRPr="00224125">
        <w:rPr>
          <w:rFonts w:eastAsia="Calibri"/>
          <w:color w:val="000000"/>
          <w:szCs w:val="22"/>
          <w:lang w:eastAsia="en-US"/>
        </w:rPr>
        <w:lastRenderedPageBreak/>
        <w:t>9)</w:t>
      </w:r>
      <w:r w:rsidRPr="00224125">
        <w:rPr>
          <w:rFonts w:eastAsia="Calibri"/>
          <w:color w:val="000000"/>
          <w:szCs w:val="22"/>
          <w:lang w:eastAsia="en-US"/>
        </w:rPr>
        <w:tab/>
        <w:t>L'article 9 est modifié comme suit:</w:t>
      </w:r>
    </w:p>
    <w:p w:rsidR="00224125" w:rsidRPr="00224125" w:rsidRDefault="00224125" w:rsidP="00224125">
      <w:pPr>
        <w:keepNext/>
        <w:widowControl/>
        <w:spacing w:before="360" w:after="120" w:line="360" w:lineRule="auto"/>
        <w:ind w:firstLine="720"/>
        <w:jc w:val="both"/>
        <w:rPr>
          <w:rFonts w:eastAsia="Calibri"/>
          <w:iCs/>
          <w:szCs w:val="22"/>
          <w:lang w:eastAsia="en-US"/>
        </w:rPr>
      </w:pPr>
      <w:r w:rsidRPr="00224125">
        <w:rPr>
          <w:rFonts w:eastAsia="Calibri"/>
          <w:szCs w:val="22"/>
          <w:lang w:eastAsia="en-US"/>
        </w:rPr>
        <w:t>a) le paragraphe 1 est remplacé par le texte suivant:</w:t>
      </w:r>
    </w:p>
    <w:p w:rsidR="00224125" w:rsidRPr="00224125" w:rsidRDefault="00224125" w:rsidP="00224125">
      <w:pPr>
        <w:keepNext/>
        <w:widowControl/>
        <w:spacing w:before="360" w:after="120" w:line="360" w:lineRule="auto"/>
        <w:ind w:left="720"/>
        <w:rPr>
          <w:rFonts w:eastAsia="Calibri"/>
          <w:iCs/>
          <w:szCs w:val="22"/>
          <w:lang w:eastAsia="en-US"/>
        </w:rPr>
      </w:pPr>
      <w:r w:rsidRPr="00224125">
        <w:rPr>
          <w:rFonts w:eastAsia="Calibri"/>
          <w:szCs w:val="22"/>
          <w:lang w:eastAsia="en-US"/>
        </w:rPr>
        <w:t xml:space="preserve">"1. </w:t>
      </w:r>
      <w:r w:rsidRPr="00224125">
        <w:rPr>
          <w:rFonts w:eastAsia="Calibri"/>
          <w:color w:val="000000"/>
          <w:szCs w:val="22"/>
          <w:lang w:eastAsia="en-US"/>
        </w:rPr>
        <w:t>Les États membres mettent en place un cadre budgétaire national à moyen terme crédible et efficace, prévoyant l'adoption d'un horizon de programmation budgétaire de trois ans au moins, afin de garantir que la programmation budgétaire nationale s'inscrit dans une perspective de programmation budgétaire pluriannuelle.";</w:t>
      </w:r>
    </w:p>
    <w:p w:rsidR="00224125" w:rsidRPr="00224125" w:rsidRDefault="00224125" w:rsidP="00224125">
      <w:pPr>
        <w:widowControl/>
        <w:spacing w:before="120" w:after="120" w:line="360" w:lineRule="auto"/>
        <w:ind w:firstLine="720"/>
        <w:rPr>
          <w:rFonts w:eastAsia="Calibri"/>
          <w:szCs w:val="22"/>
          <w:lang w:eastAsia="en-US"/>
        </w:rPr>
      </w:pPr>
      <w:r w:rsidRPr="00224125">
        <w:rPr>
          <w:rFonts w:eastAsia="Calibri"/>
          <w:szCs w:val="22"/>
          <w:lang w:eastAsia="en-US"/>
        </w:rPr>
        <w:t>b) le paragraphe 2 est modifié comme suit:</w:t>
      </w:r>
    </w:p>
    <w:p w:rsidR="00224125" w:rsidRPr="00224125" w:rsidRDefault="00224125" w:rsidP="00224125">
      <w:pPr>
        <w:widowControl/>
        <w:spacing w:before="120" w:after="120" w:line="360" w:lineRule="auto"/>
        <w:ind w:firstLine="720"/>
        <w:rPr>
          <w:rFonts w:eastAsia="Calibri"/>
          <w:szCs w:val="22"/>
          <w:lang w:eastAsia="en-US"/>
        </w:rPr>
      </w:pPr>
      <w:r w:rsidRPr="00224125">
        <w:rPr>
          <w:rFonts w:eastAsia="Calibri"/>
          <w:szCs w:val="22"/>
          <w:lang w:eastAsia="en-US"/>
        </w:rPr>
        <w:t>i) la partie introductive est remplacée par le texte suivant:</w:t>
      </w:r>
    </w:p>
    <w:p w:rsidR="00224125" w:rsidRPr="00224125" w:rsidRDefault="00224125" w:rsidP="00224125">
      <w:pPr>
        <w:widowControl/>
        <w:spacing w:before="120" w:after="120" w:line="360" w:lineRule="auto"/>
        <w:ind w:left="1134" w:hanging="414"/>
        <w:rPr>
          <w:rFonts w:eastAsia="Calibri"/>
          <w:szCs w:val="22"/>
          <w:lang w:eastAsia="en-US"/>
        </w:rPr>
      </w:pPr>
      <w:r w:rsidRPr="00224125">
        <w:rPr>
          <w:rFonts w:eastAsia="Calibri"/>
          <w:szCs w:val="22"/>
          <w:lang w:eastAsia="en-US"/>
        </w:rPr>
        <w:t>"2. Les cadres budgétaires nationaux à moyen terme comprennent des procédures pour établir les éléments suivants:</w:t>
      </w:r>
      <w:r w:rsidRPr="00224125">
        <w:rPr>
          <w:rFonts w:eastAsia="Calibri"/>
          <w:color w:val="000000"/>
          <w:szCs w:val="22"/>
          <w:lang w:eastAsia="en-US"/>
        </w:rPr>
        <w:t xml:space="preserve"> "</w:t>
      </w:r>
    </w:p>
    <w:p w:rsidR="00224125" w:rsidRPr="00224125" w:rsidRDefault="00224125" w:rsidP="00224125">
      <w:pPr>
        <w:widowControl/>
        <w:spacing w:before="120" w:after="120" w:line="360" w:lineRule="auto"/>
        <w:ind w:left="130" w:firstLine="579"/>
        <w:jc w:val="both"/>
        <w:rPr>
          <w:rFonts w:eastAsia="Calibri"/>
          <w:szCs w:val="22"/>
          <w:lang w:eastAsia="en-US"/>
        </w:rPr>
      </w:pPr>
      <w:r w:rsidRPr="00224125">
        <w:rPr>
          <w:rFonts w:eastAsia="Calibri"/>
          <w:szCs w:val="22"/>
          <w:lang w:eastAsia="en-US"/>
        </w:rPr>
        <w:t>ii) le point a) est remplacé par le texte suivant:</w:t>
      </w:r>
    </w:p>
    <w:p w:rsidR="00224125" w:rsidRPr="00224125" w:rsidRDefault="00224125" w:rsidP="00224125">
      <w:pPr>
        <w:widowControl/>
        <w:spacing w:before="120" w:after="120" w:line="360" w:lineRule="auto"/>
        <w:ind w:left="850"/>
        <w:rPr>
          <w:rFonts w:eastAsia="Calibri"/>
          <w:szCs w:val="22"/>
          <w:lang w:eastAsia="en-US"/>
        </w:rPr>
      </w:pPr>
      <w:r w:rsidRPr="00224125">
        <w:rPr>
          <w:rFonts w:eastAsia="Calibri"/>
          <w:szCs w:val="22"/>
          <w:lang w:eastAsia="en-US"/>
        </w:rPr>
        <w:t>"a) des objectifs budgétaires pluriannuels globaux et transparents, tels que visés à l'article 2, point e), exprimés en termes de déficit des administrations publiques, de dette publique et par tout autre indicateur budgétaire, tel que les dépenses, qui soient cohérentes avec les règles budgétaires chiffrées spécifiques à chaque pays, comme prévu au chapitre IV de la présente directive, et avec les dispositions pertinentes du règlement [XXX volet préventif du pacte de stabilité et de croissance];";</w:t>
      </w:r>
    </w:p>
    <w:p w:rsidR="00224125" w:rsidRPr="00224125" w:rsidRDefault="00224125" w:rsidP="00224125">
      <w:pPr>
        <w:widowControl/>
        <w:spacing w:before="120" w:after="120" w:line="360" w:lineRule="auto"/>
        <w:ind w:firstLine="720"/>
        <w:rPr>
          <w:rFonts w:eastAsia="Calibri"/>
          <w:szCs w:val="22"/>
          <w:lang w:eastAsia="en-US"/>
        </w:rPr>
      </w:pPr>
      <w:r w:rsidRPr="00224125">
        <w:rPr>
          <w:rFonts w:eastAsia="Calibri"/>
          <w:szCs w:val="22"/>
          <w:lang w:eastAsia="en-US"/>
        </w:rPr>
        <w:t>iii) le point c) est remplacé par le texte suivant:</w:t>
      </w:r>
    </w:p>
    <w:p w:rsidR="00224125" w:rsidRPr="00224125" w:rsidRDefault="00224125" w:rsidP="00224125">
      <w:pPr>
        <w:widowControl/>
        <w:spacing w:before="120" w:after="120" w:line="360" w:lineRule="auto"/>
        <w:ind w:left="850"/>
        <w:rPr>
          <w:rFonts w:eastAsia="Calibri"/>
          <w:szCs w:val="22"/>
          <w:lang w:eastAsia="en-US"/>
        </w:rPr>
      </w:pPr>
      <w:r w:rsidRPr="00224125">
        <w:rPr>
          <w:rFonts w:eastAsia="Calibri"/>
          <w:szCs w:val="22"/>
          <w:lang w:eastAsia="en-US"/>
        </w:rPr>
        <w:t>"c) une description des politiques envisagées à moyen terme, y compris les investissements et les réformes, ayant un impact sur les finances des administrations publiques et la croissance durable et inclusive, ventilées par poste de dépenses et de recettes important, qui montre comment l'ajustement permet d'atteindre les objectifs budgétaires nationaux à moyen terme visés à l'article 2, point e), en comparaison des projections à politiques inchangées;";</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widowControl/>
        <w:rPr>
          <w:rFonts w:eastAsia="Calibri"/>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720"/>
        <w:jc w:val="both"/>
        <w:rPr>
          <w:rFonts w:eastAsia="Calibri"/>
          <w:szCs w:val="22"/>
          <w:lang w:eastAsia="en-US"/>
        </w:rPr>
      </w:pPr>
      <w:r w:rsidRPr="00224125">
        <w:rPr>
          <w:rFonts w:eastAsia="Calibri"/>
          <w:szCs w:val="22"/>
          <w:lang w:eastAsia="en-US"/>
        </w:rPr>
        <w:lastRenderedPageBreak/>
        <w:t>iv) le point d) est remplacé par le texte suivant:</w:t>
      </w:r>
    </w:p>
    <w:p w:rsidR="00224125" w:rsidRPr="00224125" w:rsidRDefault="00224125" w:rsidP="00224125">
      <w:pPr>
        <w:widowControl/>
        <w:spacing w:before="120" w:after="120" w:line="360" w:lineRule="auto"/>
        <w:ind w:left="851"/>
        <w:rPr>
          <w:rFonts w:eastAsia="Calibri"/>
          <w:b/>
          <w:bCs/>
          <w:szCs w:val="22"/>
          <w:lang w:eastAsia="en-US"/>
        </w:rPr>
      </w:pPr>
      <w:r w:rsidRPr="00224125">
        <w:rPr>
          <w:rFonts w:eastAsia="Calibri"/>
          <w:szCs w:val="22"/>
          <w:lang w:eastAsia="en-US"/>
        </w:rPr>
        <w:t xml:space="preserve">"d) une évaluation de l'effet que, à la lumière de leur impact direct à moyen et à long terme sur les finances des administrations publiques, les politiques envisagées sont susceptibles d'avoir sur la soutenabilité à moyen et à long terme des finances publiques ainsi que sur la croissance durable et inclusive. Dans la mesure du possible, l'évaluation tient compte des risques </w:t>
      </w:r>
      <w:proofErr w:type="spellStart"/>
      <w:r w:rsidRPr="00224125">
        <w:rPr>
          <w:rFonts w:eastAsia="Calibri"/>
          <w:szCs w:val="22"/>
          <w:lang w:eastAsia="en-US"/>
        </w:rPr>
        <w:t>macrobudgétaires</w:t>
      </w:r>
      <w:proofErr w:type="spellEnd"/>
      <w:r w:rsidRPr="00224125">
        <w:rPr>
          <w:rFonts w:eastAsia="Calibri"/>
          <w:szCs w:val="22"/>
          <w:lang w:eastAsia="en-US"/>
        </w:rPr>
        <w:t xml:space="preserve"> dus au changement climatique, de leur impact sur l'environnement et de leurs effets distributifs.";</w:t>
      </w:r>
    </w:p>
    <w:p w:rsidR="00224125" w:rsidRPr="00224125" w:rsidRDefault="00224125" w:rsidP="00224125">
      <w:pPr>
        <w:widowControl/>
        <w:spacing w:before="120" w:after="120" w:line="360" w:lineRule="auto"/>
        <w:ind w:left="709"/>
        <w:jc w:val="both"/>
        <w:rPr>
          <w:rFonts w:eastAsia="Calibri"/>
          <w:szCs w:val="22"/>
          <w:lang w:eastAsia="en-US"/>
        </w:rPr>
      </w:pPr>
      <w:r w:rsidRPr="00224125">
        <w:rPr>
          <w:rFonts w:eastAsia="Calibri"/>
          <w:szCs w:val="22"/>
          <w:lang w:eastAsia="en-US"/>
        </w:rPr>
        <w:t>c) le paragraphe 3 est supprimé.</w:t>
      </w:r>
    </w:p>
    <w:p w:rsidR="00224125" w:rsidRPr="00224125" w:rsidRDefault="00224125" w:rsidP="00224125">
      <w:pPr>
        <w:widowControl/>
        <w:shd w:val="clear" w:color="auto" w:fill="FFFFFF"/>
        <w:spacing w:before="120" w:line="360" w:lineRule="auto"/>
        <w:ind w:left="851" w:hanging="851"/>
        <w:jc w:val="both"/>
        <w:rPr>
          <w:rFonts w:eastAsia="Calibri"/>
          <w:iCs/>
          <w:szCs w:val="22"/>
          <w:lang w:eastAsia="en-US"/>
        </w:rPr>
      </w:pPr>
      <w:r w:rsidRPr="00224125">
        <w:rPr>
          <w:rFonts w:eastAsia="Calibri"/>
          <w:szCs w:val="22"/>
          <w:lang w:eastAsia="en-US"/>
        </w:rPr>
        <w:t>10)</w:t>
      </w:r>
      <w:r w:rsidRPr="00224125">
        <w:rPr>
          <w:rFonts w:eastAsia="Calibri"/>
          <w:szCs w:val="22"/>
          <w:lang w:eastAsia="en-US"/>
        </w:rPr>
        <w:tab/>
        <w:t>Les articles 10 et 11 sont remplacés par le texte suivant:</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widowControl/>
        <w:spacing w:before="120" w:after="120" w:line="360" w:lineRule="auto"/>
        <w:ind w:left="2880" w:firstLine="720"/>
        <w:jc w:val="both"/>
        <w:rPr>
          <w:rFonts w:eastAsia="Calibri"/>
          <w:szCs w:val="22"/>
          <w:lang w:eastAsia="en-US"/>
        </w:rPr>
      </w:pPr>
      <w:r w:rsidRPr="00224125">
        <w:rPr>
          <w:rFonts w:eastAsia="Calibri"/>
          <w:szCs w:val="22"/>
          <w:lang w:eastAsia="en-US"/>
        </w:rPr>
        <w:t>"Article 10</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Les lois budgétaires annuelles sont cohérentes avec les objectifs budgétaires nationaux à moyen terme visés à l'article 2, point e). Tout écart est dûment expliqué.</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widowControl/>
        <w:spacing w:before="120" w:after="120" w:line="360" w:lineRule="auto"/>
        <w:ind w:left="2880" w:firstLine="720"/>
        <w:jc w:val="both"/>
        <w:rPr>
          <w:rFonts w:eastAsia="Calibri"/>
          <w:szCs w:val="22"/>
          <w:lang w:eastAsia="en-US"/>
        </w:rPr>
      </w:pPr>
      <w:r w:rsidRPr="00224125">
        <w:rPr>
          <w:rFonts w:eastAsia="Calibri"/>
          <w:szCs w:val="22"/>
          <w:lang w:eastAsia="en-US"/>
        </w:rPr>
        <w:t>Article 11</w:t>
      </w:r>
    </w:p>
    <w:p w:rsidR="00224125" w:rsidRPr="00224125" w:rsidRDefault="00224125" w:rsidP="00224125">
      <w:pPr>
        <w:keepNext/>
        <w:widowControl/>
        <w:spacing w:before="360" w:after="120" w:line="360" w:lineRule="auto"/>
        <w:rPr>
          <w:rFonts w:eastAsia="Calibri"/>
          <w:iCs/>
          <w:szCs w:val="22"/>
          <w:lang w:eastAsia="en-US"/>
        </w:rPr>
      </w:pPr>
      <w:r w:rsidRPr="00224125">
        <w:rPr>
          <w:rFonts w:eastAsia="Calibri"/>
          <w:szCs w:val="22"/>
          <w:lang w:eastAsia="en-US"/>
        </w:rPr>
        <w:t>La présente directive n'empêche en rien le nouveau gouvernement d'un État membre d'actualiser son programme budgétaire à moyen terme de manière à tenir compte de ses nouvelles priorités d'action. En pareil cas, le nouveau gouvernement indique les différences existant entre le précédent programme budgétaire à moyen terme et le nouveau.".</w:t>
      </w:r>
    </w:p>
    <w:p w:rsidR="00224125" w:rsidRPr="00224125" w:rsidRDefault="00224125" w:rsidP="00224125">
      <w:pPr>
        <w:widowControl/>
        <w:spacing w:before="120" w:after="120" w:line="360" w:lineRule="auto"/>
        <w:jc w:val="both"/>
        <w:rPr>
          <w:rFonts w:eastAsia="Calibri"/>
          <w:szCs w:val="22"/>
          <w:lang w:eastAsia="en-US"/>
        </w:rPr>
      </w:pPr>
    </w:p>
    <w:p w:rsidR="00224125" w:rsidRPr="00224125" w:rsidRDefault="00224125" w:rsidP="00224125">
      <w:pPr>
        <w:keepNext/>
        <w:widowControl/>
        <w:spacing w:before="120" w:after="360" w:line="360" w:lineRule="auto"/>
        <w:ind w:left="851" w:hanging="851"/>
        <w:rPr>
          <w:rFonts w:ascii="inherit" w:eastAsia="Calibri" w:hAnsi="inherit"/>
          <w:bCs/>
          <w:szCs w:val="24"/>
          <w:lang w:eastAsia="en-US"/>
        </w:rPr>
      </w:pPr>
      <w:r w:rsidRPr="00224125">
        <w:rPr>
          <w:rFonts w:eastAsia="Calibri"/>
          <w:szCs w:val="22"/>
          <w:lang w:eastAsia="en-US"/>
        </w:rPr>
        <w:t>11</w:t>
      </w:r>
      <w:r w:rsidRPr="00224125">
        <w:rPr>
          <w:rFonts w:ascii="inherit" w:eastAsia="Calibri" w:hAnsi="inherit"/>
          <w:szCs w:val="22"/>
          <w:lang w:eastAsia="en-US"/>
        </w:rPr>
        <w:t>)</w:t>
      </w:r>
      <w:r w:rsidRPr="00224125">
        <w:rPr>
          <w:rFonts w:ascii="inherit" w:eastAsia="Calibri" w:hAnsi="inherit"/>
          <w:b/>
          <w:szCs w:val="22"/>
          <w:lang w:eastAsia="en-US"/>
        </w:rPr>
        <w:tab/>
      </w:r>
      <w:r w:rsidRPr="00224125">
        <w:rPr>
          <w:rFonts w:ascii="inherit" w:eastAsia="Calibri" w:hAnsi="inherit"/>
          <w:szCs w:val="22"/>
          <w:lang w:eastAsia="en-US"/>
        </w:rPr>
        <w:t>Au chapitre VI, le titre est remplacé par le texte suivant: "TRANSPARENCE DES FINANCES DES ADMINISTRATIONS PUBLIQUES".</w:t>
      </w:r>
    </w:p>
    <w:p w:rsidR="00224125" w:rsidRPr="00224125" w:rsidRDefault="00224125" w:rsidP="00224125">
      <w:pPr>
        <w:widowControl/>
        <w:spacing w:after="200" w:line="276" w:lineRule="auto"/>
        <w:rPr>
          <w:rFonts w:eastAsia="Calibri"/>
          <w:szCs w:val="22"/>
          <w:lang w:eastAsia="en-US"/>
        </w:rPr>
      </w:pPr>
      <w:r w:rsidRPr="00224125">
        <w:rPr>
          <w:rFonts w:eastAsia="Calibri"/>
          <w:szCs w:val="22"/>
          <w:lang w:eastAsia="en-US"/>
        </w:rPr>
        <w:br w:type="page"/>
      </w:r>
    </w:p>
    <w:p w:rsidR="00224125" w:rsidRPr="00224125" w:rsidRDefault="00224125" w:rsidP="00224125">
      <w:pPr>
        <w:widowControl/>
        <w:shd w:val="clear" w:color="auto" w:fill="FFFFFF"/>
        <w:spacing w:before="120" w:line="360" w:lineRule="auto"/>
        <w:ind w:left="851" w:hanging="851"/>
        <w:jc w:val="both"/>
        <w:rPr>
          <w:rFonts w:eastAsia="Calibri"/>
          <w:szCs w:val="22"/>
          <w:lang w:eastAsia="en-US"/>
        </w:rPr>
      </w:pPr>
      <w:r w:rsidRPr="00224125">
        <w:rPr>
          <w:rFonts w:eastAsia="Calibri"/>
          <w:szCs w:val="22"/>
          <w:lang w:eastAsia="en-US"/>
        </w:rPr>
        <w:lastRenderedPageBreak/>
        <w:t>12)</w:t>
      </w:r>
      <w:r w:rsidRPr="00224125">
        <w:rPr>
          <w:rFonts w:eastAsia="Calibri"/>
          <w:szCs w:val="22"/>
          <w:lang w:eastAsia="en-US"/>
        </w:rPr>
        <w:tab/>
        <w:t>L'article 12 est remplacé par le texte suivant:</w:t>
      </w:r>
    </w:p>
    <w:p w:rsidR="00224125" w:rsidRPr="00224125" w:rsidRDefault="00224125" w:rsidP="00224125">
      <w:pPr>
        <w:widowControl/>
        <w:shd w:val="clear" w:color="auto" w:fill="FFFFFF"/>
        <w:spacing w:before="120" w:line="360" w:lineRule="auto"/>
        <w:jc w:val="both"/>
        <w:rPr>
          <w:rFonts w:eastAsia="Calibri"/>
          <w:szCs w:val="22"/>
          <w:lang w:eastAsia="en-US"/>
        </w:rPr>
      </w:pPr>
    </w:p>
    <w:p w:rsidR="00224125" w:rsidRPr="00224125" w:rsidRDefault="00224125" w:rsidP="00224125">
      <w:pPr>
        <w:widowControl/>
        <w:shd w:val="clear" w:color="auto" w:fill="FFFFFF"/>
        <w:spacing w:before="120" w:line="360" w:lineRule="auto"/>
        <w:ind w:left="2880" w:firstLine="720"/>
        <w:jc w:val="both"/>
        <w:rPr>
          <w:rFonts w:eastAsia="Calibri"/>
          <w:szCs w:val="22"/>
          <w:lang w:eastAsia="en-US"/>
        </w:rPr>
      </w:pPr>
      <w:r w:rsidRPr="00224125">
        <w:rPr>
          <w:rFonts w:eastAsia="Calibri"/>
          <w:szCs w:val="22"/>
          <w:lang w:eastAsia="en-US"/>
        </w:rPr>
        <w:t>"Article 12</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szCs w:val="22"/>
          <w:lang w:eastAsia="en-US"/>
        </w:rPr>
        <w:t>Les États membres veillent à ce que toutes les mesures prises conformément aux chapitres II, III et IV soient cohérentes entre les différents sous-secteurs des administrations publiques et couvrent l'ensemble de ces sous-secteurs.</w:t>
      </w:r>
      <w:r w:rsidRPr="00224125">
        <w:rPr>
          <w:rFonts w:eastAsia="Calibri"/>
          <w:color w:val="000000"/>
          <w:szCs w:val="22"/>
          <w:lang w:eastAsia="en-US"/>
        </w:rPr>
        <w:t xml:space="preserve"> À cet effet, les États membres requièrent, en particulier, des règles et procédures comptables cohérentes de la part des administrations publiques ainsi que l'intégrité de leurs systèmes sous-jacents de collecte et de traitement des données.".</w:t>
      </w:r>
    </w:p>
    <w:p w:rsidR="00224125" w:rsidRPr="00224125" w:rsidRDefault="00224125" w:rsidP="00224125">
      <w:pPr>
        <w:widowControl/>
        <w:shd w:val="clear" w:color="auto" w:fill="FFFFFF"/>
        <w:spacing w:before="120" w:line="360" w:lineRule="auto"/>
        <w:jc w:val="both"/>
        <w:rPr>
          <w:rFonts w:eastAsia="Calibri"/>
          <w:iCs/>
          <w:szCs w:val="22"/>
          <w:lang w:eastAsia="en-US"/>
        </w:rPr>
      </w:pPr>
    </w:p>
    <w:p w:rsidR="00224125" w:rsidRPr="00224125" w:rsidRDefault="00224125" w:rsidP="00224125">
      <w:pPr>
        <w:widowControl/>
        <w:shd w:val="clear" w:color="auto" w:fill="FFFFFF"/>
        <w:spacing w:before="120" w:line="360" w:lineRule="auto"/>
        <w:ind w:left="851" w:hanging="851"/>
        <w:jc w:val="both"/>
        <w:rPr>
          <w:rFonts w:eastAsia="Calibri"/>
          <w:iCs/>
          <w:szCs w:val="22"/>
          <w:lang w:eastAsia="en-US"/>
        </w:rPr>
      </w:pPr>
      <w:r w:rsidRPr="00224125">
        <w:rPr>
          <w:rFonts w:eastAsia="Calibri"/>
          <w:szCs w:val="22"/>
          <w:lang w:eastAsia="en-US"/>
        </w:rPr>
        <w:t>13)</w:t>
      </w:r>
      <w:r w:rsidRPr="00224125">
        <w:rPr>
          <w:rFonts w:eastAsia="Calibri"/>
          <w:szCs w:val="22"/>
          <w:lang w:eastAsia="en-US"/>
        </w:rPr>
        <w:tab/>
        <w:t>L'article 14 est remplacé par le texte suivant:</w:t>
      </w:r>
    </w:p>
    <w:p w:rsidR="00224125" w:rsidRPr="00224125" w:rsidRDefault="00224125" w:rsidP="00224125">
      <w:pPr>
        <w:widowControl/>
        <w:shd w:val="clear" w:color="auto" w:fill="FFFFFF"/>
        <w:spacing w:before="120" w:line="360" w:lineRule="auto"/>
        <w:ind w:left="2880" w:firstLine="720"/>
        <w:jc w:val="both"/>
        <w:rPr>
          <w:rFonts w:eastAsia="Calibri"/>
          <w:szCs w:val="22"/>
          <w:lang w:eastAsia="en-US"/>
        </w:rPr>
      </w:pPr>
      <w:r w:rsidRPr="00224125">
        <w:rPr>
          <w:rFonts w:eastAsia="Calibri"/>
          <w:szCs w:val="22"/>
          <w:lang w:eastAsia="en-US"/>
        </w:rPr>
        <w:t>"Article 14</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1.</w:t>
      </w:r>
      <w:r w:rsidRPr="00224125">
        <w:rPr>
          <w:rFonts w:eastAsia="Calibri"/>
          <w:szCs w:val="22"/>
          <w:lang w:eastAsia="en-US"/>
        </w:rPr>
        <w:tab/>
        <w:t>Dans le cadre des procédures budgétaires annuelles et pluriannuelles, les États membres publient des informations sur les organismes et les fonds qui n'entrent pas dans le périmètre des budgets ordinaires mais qui font partie des administrations publiques, y compris les sous-secteurs de ces administrations. Les États membres publient aussi des montants correspondant à l'impact combiné de ces organismes et fonds sur les soldes et les dettes des administrations publiques.</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2.</w:t>
      </w:r>
      <w:r w:rsidRPr="00224125">
        <w:rPr>
          <w:rFonts w:eastAsia="Calibri"/>
          <w:szCs w:val="22"/>
          <w:lang w:eastAsia="en-US"/>
        </w:rPr>
        <w:tab/>
        <w:t>Les États membres publient des informations détaillées concernant l'impact de leurs dépenses fiscales sur leurs recettes.</w:t>
      </w:r>
    </w:p>
    <w:p w:rsidR="00224125" w:rsidRPr="00224125" w:rsidRDefault="00224125" w:rsidP="00224125">
      <w:pPr>
        <w:widowControl/>
        <w:spacing w:before="120" w:after="120" w:line="360" w:lineRule="auto"/>
        <w:rPr>
          <w:rFonts w:eastAsia="Calibri"/>
          <w:szCs w:val="22"/>
          <w:lang w:eastAsia="en-US"/>
        </w:rPr>
      </w:pPr>
      <w:r w:rsidRPr="00224125">
        <w:rPr>
          <w:rFonts w:eastAsia="Calibri"/>
          <w:szCs w:val="22"/>
          <w:lang w:eastAsia="en-US"/>
        </w:rPr>
        <w:t>3.</w:t>
      </w:r>
      <w:r w:rsidRPr="00224125">
        <w:rPr>
          <w:rFonts w:eastAsia="Calibri"/>
          <w:szCs w:val="22"/>
          <w:lang w:eastAsia="en-US"/>
        </w:rPr>
        <w:tab/>
        <w:t>Pour tous les sous-secteurs de leurs administrations publiques, les États membres publient des informations pertinentes sur les engagements conditionnels susceptibles d'avoir un impact élevé sur les budgets publics, y compris les garanties publiques, les prêts improductifs et les passifs découlant de l'activité d'entreprises publiques, y compris leur étendue. Les États membres publient aussi, dans la mesure du possible, des informations sur les engagements conditionnels liés aux catastrophes et au climat. Les informations publiées tiennent compte, dans la mesure du possible, des informations sur les coûts budgétaires engendrés par des catastrophes et des chocs liés au climat. Les États membres publient des informations sur les participations des administrations publiques au capital de sociétés privées et publiques pour des montants économiquement significatifs.".</w:t>
      </w:r>
    </w:p>
    <w:p w:rsidR="00224125" w:rsidRPr="00224125" w:rsidRDefault="00224125" w:rsidP="00224125">
      <w:pPr>
        <w:widowControl/>
        <w:shd w:val="clear" w:color="auto" w:fill="FFFFFF"/>
        <w:spacing w:before="120" w:line="360" w:lineRule="auto"/>
        <w:jc w:val="both"/>
        <w:rPr>
          <w:color w:val="000000"/>
          <w:szCs w:val="24"/>
          <w:lang w:eastAsia="pt-PT"/>
        </w:rPr>
      </w:pPr>
    </w:p>
    <w:p w:rsidR="00224125" w:rsidRPr="00224125" w:rsidRDefault="00224125" w:rsidP="00224125">
      <w:pPr>
        <w:widowControl/>
        <w:shd w:val="clear" w:color="auto" w:fill="FFFFFF"/>
        <w:spacing w:before="120" w:line="360" w:lineRule="auto"/>
        <w:ind w:left="851" w:hanging="851"/>
        <w:jc w:val="both"/>
        <w:rPr>
          <w:rFonts w:eastAsia="Calibri"/>
          <w:color w:val="000000"/>
          <w:szCs w:val="22"/>
          <w:lang w:eastAsia="en-US"/>
        </w:rPr>
      </w:pPr>
      <w:r w:rsidRPr="00224125">
        <w:rPr>
          <w:rFonts w:eastAsia="Calibri"/>
          <w:color w:val="000000"/>
          <w:szCs w:val="22"/>
          <w:lang w:eastAsia="en-US"/>
        </w:rPr>
        <w:lastRenderedPageBreak/>
        <w:t xml:space="preserve">14) </w:t>
      </w:r>
      <w:r w:rsidRPr="00224125">
        <w:rPr>
          <w:rFonts w:eastAsia="Calibri"/>
          <w:color w:val="000000"/>
          <w:szCs w:val="22"/>
          <w:lang w:eastAsia="en-US"/>
        </w:rPr>
        <w:tab/>
        <w:t>L'article 15 est remplacé par le texte suivant:</w:t>
      </w:r>
    </w:p>
    <w:p w:rsidR="00224125" w:rsidRPr="00224125" w:rsidRDefault="00224125" w:rsidP="00224125">
      <w:pPr>
        <w:widowControl/>
        <w:shd w:val="clear" w:color="auto" w:fill="FFFFFF"/>
        <w:spacing w:before="120" w:line="360" w:lineRule="auto"/>
        <w:ind w:left="2880" w:firstLine="720"/>
        <w:jc w:val="both"/>
        <w:rPr>
          <w:rFonts w:eastAsia="Calibri"/>
          <w:szCs w:val="22"/>
          <w:lang w:eastAsia="en-US"/>
        </w:rPr>
      </w:pPr>
      <w:r w:rsidRPr="00224125">
        <w:rPr>
          <w:rFonts w:eastAsia="Calibri"/>
          <w:szCs w:val="22"/>
          <w:lang w:eastAsia="en-US"/>
        </w:rPr>
        <w:t>"Article 15</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1.</w:t>
      </w:r>
      <w:r w:rsidRPr="00224125">
        <w:rPr>
          <w:rFonts w:eastAsia="Calibri"/>
          <w:color w:val="000000"/>
          <w:szCs w:val="22"/>
          <w:lang w:eastAsia="en-US"/>
        </w:rPr>
        <w:tab/>
        <w:t>Les États membres mettent en vigueur les dispositions nécessaires pour se conformer à la présente directive au plus tard le 31 décembre 2025. Ils communiquent immédiatement à la Commission le texte de ces dispositions. Le Conseil encourage les États membres à établir, pour eux-mêmes et dans l'intérêt de l'Union, leurs propres tableaux de correspondance, qui illustreront, dans la mesure du possible, la concordance entre la présente directive et les mesures de transposition, ainsi qu'à les rendre publics.</w:t>
      </w:r>
    </w:p>
    <w:p w:rsidR="00224125" w:rsidRPr="00224125" w:rsidRDefault="00224125" w:rsidP="00224125">
      <w:pPr>
        <w:widowControl/>
        <w:shd w:val="clear" w:color="auto" w:fill="FFFFFF"/>
        <w:spacing w:before="120" w:line="360" w:lineRule="auto"/>
        <w:jc w:val="both"/>
        <w:rPr>
          <w:color w:val="000000"/>
          <w:szCs w:val="24"/>
          <w:lang w:eastAsia="en-US"/>
        </w:rPr>
      </w:pPr>
      <w:r w:rsidRPr="00224125">
        <w:rPr>
          <w:rFonts w:eastAsia="Calibri"/>
          <w:color w:val="000000"/>
          <w:szCs w:val="22"/>
          <w:lang w:eastAsia="en-US"/>
        </w:rPr>
        <w:t>2.</w:t>
      </w:r>
      <w:r w:rsidRPr="00224125">
        <w:rPr>
          <w:rFonts w:eastAsia="Calibri"/>
          <w:color w:val="000000"/>
          <w:szCs w:val="22"/>
          <w:lang w:eastAsia="en-US"/>
        </w:rPr>
        <w:tab/>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3.</w:t>
      </w:r>
      <w:r w:rsidRPr="00224125">
        <w:rPr>
          <w:rFonts w:eastAsia="Calibri"/>
          <w:color w:val="000000"/>
          <w:szCs w:val="22"/>
          <w:lang w:eastAsia="en-US"/>
        </w:rPr>
        <w:tab/>
      </w:r>
      <w:r w:rsidRPr="00224125">
        <w:rPr>
          <w:rFonts w:eastAsia="Calibri"/>
          <w:szCs w:val="22"/>
          <w:lang w:eastAsia="en-US"/>
        </w:rPr>
        <w:t>La Commission prépare un rapport d'avancement intermédiaire sur la mise en œuvre des principales dispositions de la présente directive sur la base des informations pertinentes des États membres, lesquelles sont présentées au Parlement européen et au Conseil, au plus tard le 30 juin </w:t>
      </w:r>
      <w:r w:rsidRPr="00224125">
        <w:rPr>
          <w:rFonts w:eastAsia="Calibri"/>
          <w:color w:val="000000"/>
          <w:szCs w:val="22"/>
          <w:lang w:eastAsia="en-US"/>
        </w:rPr>
        <w:t>2025</w:t>
      </w:r>
      <w:r w:rsidRPr="00224125">
        <w:rPr>
          <w:rFonts w:eastAsia="Calibri"/>
          <w:szCs w:val="22"/>
          <w:lang w:eastAsia="en-US"/>
        </w:rPr>
        <w:t>.</w:t>
      </w:r>
    </w:p>
    <w:p w:rsidR="00224125" w:rsidRPr="00224125" w:rsidRDefault="00224125" w:rsidP="00224125">
      <w:pPr>
        <w:widowControl/>
        <w:spacing w:before="120" w:after="120" w:line="360" w:lineRule="auto"/>
        <w:jc w:val="both"/>
        <w:rPr>
          <w:rFonts w:eastAsia="Calibri"/>
          <w:color w:val="000000"/>
          <w:szCs w:val="22"/>
          <w:lang w:eastAsia="en-US"/>
        </w:rPr>
      </w:pPr>
      <w:r w:rsidRPr="00224125">
        <w:rPr>
          <w:rFonts w:eastAsia="Calibri"/>
          <w:color w:val="000000"/>
          <w:szCs w:val="22"/>
          <w:lang w:eastAsia="en-US"/>
        </w:rPr>
        <w:t>4.</w:t>
      </w:r>
      <w:r w:rsidRPr="00224125">
        <w:rPr>
          <w:rFonts w:eastAsia="Calibri"/>
          <w:color w:val="000000"/>
          <w:szCs w:val="22"/>
          <w:lang w:eastAsia="en-US"/>
        </w:rPr>
        <w:tab/>
        <w:t>Les États membres communiquent à la Commission le texte des dispositions essentielles qu'ils adoptent dans le domaine régi par la présente directive.".</w:t>
      </w:r>
    </w:p>
    <w:p w:rsidR="00224125" w:rsidRPr="00224125" w:rsidRDefault="00224125" w:rsidP="00224125">
      <w:pPr>
        <w:widowControl/>
        <w:spacing w:after="200" w:line="276" w:lineRule="auto"/>
        <w:rPr>
          <w:rFonts w:eastAsia="Calibri"/>
          <w:szCs w:val="22"/>
          <w:lang w:eastAsia="en-US"/>
        </w:rPr>
      </w:pPr>
      <w:r w:rsidRPr="00224125">
        <w:rPr>
          <w:rFonts w:eastAsia="Calibri"/>
          <w:szCs w:val="22"/>
          <w:lang w:eastAsia="en-US"/>
        </w:rPr>
        <w:br w:type="page"/>
      </w:r>
    </w:p>
    <w:p w:rsidR="00224125" w:rsidRPr="00224125" w:rsidRDefault="00224125" w:rsidP="00224125">
      <w:pPr>
        <w:widowControl/>
        <w:spacing w:before="120" w:after="120" w:line="360" w:lineRule="auto"/>
        <w:ind w:left="850"/>
        <w:jc w:val="both"/>
        <w:rPr>
          <w:rFonts w:eastAsia="Calibri"/>
          <w:szCs w:val="22"/>
          <w:lang w:eastAsia="en-US"/>
        </w:rPr>
      </w:pPr>
    </w:p>
    <w:p w:rsidR="00224125" w:rsidRPr="00224125" w:rsidRDefault="00224125" w:rsidP="00224125">
      <w:pPr>
        <w:widowControl/>
        <w:shd w:val="clear" w:color="auto" w:fill="FFFFFF"/>
        <w:spacing w:before="120" w:line="360" w:lineRule="auto"/>
        <w:ind w:left="851" w:hanging="851"/>
        <w:jc w:val="both"/>
        <w:rPr>
          <w:rFonts w:eastAsia="Calibri"/>
          <w:color w:val="000000"/>
          <w:szCs w:val="22"/>
          <w:lang w:eastAsia="en-US"/>
        </w:rPr>
      </w:pPr>
      <w:r w:rsidRPr="00224125">
        <w:rPr>
          <w:rFonts w:eastAsia="Calibri"/>
          <w:color w:val="000000"/>
          <w:szCs w:val="22"/>
          <w:lang w:eastAsia="en-US"/>
        </w:rPr>
        <w:t>15)</w:t>
      </w:r>
      <w:r w:rsidRPr="00224125">
        <w:rPr>
          <w:rFonts w:eastAsia="Calibri"/>
          <w:color w:val="000000"/>
          <w:szCs w:val="22"/>
          <w:lang w:eastAsia="en-US"/>
        </w:rPr>
        <w:tab/>
        <w:t>L'article 16 est supprimé.</w:t>
      </w:r>
    </w:p>
    <w:p w:rsidR="00224125" w:rsidRPr="00224125" w:rsidRDefault="00224125" w:rsidP="00224125">
      <w:pPr>
        <w:widowControl/>
        <w:shd w:val="clear" w:color="auto" w:fill="FFFFFF"/>
        <w:spacing w:before="120" w:line="360" w:lineRule="auto"/>
        <w:ind w:left="851" w:hanging="851"/>
        <w:jc w:val="both"/>
        <w:rPr>
          <w:rFonts w:eastAsia="Calibri"/>
          <w:color w:val="000000"/>
          <w:szCs w:val="22"/>
          <w:lang w:eastAsia="en-US"/>
        </w:rPr>
      </w:pPr>
      <w:r w:rsidRPr="00224125">
        <w:rPr>
          <w:rFonts w:eastAsia="Calibri"/>
          <w:color w:val="000000"/>
          <w:szCs w:val="22"/>
          <w:lang w:eastAsia="en-US"/>
        </w:rPr>
        <w:t>16)</w:t>
      </w:r>
      <w:r w:rsidRPr="00224125">
        <w:rPr>
          <w:rFonts w:eastAsia="Calibri"/>
          <w:color w:val="000000"/>
          <w:szCs w:val="22"/>
          <w:lang w:eastAsia="en-US"/>
        </w:rPr>
        <w:tab/>
        <w:t>L'article 16 </w:t>
      </w:r>
      <w:r w:rsidRPr="00224125">
        <w:rPr>
          <w:rFonts w:eastAsia="Calibri"/>
          <w:i/>
          <w:color w:val="000000"/>
          <w:szCs w:val="22"/>
          <w:lang w:eastAsia="en-US"/>
        </w:rPr>
        <w:t>bis</w:t>
      </w:r>
      <w:r w:rsidRPr="00224125">
        <w:rPr>
          <w:rFonts w:eastAsia="Calibri"/>
          <w:color w:val="000000"/>
          <w:szCs w:val="22"/>
          <w:lang w:eastAsia="en-US"/>
        </w:rPr>
        <w:t xml:space="preserve"> suivant est ajouté:</w:t>
      </w:r>
    </w:p>
    <w:p w:rsidR="00224125" w:rsidRPr="00224125" w:rsidRDefault="00224125" w:rsidP="00224125">
      <w:pPr>
        <w:widowControl/>
        <w:shd w:val="clear" w:color="auto" w:fill="FFFFFF"/>
        <w:spacing w:before="120" w:line="360" w:lineRule="auto"/>
        <w:ind w:left="2880" w:firstLine="720"/>
        <w:jc w:val="both"/>
        <w:rPr>
          <w:rFonts w:eastAsia="Calibri"/>
          <w:szCs w:val="22"/>
          <w:lang w:eastAsia="en-US"/>
        </w:rPr>
      </w:pPr>
      <w:r w:rsidRPr="00224125">
        <w:rPr>
          <w:rFonts w:eastAsia="Calibri"/>
          <w:szCs w:val="22"/>
          <w:lang w:eastAsia="en-US"/>
        </w:rPr>
        <w:t>"Article 16 </w:t>
      </w:r>
      <w:r w:rsidRPr="00224125">
        <w:rPr>
          <w:rFonts w:eastAsia="Calibri"/>
          <w:i/>
          <w:szCs w:val="22"/>
          <w:lang w:eastAsia="en-US"/>
        </w:rPr>
        <w:t>bis</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1. Le 31 décembre 2025 au plus tard, et par la suite tous les cinq ans, la Commission rend compte de l'état d'avancement:</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a)</w:t>
      </w:r>
      <w:r w:rsidRPr="00224125">
        <w:rPr>
          <w:rFonts w:eastAsia="Calibri"/>
          <w:color w:val="000000"/>
          <w:szCs w:val="22"/>
          <w:lang w:eastAsia="en-US"/>
        </w:rPr>
        <w:tab/>
        <w:t>de la comptabilité publique des administrations publiques dans l'Union, en tenant compte des progrès accomplis depuis son évaluation, réalisée en 2013, de l'adéquation, pour les États membres, des normes comptables internationales pour le secteur public;</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b)</w:t>
      </w:r>
      <w:r w:rsidRPr="00224125">
        <w:rPr>
          <w:rFonts w:eastAsia="Calibri"/>
          <w:color w:val="000000"/>
          <w:szCs w:val="22"/>
          <w:lang w:eastAsia="en-US"/>
        </w:rPr>
        <w:tab/>
        <w:t>de la capacité et des tâches des institutions budgétaires indépendantes de l'UE, en tenant compte des progrès accomplis depuis l'entrée en vigueur de la présente directive, en s'appuyant sur les conclusions de la base de données de la Commission sur la gouvernance budgétaire ainsi que sur les consultations avec les parties prenantes concernées, en vue d'étudier des normes minimales.</w:t>
      </w:r>
    </w:p>
    <w:p w:rsidR="00224125" w:rsidRPr="00224125" w:rsidRDefault="00224125" w:rsidP="00224125">
      <w:pPr>
        <w:widowControl/>
        <w:shd w:val="clear" w:color="auto" w:fill="FFFFFF"/>
        <w:spacing w:before="120" w:line="360" w:lineRule="auto"/>
        <w:rPr>
          <w:rFonts w:eastAsia="Calibri"/>
          <w:color w:val="000000"/>
          <w:szCs w:val="22"/>
          <w:lang w:eastAsia="en-US"/>
        </w:rPr>
      </w:pPr>
      <w:r w:rsidRPr="00224125">
        <w:rPr>
          <w:rFonts w:eastAsia="Calibri"/>
          <w:color w:val="000000"/>
          <w:szCs w:val="22"/>
          <w:lang w:eastAsia="en-US"/>
        </w:rPr>
        <w:t>2. Le 31 décembre 2030 au plus tard, et par la suite tous les cinq ans, la Commission publie une évaluation de l'efficacité de la présente directive." </w:t>
      </w:r>
    </w:p>
    <w:p w:rsidR="00224125" w:rsidRPr="00224125" w:rsidRDefault="00224125" w:rsidP="00224125">
      <w:pPr>
        <w:widowControl/>
        <w:spacing w:before="120" w:after="120"/>
        <w:jc w:val="both"/>
        <w:rPr>
          <w:rFonts w:eastAsia="Calibri"/>
          <w:szCs w:val="22"/>
          <w:lang w:eastAsia="en-US"/>
        </w:rPr>
      </w:pPr>
    </w:p>
    <w:p w:rsidR="00224125" w:rsidRPr="00224125" w:rsidRDefault="00224125" w:rsidP="00224125">
      <w:pPr>
        <w:keepNext/>
        <w:widowControl/>
        <w:spacing w:before="120"/>
        <w:jc w:val="both"/>
        <w:rPr>
          <w:rFonts w:eastAsia="Calibri"/>
          <w:szCs w:val="22"/>
          <w:lang w:eastAsia="en-US"/>
        </w:rPr>
      </w:pPr>
      <w:r w:rsidRPr="00224125">
        <w:rPr>
          <w:rFonts w:eastAsia="Calibri"/>
          <w:szCs w:val="22"/>
          <w:lang w:eastAsia="en-US"/>
        </w:rPr>
        <w:t>Fait à Bruxelles, le</w:t>
      </w:r>
    </w:p>
    <w:p w:rsidR="00224125" w:rsidRPr="00224125" w:rsidRDefault="00224125" w:rsidP="00224125">
      <w:pPr>
        <w:keepNext/>
        <w:widowControl/>
        <w:tabs>
          <w:tab w:val="left" w:pos="4252"/>
        </w:tabs>
        <w:spacing w:before="720"/>
        <w:jc w:val="both"/>
        <w:rPr>
          <w:rFonts w:eastAsia="Calibri"/>
          <w:i/>
          <w:szCs w:val="22"/>
          <w:lang w:eastAsia="en-US"/>
        </w:rPr>
      </w:pPr>
      <w:r w:rsidRPr="00224125">
        <w:rPr>
          <w:rFonts w:eastAsia="Calibri"/>
          <w:i/>
          <w:szCs w:val="22"/>
          <w:lang w:eastAsia="en-US"/>
        </w:rPr>
        <w:tab/>
        <w:t>Par le Conseil</w:t>
      </w:r>
    </w:p>
    <w:p w:rsidR="00224125" w:rsidRPr="00224125" w:rsidRDefault="00224125" w:rsidP="00224125">
      <w:pPr>
        <w:widowControl/>
        <w:tabs>
          <w:tab w:val="left" w:pos="4252"/>
        </w:tabs>
        <w:rPr>
          <w:rFonts w:eastAsia="Calibri"/>
          <w:i/>
          <w:szCs w:val="22"/>
          <w:lang w:eastAsia="en-US"/>
        </w:rPr>
      </w:pPr>
      <w:r w:rsidRPr="00224125">
        <w:rPr>
          <w:rFonts w:eastAsia="Calibri"/>
          <w:i/>
          <w:szCs w:val="22"/>
          <w:lang w:eastAsia="en-US"/>
        </w:rPr>
        <w:tab/>
        <w:t>Le président/La présidente</w:t>
      </w:r>
    </w:p>
    <w:p w:rsidR="00224125" w:rsidRPr="00541995" w:rsidRDefault="00224125" w:rsidP="007D2975">
      <w:pPr>
        <w:pStyle w:val="AmNumberTabs"/>
        <w:keepNext/>
      </w:pPr>
    </w:p>
    <w:sectPr w:rsidR="00224125" w:rsidRPr="00541995" w:rsidSect="00FA12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AA8" w:rsidRPr="00FA1241" w:rsidRDefault="00C76AA8">
      <w:r w:rsidRPr="00FA1241">
        <w:separator/>
      </w:r>
    </w:p>
  </w:endnote>
  <w:endnote w:type="continuationSeparator" w:id="0">
    <w:p w:rsidR="00C76AA8" w:rsidRPr="00FA1241" w:rsidRDefault="00C76AA8">
      <w:r w:rsidRPr="00FA12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AA8" w:rsidRPr="00FA1241" w:rsidRDefault="00C76AA8">
      <w:r w:rsidRPr="00FA1241">
        <w:separator/>
      </w:r>
    </w:p>
  </w:footnote>
  <w:footnote w:type="continuationSeparator" w:id="0">
    <w:p w:rsidR="00C76AA8" w:rsidRPr="00FA1241" w:rsidRDefault="00C76AA8">
      <w:r w:rsidRPr="00FA1241">
        <w:continuationSeparator/>
      </w:r>
    </w:p>
  </w:footnote>
  <w:footnote w:id="1">
    <w:p w:rsidR="00224125" w:rsidRPr="00A4408A" w:rsidRDefault="00224125" w:rsidP="00224125">
      <w:pPr>
        <w:pStyle w:val="FootnoteText"/>
        <w:ind w:left="567" w:hanging="567"/>
        <w:rPr>
          <w:sz w:val="24"/>
          <w:szCs w:val="24"/>
        </w:rPr>
      </w:pPr>
      <w:r w:rsidRPr="00A4408A">
        <w:rPr>
          <w:rStyle w:val="FootnoteReference"/>
          <w:sz w:val="24"/>
          <w:szCs w:val="24"/>
        </w:rPr>
        <w:t>*</w:t>
      </w:r>
      <w:r w:rsidRPr="00A4408A">
        <w:rPr>
          <w:sz w:val="24"/>
          <w:szCs w:val="24"/>
        </w:rPr>
        <w:t xml:space="preserve"> </w:t>
      </w:r>
      <w:r w:rsidRPr="00A4408A">
        <w:rPr>
          <w:sz w:val="24"/>
          <w:szCs w:val="24"/>
        </w:rPr>
        <w:tab/>
        <w:t>Amendements: le texte nouveau ou modifié est signalé par des italiques gras; les suppressions sont signalées par le symbole ▌.</w:t>
      </w:r>
    </w:p>
  </w:footnote>
  <w:footnote w:id="2">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JO C 290 du 18.8.2023, p. 17.</w:t>
      </w:r>
    </w:p>
  </w:footnote>
  <w:footnote w:id="3">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Directive 2011/85/UE du Conseil du 8 novembre 2011 sur les exigences applicables aux cadres budgétaires des États membres (JO L 306 du 23.11.2011, p. 41).</w:t>
      </w:r>
    </w:p>
  </w:footnote>
  <w:footnote w:id="4">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Rapport spécial de la Cour des comptes européenne de 2019 intitulé "Les exigences de l'UE applicables aux cadres budgétaires nationaux doivent encore être renforcées et leur application doit être mieux contrôlée".</w:t>
      </w:r>
    </w:p>
  </w:footnote>
  <w:footnote w:id="5">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2020)</w:t>
      </w:r>
      <w:r w:rsidR="0046633B">
        <w:rPr>
          <w:sz w:val="24"/>
          <w:szCs w:val="24"/>
        </w:rPr>
        <w:t>00</w:t>
      </w:r>
      <w:r w:rsidRPr="00A4408A">
        <w:rPr>
          <w:sz w:val="24"/>
          <w:szCs w:val="24"/>
        </w:rPr>
        <w:t xml:space="preserve">55 de la Commission du 5 février 2020 intitulée "Réexamen de la gouvernance économique – Rapport sur l'application des règlements (UE) nº 1173/2011, nº 1174/2011, nº 1175/2011, nº 1176/2011, nº 1177/2011, nº 472/2013 et </w:t>
      </w:r>
      <w:r w:rsidR="0046633B">
        <w:rPr>
          <w:sz w:val="24"/>
          <w:szCs w:val="24"/>
        </w:rPr>
        <w:t xml:space="preserve">(UE) </w:t>
      </w:r>
      <w:bookmarkStart w:id="7" w:name="_GoBack"/>
      <w:bookmarkEnd w:id="7"/>
      <w:r w:rsidRPr="00A4408A">
        <w:rPr>
          <w:sz w:val="24"/>
          <w:szCs w:val="24"/>
        </w:rPr>
        <w:t>nº 473/2013 et sur l'adéquation de la directive 2011/85/UE du Conseil".</w:t>
      </w:r>
    </w:p>
  </w:footnote>
  <w:footnote w:id="6">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2019)</w:t>
      </w:r>
      <w:r w:rsidR="0046633B">
        <w:rPr>
          <w:sz w:val="24"/>
          <w:szCs w:val="24"/>
        </w:rPr>
        <w:t>0</w:t>
      </w:r>
      <w:r w:rsidRPr="00A4408A">
        <w:rPr>
          <w:sz w:val="24"/>
          <w:szCs w:val="24"/>
        </w:rPr>
        <w:t>640 de la Commission intitulée "Le pacte vert pour l'Europe".</w:t>
      </w:r>
    </w:p>
  </w:footnote>
  <w:footnote w:id="7">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2021)</w:t>
      </w:r>
      <w:r w:rsidR="0046633B">
        <w:rPr>
          <w:sz w:val="24"/>
          <w:szCs w:val="24"/>
        </w:rPr>
        <w:t>00</w:t>
      </w:r>
      <w:r w:rsidRPr="00A4408A">
        <w:rPr>
          <w:sz w:val="24"/>
          <w:szCs w:val="24"/>
        </w:rPr>
        <w:t>82 de la Commission intitulée "Bâtir une Europe résiliente – la nouvelle stratégie de l'Union européenne pour l'adaptation au changement climatique".</w:t>
      </w:r>
    </w:p>
  </w:footnote>
  <w:footnote w:id="8">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2022)</w:t>
      </w:r>
      <w:r w:rsidR="0046633B">
        <w:rPr>
          <w:sz w:val="24"/>
          <w:szCs w:val="24"/>
        </w:rPr>
        <w:t>0</w:t>
      </w:r>
      <w:r w:rsidRPr="00A4408A">
        <w:rPr>
          <w:sz w:val="24"/>
          <w:szCs w:val="24"/>
        </w:rPr>
        <w:t>583 de la Commission sur les orientations pour une réforme du cadre de gouvernance économique de l'UE.</w:t>
      </w:r>
    </w:p>
  </w:footnote>
  <w:footnote w:id="9">
    <w:p w:rsidR="00224125" w:rsidRPr="00A4408A" w:rsidRDefault="00224125" w:rsidP="00224125">
      <w:pPr>
        <w:pStyle w:val="FootnoteText"/>
        <w:ind w:left="567" w:hanging="567"/>
        <w:rPr>
          <w:i/>
          <w:sz w:val="24"/>
          <w:szCs w:val="24"/>
        </w:rPr>
      </w:pPr>
      <w:r w:rsidRPr="00A4408A">
        <w:rPr>
          <w:rStyle w:val="FootnoteReference"/>
          <w:sz w:val="24"/>
          <w:szCs w:val="24"/>
        </w:rPr>
        <w:footnoteRef/>
      </w:r>
      <w:r w:rsidRPr="00A4408A">
        <w:rPr>
          <w:sz w:val="24"/>
          <w:szCs w:val="24"/>
        </w:rPr>
        <w:tab/>
      </w:r>
      <w:r w:rsidRPr="00565CD5">
        <w:rPr>
          <w:sz w:val="24"/>
          <w:szCs w:val="24"/>
        </w:rPr>
        <w:t>Règlement (UE) du Parlement européen et du Conseil du [insérer la date] [insérer le titre complet] (JO L …).</w:t>
      </w:r>
    </w:p>
  </w:footnote>
  <w:footnote w:id="10">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Règlement (CE) nº 1466/97 du Conseil du 7 juillet 1997 relatif au renforcement de la surveillance des positions budgétaires ainsi que de la surveillance et de la coordination des politiques économiques (JO L 209 du 2.8.1997, p. 1).</w:t>
      </w:r>
    </w:p>
  </w:footnote>
  <w:footnote w:id="11">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Règlement (UE) du Conseil du [</w:t>
      </w:r>
      <w:r w:rsidRPr="00A4408A">
        <w:rPr>
          <w:i/>
          <w:iCs/>
          <w:sz w:val="24"/>
          <w:szCs w:val="24"/>
        </w:rPr>
        <w:t>insérer la date</w:t>
      </w:r>
      <w:r w:rsidRPr="00A4408A">
        <w:rPr>
          <w:sz w:val="24"/>
          <w:szCs w:val="24"/>
        </w:rPr>
        <w:t>] [</w:t>
      </w:r>
      <w:r w:rsidRPr="00A4408A">
        <w:rPr>
          <w:i/>
          <w:iCs/>
          <w:sz w:val="24"/>
          <w:szCs w:val="24"/>
        </w:rPr>
        <w:t>insérer le titre complet</w:t>
      </w:r>
      <w:r w:rsidRPr="00A4408A">
        <w:rPr>
          <w:sz w:val="24"/>
          <w:szCs w:val="24"/>
        </w:rPr>
        <w:t>] (JO L …).</w:t>
      </w:r>
    </w:p>
  </w:footnote>
  <w:footnote w:id="12">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Règlement (CE) nº 1467/97 du Conseil du 7 juillet 1997 visant à accélérer et à clarifier la mise en œuvre de la procédure concernant les déficits excessifs (JO L 209 du 2.8.1997, p. 6).</w:t>
      </w:r>
    </w:p>
  </w:footnote>
  <w:footnote w:id="13">
    <w:p w:rsidR="00224125" w:rsidRPr="00A4408A" w:rsidRDefault="00224125" w:rsidP="00224125">
      <w:pPr>
        <w:pStyle w:val="FootnoteText"/>
        <w:ind w:left="567" w:hanging="567"/>
        <w:contextualSpacing/>
        <w:rPr>
          <w:sz w:val="24"/>
          <w:szCs w:val="24"/>
        </w:rPr>
      </w:pPr>
      <w:r w:rsidRPr="00A4408A">
        <w:rPr>
          <w:rStyle w:val="FootnoteReference"/>
          <w:sz w:val="24"/>
          <w:szCs w:val="24"/>
        </w:rPr>
        <w:footnoteRef/>
      </w:r>
      <w:r w:rsidRPr="00A4408A">
        <w:rPr>
          <w:sz w:val="24"/>
          <w:szCs w:val="24"/>
        </w:rPr>
        <w:tab/>
        <w:t>Traité sur la stabilité, la coordination et la gouvernance au sein de l'Union économique et monétaire du 2 mars 2012.</w:t>
      </w:r>
    </w:p>
  </w:footnote>
  <w:footnote w:id="14">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2012)</w:t>
      </w:r>
      <w:r w:rsidR="0046633B">
        <w:rPr>
          <w:sz w:val="24"/>
          <w:szCs w:val="24"/>
        </w:rPr>
        <w:t>0</w:t>
      </w:r>
      <w:r w:rsidRPr="00A4408A">
        <w:rPr>
          <w:sz w:val="24"/>
          <w:szCs w:val="24"/>
        </w:rPr>
        <w:t>342 de la Commission du 20 juin 2012 intitulée "Principes communs aux mécanismes nationaux de correction budgétaire".</w:t>
      </w:r>
    </w:p>
  </w:footnote>
  <w:footnote w:id="15">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Règlement (UE) nº 473/2013 du Parlement européen et du Conseil du 21 mai 2013 établissant des dispositions communes pour le suivi et l'évaluation des projets de plans budgétaires et pour la correction des déficits excessifs dans les États membres de la zone euro (JO L 140 du 27.5.2013, p. 11).</w:t>
      </w:r>
    </w:p>
    <w:p w:rsidR="00224125" w:rsidRPr="00A4408A" w:rsidRDefault="00224125" w:rsidP="00224125">
      <w:pPr>
        <w:pStyle w:val="FootnoteText"/>
        <w:ind w:left="567" w:hanging="567"/>
        <w:rPr>
          <w:sz w:val="24"/>
          <w:szCs w:val="24"/>
        </w:rPr>
      </w:pPr>
    </w:p>
  </w:footnote>
  <w:footnote w:id="16">
    <w:p w:rsidR="00224125" w:rsidRPr="00A4408A" w:rsidRDefault="00224125" w:rsidP="00224125">
      <w:pPr>
        <w:pStyle w:val="FootnoteText"/>
        <w:ind w:left="567" w:hanging="567"/>
        <w:rPr>
          <w:sz w:val="24"/>
          <w:szCs w:val="24"/>
        </w:rPr>
      </w:pPr>
      <w:r w:rsidRPr="00A4408A">
        <w:rPr>
          <w:rStyle w:val="FootnoteReference"/>
          <w:sz w:val="24"/>
          <w:szCs w:val="24"/>
        </w:rPr>
        <w:footnoteRef/>
      </w:r>
      <w:r w:rsidRPr="00A4408A">
        <w:rPr>
          <w:sz w:val="24"/>
          <w:szCs w:val="24"/>
        </w:rPr>
        <w:tab/>
        <w:t xml:space="preserve">Communication </w:t>
      </w:r>
      <w:proofErr w:type="gramStart"/>
      <w:r w:rsidRPr="00A4408A">
        <w:rPr>
          <w:sz w:val="24"/>
          <w:szCs w:val="24"/>
        </w:rPr>
        <w:t>COM(</w:t>
      </w:r>
      <w:proofErr w:type="gramEnd"/>
      <w:r w:rsidRPr="00A4408A">
        <w:rPr>
          <w:sz w:val="24"/>
          <w:szCs w:val="24"/>
        </w:rPr>
        <w:t>2022</w:t>
      </w:r>
      <w:r w:rsidR="0046633B">
        <w:rPr>
          <w:sz w:val="24"/>
          <w:szCs w:val="24"/>
        </w:rPr>
        <w:t>)0</w:t>
      </w:r>
      <w:r w:rsidRPr="00A4408A">
        <w:rPr>
          <w:sz w:val="24"/>
          <w:szCs w:val="24"/>
        </w:rPr>
        <w:t>494 de la Commission du 28 septembre 2022 intitulée "Mieux évaluer les effets distributifs des politiques des États membres" et article 6, paragraphe 3, point d), du règlement (UE) nº 473/2013 du Parlement européen et du Conseil du 21 mai 2013 établissant des dispositions communes pour le suivi et l'évaluation des projets de plans budgétaires et pour la correction des déficits excessifs dans les États membres de la zone euro (JO L 140 du 27.5.2013, p.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2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FR"/>
    <w:docVar w:name="dvnumam" w:val="0"/>
    <w:docVar w:name="dvpe" w:val="757.278"/>
    <w:docVar w:name="dvrapporteur" w:val="Rapporteures: "/>
    <w:docVar w:name="dvstar" w:val="*"/>
    <w:docVar w:name="dvtitre" w:val="Résolution législative du Parlement européen du ... 2024 sur la proposition de directive du Conseil modifiant la directive 2011/85/UE du Conseil sur les exigences applicables aux cadres budgétaires des États membres(COM(2023)0242 – C9-0171/2023 – 2023/0136(NLE))"/>
  </w:docVars>
  <w:rsids>
    <w:rsidRoot w:val="00C76AA8"/>
    <w:rsid w:val="00002272"/>
    <w:rsid w:val="00064002"/>
    <w:rsid w:val="000677B9"/>
    <w:rsid w:val="000831BA"/>
    <w:rsid w:val="000A42CC"/>
    <w:rsid w:val="000B0AD9"/>
    <w:rsid w:val="000E7DD9"/>
    <w:rsid w:val="0010095E"/>
    <w:rsid w:val="00125B37"/>
    <w:rsid w:val="00187494"/>
    <w:rsid w:val="001F32AE"/>
    <w:rsid w:val="001F3C27"/>
    <w:rsid w:val="00224125"/>
    <w:rsid w:val="00264C6F"/>
    <w:rsid w:val="002767FF"/>
    <w:rsid w:val="002B18FE"/>
    <w:rsid w:val="002B5493"/>
    <w:rsid w:val="002F6B8F"/>
    <w:rsid w:val="00343214"/>
    <w:rsid w:val="00361C00"/>
    <w:rsid w:val="0038791C"/>
    <w:rsid w:val="00395FA1"/>
    <w:rsid w:val="003E15D4"/>
    <w:rsid w:val="00411CCE"/>
    <w:rsid w:val="0041666E"/>
    <w:rsid w:val="00421060"/>
    <w:rsid w:val="0046633B"/>
    <w:rsid w:val="00471C19"/>
    <w:rsid w:val="004835E4"/>
    <w:rsid w:val="004867E3"/>
    <w:rsid w:val="00494A28"/>
    <w:rsid w:val="004A5612"/>
    <w:rsid w:val="004C0004"/>
    <w:rsid w:val="004C5D52"/>
    <w:rsid w:val="0050519A"/>
    <w:rsid w:val="005072A1"/>
    <w:rsid w:val="00514517"/>
    <w:rsid w:val="00541995"/>
    <w:rsid w:val="0054376A"/>
    <w:rsid w:val="00545827"/>
    <w:rsid w:val="00560270"/>
    <w:rsid w:val="005C2568"/>
    <w:rsid w:val="006037C0"/>
    <w:rsid w:val="006631B6"/>
    <w:rsid w:val="00667F36"/>
    <w:rsid w:val="00680577"/>
    <w:rsid w:val="006B0D54"/>
    <w:rsid w:val="006B43F4"/>
    <w:rsid w:val="006B6C4D"/>
    <w:rsid w:val="006F74FA"/>
    <w:rsid w:val="00731ADD"/>
    <w:rsid w:val="00734777"/>
    <w:rsid w:val="00747932"/>
    <w:rsid w:val="00751A4A"/>
    <w:rsid w:val="00756632"/>
    <w:rsid w:val="00762C74"/>
    <w:rsid w:val="00786EC0"/>
    <w:rsid w:val="007D1690"/>
    <w:rsid w:val="007D2975"/>
    <w:rsid w:val="007E22AD"/>
    <w:rsid w:val="00817416"/>
    <w:rsid w:val="00842779"/>
    <w:rsid w:val="00865F67"/>
    <w:rsid w:val="00881A7B"/>
    <w:rsid w:val="008840E5"/>
    <w:rsid w:val="00887B3E"/>
    <w:rsid w:val="008C2AC6"/>
    <w:rsid w:val="00930C23"/>
    <w:rsid w:val="0093193B"/>
    <w:rsid w:val="009509D8"/>
    <w:rsid w:val="00950B64"/>
    <w:rsid w:val="00981893"/>
    <w:rsid w:val="009A10AC"/>
    <w:rsid w:val="00A1687D"/>
    <w:rsid w:val="00A43E52"/>
    <w:rsid w:val="00A4678D"/>
    <w:rsid w:val="00A53A99"/>
    <w:rsid w:val="00A778C7"/>
    <w:rsid w:val="00AB441E"/>
    <w:rsid w:val="00AB6293"/>
    <w:rsid w:val="00AE0928"/>
    <w:rsid w:val="00AF3B82"/>
    <w:rsid w:val="00AF5906"/>
    <w:rsid w:val="00B12E95"/>
    <w:rsid w:val="00B22876"/>
    <w:rsid w:val="00B558F0"/>
    <w:rsid w:val="00BC6AE8"/>
    <w:rsid w:val="00BD48FE"/>
    <w:rsid w:val="00BD7BD8"/>
    <w:rsid w:val="00BE6ADC"/>
    <w:rsid w:val="00C05BFE"/>
    <w:rsid w:val="00C23CD4"/>
    <w:rsid w:val="00C61C0C"/>
    <w:rsid w:val="00C74430"/>
    <w:rsid w:val="00C76AA8"/>
    <w:rsid w:val="00C941CB"/>
    <w:rsid w:val="00CC2357"/>
    <w:rsid w:val="00CF071A"/>
    <w:rsid w:val="00D058B8"/>
    <w:rsid w:val="00D56C11"/>
    <w:rsid w:val="00D834A0"/>
    <w:rsid w:val="00D872DF"/>
    <w:rsid w:val="00D91E21"/>
    <w:rsid w:val="00DA7FCD"/>
    <w:rsid w:val="00E13E2E"/>
    <w:rsid w:val="00E365E1"/>
    <w:rsid w:val="00E820A4"/>
    <w:rsid w:val="00EB006A"/>
    <w:rsid w:val="00EB4772"/>
    <w:rsid w:val="00ED169E"/>
    <w:rsid w:val="00ED4235"/>
    <w:rsid w:val="00F04346"/>
    <w:rsid w:val="00F075DC"/>
    <w:rsid w:val="00F103C5"/>
    <w:rsid w:val="00F149E9"/>
    <w:rsid w:val="00F5134D"/>
    <w:rsid w:val="00F74202"/>
    <w:rsid w:val="00F87713"/>
    <w:rsid w:val="00FA1241"/>
    <w:rsid w:val="00FB4360"/>
    <w:rsid w:val="00FC26B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F9C50"/>
  <w15:chartTrackingRefBased/>
  <w15:docId w15:val="{052B4146-264A-4ECB-B239-66F896C43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D2975"/>
    <w:rPr>
      <w:b/>
    </w:rPr>
  </w:style>
  <w:style w:type="paragraph" w:customStyle="1" w:styleId="NormalHanging12a">
    <w:name w:val="NormalHanging12a"/>
    <w:basedOn w:val="Normal"/>
    <w:rsid w:val="007D2975"/>
    <w:pPr>
      <w:spacing w:after="240"/>
      <w:ind w:left="567" w:hanging="567"/>
    </w:pPr>
  </w:style>
  <w:style w:type="paragraph" w:customStyle="1" w:styleId="AmNumberTabs">
    <w:name w:val="AmNumberTabs"/>
    <w:basedOn w:val="Normal"/>
    <w:rsid w:val="007D29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D2975"/>
    <w:pPr>
      <w:spacing w:before="480" w:after="240"/>
    </w:pPr>
  </w:style>
  <w:style w:type="paragraph" w:customStyle="1" w:styleId="NormalCenter12a">
    <w:name w:val="NormalCenter12a"/>
    <w:basedOn w:val="Normal"/>
    <w:rsid w:val="007D2975"/>
    <w:pPr>
      <w:spacing w:after="240"/>
      <w:jc w:val="center"/>
    </w:pPr>
  </w:style>
  <w:style w:type="paragraph" w:customStyle="1" w:styleId="AmHeadingConsam">
    <w:name w:val="AmHeadingConsam"/>
    <w:basedOn w:val="Normal"/>
    <w:next w:val="NormalCenter12a"/>
    <w:rsid w:val="007D2975"/>
    <w:pPr>
      <w:spacing w:before="720" w:after="240"/>
      <w:jc w:val="center"/>
    </w:pPr>
  </w:style>
  <w:style w:type="paragraph" w:styleId="ListParagraph">
    <w:name w:val="List Paragraph"/>
    <w:basedOn w:val="Normal"/>
    <w:uiPriority w:val="34"/>
    <w:qFormat/>
    <w:rsid w:val="007D297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7D2975"/>
    <w:pPr>
      <w:widowControl/>
      <w:spacing w:before="120" w:after="120"/>
      <w:ind w:left="850"/>
      <w:jc w:val="both"/>
    </w:pPr>
    <w:rPr>
      <w:rFonts w:eastAsiaTheme="minorHAnsi"/>
      <w:szCs w:val="22"/>
      <w:lang w:eastAsia="en-US"/>
    </w:rPr>
  </w:style>
  <w:style w:type="paragraph" w:customStyle="1" w:styleId="Text2">
    <w:name w:val="Text 2"/>
    <w:basedOn w:val="Normal"/>
    <w:rsid w:val="007D2975"/>
    <w:pPr>
      <w:widowControl/>
      <w:spacing w:before="120" w:after="120"/>
      <w:ind w:left="1417"/>
      <w:jc w:val="both"/>
    </w:pPr>
    <w:rPr>
      <w:rFonts w:eastAsiaTheme="minorHAnsi"/>
      <w:szCs w:val="22"/>
      <w:lang w:eastAsia="en-US"/>
    </w:rPr>
  </w:style>
  <w:style w:type="paragraph" w:customStyle="1" w:styleId="Text3">
    <w:name w:val="Text 3"/>
    <w:basedOn w:val="Normal"/>
    <w:rsid w:val="007D2975"/>
    <w:pPr>
      <w:widowControl/>
      <w:spacing w:before="120" w:after="120"/>
      <w:ind w:left="1984"/>
      <w:jc w:val="both"/>
    </w:pPr>
    <w:rPr>
      <w:rFonts w:eastAsiaTheme="minorHAnsi"/>
      <w:szCs w:val="22"/>
      <w:lang w:eastAsia="en-US"/>
    </w:rPr>
  </w:style>
  <w:style w:type="paragraph" w:customStyle="1" w:styleId="Point3">
    <w:name w:val="Point 3"/>
    <w:basedOn w:val="Normal"/>
    <w:rsid w:val="007D297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7D297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7D297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7D297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7D297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7D297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7D297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7D297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7D297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7D297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7D297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7D297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D297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D297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D297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D297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D2975"/>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7D2975"/>
    <w:pPr>
      <w:widowControl/>
      <w:spacing w:before="360"/>
      <w:jc w:val="center"/>
    </w:pPr>
    <w:rPr>
      <w:rFonts w:eastAsiaTheme="minorHAnsi"/>
      <w:b/>
      <w:szCs w:val="22"/>
      <w:lang w:eastAsia="en-US"/>
    </w:rPr>
  </w:style>
  <w:style w:type="paragraph" w:customStyle="1" w:styleId="Titreobjet">
    <w:name w:val="Titre objet"/>
    <w:basedOn w:val="Normal"/>
    <w:next w:val="Normal"/>
    <w:rsid w:val="007D2975"/>
    <w:pPr>
      <w:widowControl/>
      <w:spacing w:before="360" w:after="360"/>
      <w:jc w:val="center"/>
    </w:pPr>
    <w:rPr>
      <w:rFonts w:eastAsiaTheme="minorHAnsi"/>
      <w:b/>
      <w:szCs w:val="22"/>
      <w:lang w:eastAsia="en-US"/>
    </w:rPr>
  </w:style>
  <w:style w:type="character" w:customStyle="1" w:styleId="Added">
    <w:name w:val="Added"/>
    <w:basedOn w:val="DefaultParagraphFont"/>
    <w:rsid w:val="007D2975"/>
    <w:rPr>
      <w:b/>
      <w:bCs w:val="0"/>
      <w:u w:val="single"/>
    </w:rPr>
  </w:style>
  <w:style w:type="paragraph" w:styleId="Revision">
    <w:name w:val="Revision"/>
    <w:hidden/>
    <w:uiPriority w:val="99"/>
    <w:semiHidden/>
    <w:rsid w:val="0038791C"/>
    <w:rPr>
      <w:sz w:val="24"/>
      <w:lang w:val="fr-FR"/>
    </w:rPr>
  </w:style>
  <w:style w:type="paragraph" w:styleId="BalloonText">
    <w:name w:val="Balloon Text"/>
    <w:basedOn w:val="Normal"/>
    <w:link w:val="BalloonTextChar"/>
    <w:rsid w:val="0038791C"/>
    <w:rPr>
      <w:rFonts w:ascii="Segoe UI" w:hAnsi="Segoe UI" w:cs="Segoe UI"/>
      <w:sz w:val="18"/>
      <w:szCs w:val="18"/>
    </w:rPr>
  </w:style>
  <w:style w:type="character" w:customStyle="1" w:styleId="BalloonTextChar">
    <w:name w:val="Balloon Text Char"/>
    <w:basedOn w:val="DefaultParagraphFont"/>
    <w:link w:val="BalloonText"/>
    <w:rsid w:val="0038791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DA825-05AB-41FD-86DD-DB186EE3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5418</Words>
  <Characters>31751</Characters>
  <Application>Microsoft Office Word</Application>
  <DocSecurity>0</DocSecurity>
  <Lines>264</Lines>
  <Paragraphs>74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Modification de la directive 2011/85/UE sur les exigences applicables aux cadres</vt:lpstr>
      <vt:lpstr>        Résolution législative du Parlement européen du XX avril 2024 sur la proposition</vt:lpstr>
    </vt:vector>
  </TitlesOfParts>
  <Company/>
  <LinksUpToDate>false</LinksUpToDate>
  <CharactersWithSpaces>37095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2024-09-09T14:28:00Z</dcterms:created>
  <dcterms:modified xsi:type="dcterms:W3CDTF">2024-09-09T14:28:00Z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P9_TA(2024)0313_</vt:lpwstr>
  </property>
  <property fmtid="{D5CDD505-2E9C-101B-9397-08002B2CF9AE}" pid="4" name="&lt;Type&gt;">
    <vt:lpwstr>RR</vt:lpwstr>
  </property>
</Properties>
</file>