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4349" w:rsidTr="0010095E">
        <w:trPr>
          <w:trHeight w:hRule="exact" w:val="1418"/>
        </w:trPr>
        <w:tc>
          <w:tcPr>
            <w:tcW w:w="6804" w:type="dxa"/>
            <w:shd w:val="clear" w:color="auto" w:fill="auto"/>
            <w:vAlign w:val="center"/>
          </w:tcPr>
          <w:p w:rsidR="00751A4A" w:rsidRPr="00854349" w:rsidRDefault="006B243D" w:rsidP="0010095E">
            <w:pPr>
              <w:pStyle w:val="EPName"/>
            </w:pPr>
            <w:r w:rsidRPr="00854349">
              <w:t>Evropski parlament</w:t>
            </w:r>
          </w:p>
          <w:p w:rsidR="00751A4A" w:rsidRPr="00854349" w:rsidRDefault="00817416" w:rsidP="00756632">
            <w:pPr>
              <w:pStyle w:val="EPTerm"/>
              <w:rPr>
                <w:rStyle w:val="HideTWBExt"/>
                <w:noProof w:val="0"/>
                <w:vanish w:val="0"/>
                <w:color w:val="auto"/>
              </w:rPr>
            </w:pPr>
            <w:r w:rsidRPr="00854349">
              <w:t>2019-2024</w:t>
            </w:r>
          </w:p>
        </w:tc>
        <w:tc>
          <w:tcPr>
            <w:tcW w:w="2268" w:type="dxa"/>
            <w:shd w:val="clear" w:color="auto" w:fill="auto"/>
          </w:tcPr>
          <w:p w:rsidR="00751A4A" w:rsidRPr="00854349" w:rsidRDefault="00187494" w:rsidP="0010095E">
            <w:pPr>
              <w:pStyle w:val="EPLogo"/>
            </w:pPr>
            <w:r w:rsidRPr="0085434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54349" w:rsidRDefault="00D058B8" w:rsidP="004C5D52">
      <w:pPr>
        <w:pStyle w:val="LineTop"/>
      </w:pPr>
    </w:p>
    <w:p w:rsidR="00680577" w:rsidRPr="00854349" w:rsidRDefault="006B243D" w:rsidP="00680577">
      <w:pPr>
        <w:pStyle w:val="EPBodyTA1"/>
      </w:pPr>
      <w:r w:rsidRPr="00854349">
        <w:t>SPREJETA BESEDILA</w:t>
      </w:r>
    </w:p>
    <w:p w:rsidR="00D058B8" w:rsidRPr="00854349" w:rsidRDefault="00D058B8" w:rsidP="00D058B8">
      <w:pPr>
        <w:pStyle w:val="LineBottom"/>
      </w:pPr>
    </w:p>
    <w:p w:rsidR="006B243D" w:rsidRPr="00854349" w:rsidRDefault="006B243D" w:rsidP="006B243D">
      <w:pPr>
        <w:pStyle w:val="ATHeading1"/>
      </w:pPr>
      <w:bookmarkStart w:id="0" w:name="TANumber"/>
      <w:r w:rsidRPr="00854349">
        <w:t>P9_TA(2024)</w:t>
      </w:r>
      <w:bookmarkEnd w:id="0"/>
      <w:r w:rsidR="00A76E95">
        <w:t>0313</w:t>
      </w:r>
    </w:p>
    <w:p w:rsidR="006B243D" w:rsidRPr="00854349" w:rsidRDefault="00C714FC" w:rsidP="006B243D">
      <w:pPr>
        <w:pStyle w:val="ATHeading2"/>
      </w:pPr>
      <w:bookmarkStart w:id="1" w:name="title"/>
      <w:r w:rsidRPr="00C714FC">
        <w:t>Zahteve v zvezi s proračunskimi okviri držav članic – sprememba direktive</w:t>
      </w:r>
      <w:bookmarkEnd w:id="1"/>
    </w:p>
    <w:p w:rsidR="006B243D" w:rsidRPr="00854349" w:rsidRDefault="006B243D" w:rsidP="006B243D">
      <w:pPr>
        <w:rPr>
          <w:i/>
          <w:vanish/>
        </w:rPr>
      </w:pPr>
      <w:r w:rsidRPr="00854349">
        <w:rPr>
          <w:i/>
        </w:rPr>
        <w:fldChar w:fldCharType="begin"/>
      </w:r>
      <w:r w:rsidRPr="00854349">
        <w:rPr>
          <w:i/>
        </w:rPr>
        <w:instrText xml:space="preserve"> TC"(</w:instrText>
      </w:r>
      <w:bookmarkStart w:id="2" w:name="DocNumber"/>
      <w:r w:rsidRPr="00854349">
        <w:rPr>
          <w:i/>
        </w:rPr>
        <w:instrText>A9-0440/2023</w:instrText>
      </w:r>
      <w:bookmarkEnd w:id="2"/>
      <w:r w:rsidRPr="00854349">
        <w:rPr>
          <w:i/>
        </w:rPr>
        <w:instrText xml:space="preserve"> - </w:instrText>
      </w:r>
      <w:r w:rsidR="00687F97">
        <w:rPr>
          <w:i/>
        </w:rPr>
        <w:instrText>Poročevalca</w:instrText>
      </w:r>
      <w:r w:rsidRPr="00687F97">
        <w:rPr>
          <w:i/>
        </w:rPr>
        <w:instrText xml:space="preserve">: </w:instrText>
      </w:r>
      <w:r w:rsidR="00854349" w:rsidRPr="00687F97">
        <w:rPr>
          <w:i/>
        </w:rPr>
        <w:instrText>Markus Ferber</w:instrText>
      </w:r>
      <w:r w:rsidRPr="00854349">
        <w:rPr>
          <w:i/>
        </w:rPr>
        <w:instrText xml:space="preserve">, Margarida Marques)"\l3 \n&gt; \* MERGEFORMAT </w:instrText>
      </w:r>
      <w:r w:rsidRPr="00854349">
        <w:rPr>
          <w:i/>
        </w:rPr>
        <w:fldChar w:fldCharType="end"/>
      </w:r>
    </w:p>
    <w:p w:rsidR="006B243D" w:rsidRPr="00854349" w:rsidRDefault="006B243D" w:rsidP="006B243D">
      <w:pPr>
        <w:rPr>
          <w:vanish/>
        </w:rPr>
      </w:pPr>
      <w:bookmarkStart w:id="3" w:name="Commission"/>
      <w:r w:rsidRPr="00854349">
        <w:rPr>
          <w:vanish/>
        </w:rPr>
        <w:t>Odbor za ekonomske in monetarne zadeve</w:t>
      </w:r>
      <w:bookmarkEnd w:id="3"/>
    </w:p>
    <w:p w:rsidR="006B243D" w:rsidRPr="00687F97" w:rsidRDefault="006B243D" w:rsidP="006B243D">
      <w:pPr>
        <w:rPr>
          <w:vanish/>
        </w:rPr>
      </w:pPr>
      <w:bookmarkStart w:id="4" w:name="PE"/>
      <w:r w:rsidRPr="00687F97">
        <w:rPr>
          <w:vanish/>
        </w:rPr>
        <w:t>PE757.278</w:t>
      </w:r>
      <w:bookmarkEnd w:id="4"/>
    </w:p>
    <w:p w:rsidR="006B243D" w:rsidRPr="00687F97" w:rsidRDefault="006B243D" w:rsidP="006B243D">
      <w:pPr>
        <w:pStyle w:val="ATHeading3"/>
      </w:pPr>
      <w:bookmarkStart w:id="5" w:name="Sujet"/>
      <w:r w:rsidRPr="00687F97">
        <w:t xml:space="preserve">Zakonodajna resolucija Evropskega parlamenta z dne </w:t>
      </w:r>
      <w:r w:rsidR="00C714FC">
        <w:t>23.</w:t>
      </w:r>
      <w:r w:rsidR="00C714FC" w:rsidRPr="00687F97">
        <w:t xml:space="preserve"> </w:t>
      </w:r>
      <w:r w:rsidR="00A03833" w:rsidRPr="00687F97">
        <w:t>aprila</w:t>
      </w:r>
      <w:r w:rsidRPr="00687F97">
        <w:t xml:space="preserve"> 2024 o predlogu direktive Sveta o spremembi Direktive 2011/85/EU o zahtevah v zvezi s proračunskimi okviri držav članic</w:t>
      </w:r>
      <w:bookmarkEnd w:id="5"/>
      <w:r w:rsidRPr="00687F97">
        <w:t xml:space="preserve"> </w:t>
      </w:r>
      <w:bookmarkStart w:id="6" w:name="References"/>
      <w:r w:rsidRPr="00687F97">
        <w:t>(</w:t>
      </w:r>
      <w:r w:rsidR="00854349" w:rsidRPr="00AC486D">
        <w:t>1</w:t>
      </w:r>
      <w:r w:rsidR="00854349" w:rsidRPr="00687F97">
        <w:t>5396/2023 – C9-0006/2024 – 2023/0136(NLE))</w:t>
      </w:r>
      <w:bookmarkEnd w:id="6"/>
    </w:p>
    <w:p w:rsidR="006B243D" w:rsidRPr="00687F97" w:rsidRDefault="006B243D" w:rsidP="006B243D"/>
    <w:p w:rsidR="00AC7CB3" w:rsidRPr="00687F97" w:rsidRDefault="00AC7CB3" w:rsidP="00AC7CB3">
      <w:pPr>
        <w:pStyle w:val="NormalBold"/>
      </w:pPr>
      <w:bookmarkStart w:id="7" w:name="TextBodyBegin"/>
      <w:bookmarkEnd w:id="7"/>
      <w:r w:rsidRPr="00687F97">
        <w:t>(Posvetovanje)</w:t>
      </w:r>
    </w:p>
    <w:p w:rsidR="00AC7CB3" w:rsidRPr="00687F97" w:rsidRDefault="00AC7CB3" w:rsidP="00AC7CB3">
      <w:pPr>
        <w:pStyle w:val="EPComma"/>
      </w:pPr>
      <w:r w:rsidRPr="00687F97">
        <w:rPr>
          <w:i/>
        </w:rPr>
        <w:t>Evropski parlament</w:t>
      </w:r>
      <w:r w:rsidRPr="00687F97">
        <w:t>,</w:t>
      </w:r>
    </w:p>
    <w:p w:rsidR="00AC7CB3" w:rsidRPr="00687F97" w:rsidRDefault="00AC7CB3" w:rsidP="00AC7CB3">
      <w:pPr>
        <w:pStyle w:val="NormalHanging12a"/>
      </w:pPr>
      <w:r w:rsidRPr="00687F97">
        <w:t>–</w:t>
      </w:r>
      <w:r w:rsidRPr="00687F97">
        <w:tab/>
        <w:t xml:space="preserve">ob upoštevanju </w:t>
      </w:r>
      <w:r w:rsidR="00854349" w:rsidRPr="00687F97">
        <w:t>osnutka Sveta</w:t>
      </w:r>
      <w:r w:rsidRPr="00687F97">
        <w:t xml:space="preserve"> </w:t>
      </w:r>
      <w:r w:rsidR="00854349" w:rsidRPr="00687F97">
        <w:t>(</w:t>
      </w:r>
      <w:r w:rsidR="00854349" w:rsidRPr="00AC486D">
        <w:t>1</w:t>
      </w:r>
      <w:r w:rsidR="00854349" w:rsidRPr="00687F97">
        <w:t>5396/2023</w:t>
      </w:r>
      <w:r w:rsidRPr="00687F97">
        <w:t>),</w:t>
      </w:r>
    </w:p>
    <w:p w:rsidR="00AC7CB3" w:rsidRPr="00854349" w:rsidRDefault="00AC7CB3" w:rsidP="00AC7CB3">
      <w:pPr>
        <w:pStyle w:val="NormalHanging12a"/>
      </w:pPr>
      <w:r w:rsidRPr="00687F97">
        <w:t>–</w:t>
      </w:r>
      <w:r w:rsidRPr="00687F97">
        <w:tab/>
        <w:t xml:space="preserve">ob upoštevanju </w:t>
      </w:r>
      <w:r w:rsidR="00C714FC">
        <w:t xml:space="preserve">tretjega pododstavka </w:t>
      </w:r>
      <w:r w:rsidRPr="00687F97">
        <w:t xml:space="preserve">člena 126(14) Pogodbe o </w:t>
      </w:r>
      <w:r w:rsidR="00F17293">
        <w:t>delovanju Evropske unije</w:t>
      </w:r>
      <w:r w:rsidRPr="00687F97">
        <w:t xml:space="preserve">, </w:t>
      </w:r>
      <w:r w:rsidR="005524AE">
        <w:t>na podlagi katerega</w:t>
      </w:r>
      <w:r w:rsidRPr="00687F97">
        <w:t xml:space="preserve"> se je Svet posvetoval s Parlamentom</w:t>
      </w:r>
      <w:r w:rsidR="00A03833" w:rsidRPr="00687F97">
        <w:t xml:space="preserve"> (</w:t>
      </w:r>
      <w:r w:rsidR="00854349" w:rsidRPr="00687F97">
        <w:t>C9</w:t>
      </w:r>
      <w:r w:rsidR="00854349" w:rsidRPr="00687F97">
        <w:noBreakHyphen/>
        <w:t>0006/2024</w:t>
      </w:r>
      <w:r w:rsidRPr="00687F97">
        <w:t>),</w:t>
      </w:r>
    </w:p>
    <w:p w:rsidR="00AC7CB3" w:rsidRPr="00854349" w:rsidRDefault="00AC7CB3" w:rsidP="00AC7CB3">
      <w:pPr>
        <w:pStyle w:val="NormalHanging12a"/>
      </w:pPr>
      <w:r w:rsidRPr="00854349">
        <w:t>–</w:t>
      </w:r>
      <w:r w:rsidRPr="00854349">
        <w:tab/>
        <w:t>ob upoštevanju člena 82 Poslovnika,</w:t>
      </w:r>
    </w:p>
    <w:p w:rsidR="00AC7CB3" w:rsidRPr="00854349" w:rsidRDefault="00AC7CB3" w:rsidP="00AC7CB3">
      <w:pPr>
        <w:pStyle w:val="NormalHanging12a"/>
      </w:pPr>
      <w:r w:rsidRPr="00854349">
        <w:t>–</w:t>
      </w:r>
      <w:r w:rsidRPr="00854349">
        <w:tab/>
        <w:t>ob upoštevanju poročila Odbora za ekonomske in monetarne zadeve (A9</w:t>
      </w:r>
      <w:r w:rsidRPr="00854349">
        <w:noBreakHyphen/>
        <w:t>0440/2023),</w:t>
      </w:r>
    </w:p>
    <w:p w:rsidR="00AC7CB3" w:rsidRPr="00854349" w:rsidRDefault="00AC7CB3" w:rsidP="00AC7CB3">
      <w:pPr>
        <w:pStyle w:val="NormalHanging12a"/>
      </w:pPr>
      <w:r w:rsidRPr="00854349">
        <w:t>1.</w:t>
      </w:r>
      <w:r w:rsidRPr="00854349">
        <w:tab/>
        <w:t xml:space="preserve">odobri </w:t>
      </w:r>
      <w:r w:rsidR="00854349" w:rsidRPr="00854349">
        <w:t>osnutek Sveta</w:t>
      </w:r>
      <w:r w:rsidRPr="00854349">
        <w:t>, kakor je bil spremenjen;</w:t>
      </w:r>
    </w:p>
    <w:p w:rsidR="00AC7CB3" w:rsidRPr="00854349" w:rsidRDefault="00854349" w:rsidP="00AC7CB3">
      <w:pPr>
        <w:pStyle w:val="NormalHanging12a"/>
      </w:pPr>
      <w:r w:rsidRPr="00854349">
        <w:t>2</w:t>
      </w:r>
      <w:r w:rsidR="00AC7CB3" w:rsidRPr="00854349">
        <w:t>.</w:t>
      </w:r>
      <w:r w:rsidR="00AC7CB3" w:rsidRPr="00854349">
        <w:tab/>
        <w:t>poziva Svet, naj Parlament</w:t>
      </w:r>
      <w:r w:rsidRPr="00854349">
        <w:t xml:space="preserve"> obvesti</w:t>
      </w:r>
      <w:r w:rsidR="00AC7CB3" w:rsidRPr="00854349">
        <w:t>, če namerava odstopiti od besedila, ki ga je odobril Parlament;</w:t>
      </w:r>
    </w:p>
    <w:p w:rsidR="00AC7CB3" w:rsidRPr="00854349" w:rsidRDefault="00854349" w:rsidP="00AC7CB3">
      <w:pPr>
        <w:pStyle w:val="NormalHanging12a"/>
      </w:pPr>
      <w:r w:rsidRPr="00854349">
        <w:t>3</w:t>
      </w:r>
      <w:r w:rsidR="00AC7CB3" w:rsidRPr="00854349">
        <w:t>.</w:t>
      </w:r>
      <w:r w:rsidR="00AC7CB3" w:rsidRPr="00854349">
        <w:tab/>
        <w:t xml:space="preserve">poziva Svet, naj se ponovno posvetuje s Parlamentom, če namerava bistveno spremeniti </w:t>
      </w:r>
      <w:r w:rsidRPr="00854349">
        <w:t>svoj osnutek</w:t>
      </w:r>
      <w:r w:rsidR="00AC7CB3" w:rsidRPr="00854349">
        <w:t>;</w:t>
      </w:r>
    </w:p>
    <w:p w:rsidR="00C714FC" w:rsidRDefault="00854349" w:rsidP="00AC7CB3">
      <w:pPr>
        <w:pStyle w:val="NormalHanging12a"/>
        <w:sectPr w:rsidR="00C714FC" w:rsidSect="00C50A9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854349">
        <w:t>4</w:t>
      </w:r>
      <w:r w:rsidR="00AC7CB3" w:rsidRPr="00854349">
        <w:t>.</w:t>
      </w:r>
      <w:r w:rsidR="00AC7CB3" w:rsidRPr="00854349">
        <w:tab/>
        <w:t>naroči svoji predsednici, naj stališče Parlamenta posreduje Svetu in Komisiji.</w:t>
      </w:r>
    </w:p>
    <w:p w:rsidR="00AC7CB3" w:rsidRDefault="00C714FC" w:rsidP="00AC7CB3">
      <w:pPr>
        <w:pStyle w:val="AmNumberTabs"/>
        <w:keepNext/>
      </w:pPr>
      <w:r>
        <w:lastRenderedPageBreak/>
        <w:t>Sprememba</w:t>
      </w:r>
      <w:r w:rsidR="00AC7CB3" w:rsidRPr="00854349">
        <w:tab/>
      </w:r>
      <w:r w:rsidR="00AC7CB3" w:rsidRPr="00854349">
        <w:tab/>
      </w:r>
      <w:r w:rsidR="005D7F40">
        <w:t>2</w:t>
      </w:r>
    </w:p>
    <w:p w:rsidR="00C714FC" w:rsidRPr="00C714FC" w:rsidRDefault="00721A19" w:rsidP="00C714FC">
      <w:pPr>
        <w:spacing w:before="720" w:after="240"/>
        <w:jc w:val="center"/>
      </w:pPr>
      <w:r>
        <w:t>S</w:t>
      </w:r>
      <w:r w:rsidR="00C714FC" w:rsidRPr="00C714FC">
        <w:t>PREMEMB</w:t>
      </w:r>
      <w:r>
        <w:t>E</w:t>
      </w:r>
      <w:r w:rsidR="00C714FC" w:rsidRPr="00C714FC">
        <w:t xml:space="preserve"> EVROPSKEGA PARLAMENTA</w:t>
      </w:r>
      <w:r w:rsidR="00C714FC" w:rsidRPr="00C714FC">
        <w:rPr>
          <w:vertAlign w:val="superscript"/>
        </w:rPr>
        <w:footnoteReference w:customMarkFollows="1" w:id="1"/>
        <w:t>*</w:t>
      </w:r>
    </w:p>
    <w:p w:rsidR="00C714FC" w:rsidRPr="00C714FC" w:rsidRDefault="00C714FC" w:rsidP="00C714FC">
      <w:pPr>
        <w:spacing w:after="240"/>
        <w:jc w:val="center"/>
      </w:pPr>
      <w:r w:rsidRPr="00C714FC">
        <w:t xml:space="preserve">k </w:t>
      </w:r>
      <w:r>
        <w:t>osnutku Sveta</w:t>
      </w:r>
    </w:p>
    <w:p w:rsidR="00C714FC" w:rsidRPr="00C714FC" w:rsidRDefault="00C714FC" w:rsidP="00C714FC">
      <w:pPr>
        <w:spacing w:after="240"/>
        <w:jc w:val="center"/>
      </w:pPr>
      <w:r w:rsidRPr="00C714FC">
        <w:t>---------------------------------------------------------</w:t>
      </w:r>
    </w:p>
    <w:p w:rsidR="00C714FC" w:rsidRPr="00C714FC" w:rsidRDefault="00C714FC" w:rsidP="00C714FC">
      <w:pPr>
        <w:widowControl/>
        <w:spacing w:before="360" w:line="360" w:lineRule="auto"/>
        <w:jc w:val="center"/>
        <w:rPr>
          <w:rFonts w:eastAsia="Calibri"/>
          <w:b/>
          <w:szCs w:val="22"/>
          <w:lang w:eastAsia="en-US"/>
        </w:rPr>
      </w:pPr>
      <w:r w:rsidRPr="00C714FC">
        <w:rPr>
          <w:rFonts w:eastAsia="Calibri"/>
          <w:b/>
          <w:szCs w:val="22"/>
          <w:lang w:eastAsia="en-US"/>
        </w:rPr>
        <w:t>DIREKTIVA SVETA</w:t>
      </w:r>
    </w:p>
    <w:p w:rsidR="00C714FC" w:rsidRPr="00C714FC" w:rsidRDefault="00C714FC" w:rsidP="00C714FC">
      <w:pPr>
        <w:keepNext/>
        <w:widowControl/>
        <w:spacing w:before="600" w:after="120" w:line="360" w:lineRule="auto"/>
        <w:jc w:val="both"/>
        <w:rPr>
          <w:rFonts w:eastAsia="Calibri"/>
          <w:b/>
          <w:szCs w:val="22"/>
          <w:lang w:eastAsia="en-US"/>
        </w:rPr>
      </w:pPr>
      <w:r w:rsidRPr="00C714FC">
        <w:rPr>
          <w:rFonts w:eastAsia="Calibri"/>
          <w:b/>
          <w:szCs w:val="22"/>
          <w:lang w:eastAsia="en-US"/>
        </w:rPr>
        <w:t xml:space="preserve">o spremembi Direktive 2011/85/EU o zahtevah v zvezi s proračunskimi okviri držav članic </w:t>
      </w:r>
    </w:p>
    <w:p w:rsidR="00C714FC" w:rsidRPr="00C714FC" w:rsidRDefault="00C714FC" w:rsidP="00C714FC">
      <w:pPr>
        <w:keepNext/>
        <w:widowControl/>
        <w:spacing w:before="600" w:after="120" w:line="360" w:lineRule="auto"/>
        <w:jc w:val="both"/>
        <w:rPr>
          <w:rFonts w:eastAsia="Calibri"/>
          <w:szCs w:val="22"/>
          <w:lang w:eastAsia="en-US"/>
        </w:rPr>
      </w:pPr>
      <w:r w:rsidRPr="00C714FC">
        <w:rPr>
          <w:rFonts w:eastAsia="Calibri"/>
          <w:szCs w:val="22"/>
          <w:lang w:eastAsia="en-US"/>
        </w:rPr>
        <w:t>SVET EVROPSKE UNIJE JE –</w:t>
      </w:r>
    </w:p>
    <w:p w:rsidR="00C714FC" w:rsidRPr="00C714FC" w:rsidRDefault="00C714FC" w:rsidP="00C714FC">
      <w:pPr>
        <w:widowControl/>
        <w:spacing w:before="120" w:after="120" w:line="360" w:lineRule="auto"/>
        <w:jc w:val="both"/>
        <w:rPr>
          <w:rFonts w:eastAsia="Calibri"/>
          <w:szCs w:val="22"/>
          <w:lang w:eastAsia="en-US"/>
        </w:rPr>
      </w:pPr>
      <w:r w:rsidRPr="00C714FC">
        <w:rPr>
          <w:rFonts w:eastAsia="Calibri"/>
          <w:szCs w:val="22"/>
          <w:lang w:eastAsia="en-US"/>
        </w:rPr>
        <w:t>ob upoštevanju Pogodbe o delovanju Evropske unije in zlasti člena 126(14), tretji pododstavek, Pogodbe,</w:t>
      </w:r>
    </w:p>
    <w:p w:rsidR="00C714FC" w:rsidRPr="00C714FC" w:rsidRDefault="00C714FC" w:rsidP="00C714FC">
      <w:pPr>
        <w:widowControl/>
        <w:spacing w:before="120" w:after="120" w:line="360" w:lineRule="auto"/>
        <w:jc w:val="both"/>
        <w:rPr>
          <w:rFonts w:eastAsia="Calibri"/>
          <w:szCs w:val="22"/>
          <w:lang w:eastAsia="en-US"/>
        </w:rPr>
      </w:pPr>
      <w:r w:rsidRPr="00C714FC">
        <w:rPr>
          <w:rFonts w:eastAsia="Calibri"/>
          <w:szCs w:val="22"/>
          <w:lang w:eastAsia="en-US"/>
        </w:rPr>
        <w:t>ob upoštevanju predloga Evropske komisije,</w:t>
      </w:r>
    </w:p>
    <w:p w:rsidR="00C714FC" w:rsidRPr="00C714FC" w:rsidRDefault="00C714FC" w:rsidP="00C714FC">
      <w:pPr>
        <w:widowControl/>
        <w:spacing w:before="120" w:after="120" w:line="360" w:lineRule="auto"/>
        <w:jc w:val="both"/>
        <w:rPr>
          <w:rFonts w:eastAsia="Calibri"/>
          <w:szCs w:val="22"/>
          <w:lang w:eastAsia="en-US"/>
        </w:rPr>
      </w:pPr>
      <w:r w:rsidRPr="00C714FC">
        <w:rPr>
          <w:rFonts w:eastAsia="Calibri"/>
          <w:szCs w:val="22"/>
          <w:lang w:eastAsia="en-US"/>
        </w:rPr>
        <w:t>ob upoštevanju mnenja Evropskega parlamenta,</w:t>
      </w:r>
    </w:p>
    <w:p w:rsidR="00C714FC" w:rsidRPr="00C714FC" w:rsidRDefault="00C714FC" w:rsidP="00C714FC">
      <w:pPr>
        <w:widowControl/>
        <w:spacing w:before="120" w:after="120" w:line="360" w:lineRule="auto"/>
        <w:jc w:val="both"/>
        <w:rPr>
          <w:rFonts w:eastAsia="Calibri"/>
          <w:szCs w:val="22"/>
          <w:lang w:eastAsia="en-US"/>
        </w:rPr>
      </w:pPr>
      <w:r w:rsidRPr="00C714FC">
        <w:rPr>
          <w:rFonts w:eastAsia="Calibri"/>
          <w:szCs w:val="22"/>
          <w:lang w:eastAsia="en-US"/>
        </w:rPr>
        <w:t>ob upoštevanju mnenja Evropske centralne banke</w:t>
      </w:r>
      <w:r w:rsidRPr="00C714FC">
        <w:rPr>
          <w:rFonts w:eastAsia="Calibri"/>
          <w:b/>
          <w:i/>
          <w:szCs w:val="22"/>
          <w:vertAlign w:val="superscript"/>
          <w:lang w:eastAsia="en-US"/>
        </w:rPr>
        <w:footnoteReference w:id="2"/>
      </w:r>
      <w:r w:rsidRPr="00C714FC">
        <w:rPr>
          <w:rFonts w:eastAsia="Calibri"/>
          <w:szCs w:val="22"/>
          <w:lang w:eastAsia="en-US"/>
        </w:rPr>
        <w:t>,</w:t>
      </w:r>
    </w:p>
    <w:p w:rsidR="00C714FC" w:rsidRPr="00C714FC" w:rsidRDefault="00C714FC" w:rsidP="00C714FC">
      <w:pPr>
        <w:widowControl/>
        <w:spacing w:before="120" w:after="120" w:line="360" w:lineRule="auto"/>
        <w:jc w:val="both"/>
        <w:rPr>
          <w:rFonts w:eastAsia="Calibri"/>
          <w:szCs w:val="22"/>
          <w:lang w:eastAsia="en-US"/>
        </w:rPr>
      </w:pPr>
      <w:r w:rsidRPr="00C714FC">
        <w:rPr>
          <w:rFonts w:eastAsia="Calibri"/>
          <w:szCs w:val="22"/>
          <w:lang w:eastAsia="en-US"/>
        </w:rPr>
        <w:t>ob upoštevanju naslednjega:</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(1)</w:t>
      </w:r>
      <w:r w:rsidRPr="00C714FC">
        <w:rPr>
          <w:rFonts w:eastAsia="Calibri"/>
          <w:szCs w:val="22"/>
          <w:lang w:eastAsia="en-US"/>
        </w:rPr>
        <w:tab/>
        <w:t>Da se zagotovi, da države članice izpolnjujejo obveznosti iz Pogodbe o delovanju Evropske unije (PDEU) na področju proračunske politike, zlasti v zvezi z izogibanjem čezmernemu javnofinančnemu primanjkljaju, so bila z Direktivo Sveta 2011/85/EU</w:t>
      </w:r>
      <w:r w:rsidRPr="00C714FC">
        <w:rPr>
          <w:rFonts w:eastAsia="Calibri"/>
          <w:szCs w:val="22"/>
          <w:vertAlign w:val="superscript"/>
          <w:lang w:eastAsia="en-US"/>
        </w:rPr>
        <w:footnoteReference w:id="3"/>
      </w:r>
      <w:r w:rsidRPr="00C714FC">
        <w:rPr>
          <w:rFonts w:eastAsia="Calibri"/>
          <w:szCs w:val="22"/>
          <w:lang w:eastAsia="en-US"/>
        </w:rPr>
        <w:t xml:space="preserve"> določena podrobna pravila v zvezi z značilnostmi proračunskih okvirov držav članic.</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(2)</w:t>
      </w:r>
      <w:r w:rsidRPr="00C714FC">
        <w:rPr>
          <w:rFonts w:eastAsia="Calibri"/>
          <w:szCs w:val="22"/>
          <w:lang w:eastAsia="en-US"/>
        </w:rPr>
        <w:tab/>
        <w:t>Na podlagi izkušenj, pridobljenih z ekonomsko in monetarno unijo od začetka veljavnosti Direktive 2011/85/EU, je treba spremeniti njene zahteve v zvezi s pravili in postopki, ki tvorijo proračunske okvire držav članic.</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(3)</w:t>
      </w:r>
      <w:r w:rsidRPr="00C714FC">
        <w:rPr>
          <w:rFonts w:eastAsia="Calibri"/>
          <w:szCs w:val="22"/>
          <w:lang w:eastAsia="en-US"/>
        </w:rPr>
        <w:tab/>
        <w:t xml:space="preserve">Evropsko računsko sodišče je leta 2019 objavilo poročilo, v katerem je preučilo zahteve Unije v zvezi z nacionalnimi proračunskimi okviri in Komisiji priporočilo, naj </w:t>
      </w:r>
      <w:r w:rsidRPr="00C714FC">
        <w:rPr>
          <w:rFonts w:eastAsia="Calibri"/>
          <w:szCs w:val="22"/>
          <w:lang w:eastAsia="en-US"/>
        </w:rPr>
        <w:lastRenderedPageBreak/>
        <w:t xml:space="preserve">te zahteve pregleda ob upoštevanju mednarodnih standardov in dobrih </w:t>
      </w:r>
      <w:r w:rsidRPr="00C714FC">
        <w:rPr>
          <w:rFonts w:eastAsia="Calibri"/>
          <w:b/>
          <w:i/>
          <w:szCs w:val="22"/>
          <w:lang w:eastAsia="en-US"/>
        </w:rPr>
        <w:t>praks</w:t>
      </w:r>
      <w:r w:rsidRPr="00C714FC">
        <w:rPr>
          <w:rFonts w:eastAsia="Calibri"/>
          <w:szCs w:val="22"/>
          <w:lang w:eastAsia="en-US"/>
        </w:rPr>
        <w:t>. Evropsko računsko sodišče je predlagalo specifične ukrepe za izboljšanje področja uporabe in učinkovitosti nacionalnih proračunskih okvirov, zlasti v zvezi s srednjeročnimi proračunskimi okviri in neodvisnimi fiskalnimi institucijami</w:t>
      </w:r>
      <w:r w:rsidRPr="00C714FC">
        <w:rPr>
          <w:rFonts w:eastAsia="Calibri"/>
          <w:szCs w:val="22"/>
          <w:vertAlign w:val="superscript"/>
          <w:lang w:eastAsia="en-US"/>
        </w:rPr>
        <w:footnoteReference w:id="4"/>
      </w:r>
      <w:r w:rsidRPr="00C714FC">
        <w:rPr>
          <w:rFonts w:eastAsia="Calibri"/>
          <w:szCs w:val="22"/>
          <w:lang w:eastAsia="en-US"/>
        </w:rPr>
        <w:t>.</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(4)</w:t>
      </w:r>
      <w:r w:rsidRPr="00C714FC">
        <w:rPr>
          <w:rFonts w:eastAsia="Calibri"/>
          <w:szCs w:val="22"/>
          <w:lang w:eastAsia="en-US"/>
        </w:rPr>
        <w:tab/>
        <w:t>V sporočilu Komisije z dne 5. februarja 2020</w:t>
      </w:r>
      <w:r w:rsidRPr="00C714FC">
        <w:rPr>
          <w:rFonts w:eastAsia="Calibri"/>
          <w:szCs w:val="22"/>
          <w:vertAlign w:val="superscript"/>
          <w:lang w:eastAsia="en-US"/>
        </w:rPr>
        <w:footnoteReference w:id="5"/>
      </w:r>
      <w:r w:rsidRPr="00C714FC">
        <w:rPr>
          <w:rFonts w:eastAsia="Calibri"/>
          <w:szCs w:val="22"/>
          <w:lang w:eastAsia="en-US"/>
        </w:rPr>
        <w:t xml:space="preserve"> je bil poudarjen znaten, vendar neenakomeren napredek pri razvoju nacionalnih proračunskih okvirov, saj pravo Unije določa le minimalne zahteve, pri izvajanju nacionalnih določb in njihovem upoštevanju pa je prihajalo do precejšnjih razlik. Sporočilo vsebuje tudi razmislek o tem, v kolikšni meri bi okvir podpiral potrebe gospodarske, okoljske in socialne politike, ki so povezane s prehodom na podnebno nevtralno, z viri gospodarno in digitalno evropsko gospodarstvo, in s tem dopolnjeval ključno vlogo zakonodajnega okolja in strukturnih reform.</w:t>
      </w:r>
    </w:p>
    <w:p w:rsidR="00C714FC" w:rsidRPr="00C714FC" w:rsidRDefault="00C714FC" w:rsidP="00C714FC">
      <w:pPr>
        <w:widowControl/>
        <w:spacing w:after="200" w:line="276" w:lineRule="auto"/>
        <w:rPr>
          <w:rFonts w:eastAsia="Calibri"/>
          <w:szCs w:val="22"/>
          <w:lang w:eastAsia="en-US"/>
        </w:rPr>
      </w:pPr>
      <w:r w:rsidRPr="00C714FC">
        <w:rPr>
          <w:rFonts w:eastAsia="Calibri"/>
          <w:szCs w:val="22"/>
          <w:lang w:eastAsia="en-US"/>
        </w:rPr>
        <w:br w:type="page"/>
      </w:r>
    </w:p>
    <w:p w:rsidR="00C714FC" w:rsidRPr="00C714FC" w:rsidRDefault="00C714FC" w:rsidP="00C714FC">
      <w:pPr>
        <w:widowControl/>
        <w:spacing w:before="120" w:after="120" w:line="360" w:lineRule="auto"/>
        <w:ind w:left="850"/>
        <w:jc w:val="both"/>
        <w:rPr>
          <w:rFonts w:eastAsia="Calibri"/>
          <w:szCs w:val="22"/>
          <w:lang w:eastAsia="en-US"/>
        </w:rPr>
      </w:pP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(5)</w:t>
      </w:r>
      <w:r w:rsidRPr="00C714FC">
        <w:rPr>
          <w:rFonts w:eastAsia="Calibri"/>
          <w:szCs w:val="22"/>
          <w:lang w:eastAsia="en-US"/>
        </w:rPr>
        <w:tab/>
        <w:t>Komisija je v sporočilu z dne 11. decembra 2019 o evropskem zelenem dogovoru</w:t>
      </w:r>
      <w:r w:rsidRPr="00C714FC">
        <w:rPr>
          <w:rFonts w:eastAsia="Calibri"/>
          <w:szCs w:val="22"/>
          <w:vertAlign w:val="superscript"/>
          <w:lang w:eastAsia="en-US"/>
        </w:rPr>
        <w:footnoteReference w:id="6"/>
      </w:r>
      <w:r w:rsidRPr="00C714FC">
        <w:rPr>
          <w:rFonts w:eastAsia="Calibri"/>
          <w:szCs w:val="22"/>
          <w:lang w:eastAsia="en-US"/>
        </w:rPr>
        <w:t xml:space="preserve"> pozvala k večji uporabi orodij za zeleno proračunsko načrtovanje, da bi se javne naložbe, potrošnja in obdavčitev preusmerile od škodljivih subvencij k zelenim prednostnim nalogam. Evropska podnebna pravila določajo vseunijski cilj podnebne nevtralnosti do leta 2050 ter od institucij Unije in držav članic zahtevajo napredek pri krepitvi prilagoditvene sposobnosti. Komisija se je zavezala, da bo sodelovala z državami članicami pri pregledu in primerjalni analizi praks zelenega proračunskega načrtovanja. V sporočilu Komisije z dne 24. februarja 2021 o novi strategiji EU za prilagajanje podnebnim spremembam</w:t>
      </w:r>
      <w:r w:rsidRPr="00C714FC">
        <w:rPr>
          <w:rFonts w:eastAsia="Calibri"/>
          <w:szCs w:val="22"/>
          <w:vertAlign w:val="superscript"/>
          <w:lang w:eastAsia="en-US"/>
        </w:rPr>
        <w:footnoteReference w:id="7"/>
      </w:r>
      <w:r w:rsidRPr="00C714FC">
        <w:rPr>
          <w:rFonts w:eastAsia="Calibri"/>
          <w:szCs w:val="22"/>
          <w:lang w:eastAsia="en-US"/>
        </w:rPr>
        <w:t xml:space="preserve"> sta poudarjena makrofiskalni pomen podnebnih sprememb in potreba po povečanju odpornosti Unije na vplive podnebnih sprememb. Evropski semester zagotavlja dodaten okvir za podporo takim prizadevanjem, Instrument za tehnično podporo pa ponuja praktično pomoč pri njihovem izvajanju.</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(6)</w:t>
      </w:r>
      <w:r w:rsidRPr="00C714FC">
        <w:rPr>
          <w:rFonts w:eastAsia="Calibri"/>
          <w:szCs w:val="22"/>
          <w:lang w:eastAsia="en-US"/>
        </w:rPr>
        <w:tab/>
        <w:t>V sporočilu Komisije z dne 9. novembra 2022 o usmeritvah za reformo okvira ekonomskega upravljanja EU</w:t>
      </w:r>
      <w:r w:rsidRPr="00C714FC">
        <w:rPr>
          <w:rFonts w:eastAsia="Calibri"/>
          <w:szCs w:val="22"/>
          <w:vertAlign w:val="superscript"/>
          <w:lang w:eastAsia="en-US"/>
        </w:rPr>
        <w:footnoteReference w:id="8"/>
      </w:r>
      <w:r w:rsidRPr="00C714FC">
        <w:rPr>
          <w:rFonts w:eastAsia="Calibri"/>
          <w:szCs w:val="22"/>
          <w:lang w:eastAsia="en-US"/>
        </w:rPr>
        <w:t xml:space="preserve"> je bila poudarjena potreba po okrepitvi vzdržnosti dolga in zmanjšanju visokih deležev javnega dolga ob hkratnem spodbujanju trajnostne in vključujoče rasti v vseh državah članicah. Ključni cilji usmeritev so izboljšanje nacionalnega lastništva, poenostavitev okvira in premik k bolj srednjeročni usmeritvi v povezavi z odločnejšim in bolj doslednim izvrševanjem.</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(7)</w:t>
      </w:r>
      <w:r w:rsidRPr="00C714FC">
        <w:rPr>
          <w:rFonts w:eastAsia="Calibri"/>
          <w:szCs w:val="22"/>
          <w:lang w:eastAsia="en-US"/>
        </w:rPr>
        <w:tab/>
        <w:t xml:space="preserve">Da bi se izboljšalo spoštovanje določb PDEU in zlasti </w:t>
      </w:r>
      <w:r w:rsidRPr="00C714FC">
        <w:rPr>
          <w:rFonts w:eastAsia="Calibri"/>
          <w:b/>
          <w:i/>
          <w:szCs w:val="22"/>
          <w:lang w:eastAsia="en-US"/>
        </w:rPr>
        <w:t>preprečil</w:t>
      </w:r>
      <w:r w:rsidRPr="00C714FC">
        <w:rPr>
          <w:rFonts w:eastAsia="Calibri"/>
          <w:szCs w:val="22"/>
          <w:lang w:eastAsia="en-US"/>
        </w:rPr>
        <w:t xml:space="preserve"> </w:t>
      </w:r>
      <w:r w:rsidRPr="00C714FC">
        <w:rPr>
          <w:rFonts w:eastAsia="Calibri"/>
          <w:b/>
          <w:i/>
          <w:szCs w:val="22"/>
          <w:lang w:eastAsia="en-US"/>
        </w:rPr>
        <w:t>pojav</w:t>
      </w:r>
      <w:r w:rsidRPr="00C714FC">
        <w:rPr>
          <w:rFonts w:eastAsia="Calibri"/>
          <w:szCs w:val="22"/>
          <w:lang w:eastAsia="en-US"/>
        </w:rPr>
        <w:t xml:space="preserve"> čezmernih javnofinančnih </w:t>
      </w:r>
      <w:r w:rsidRPr="00C714FC">
        <w:rPr>
          <w:rFonts w:eastAsia="Calibri"/>
          <w:b/>
          <w:i/>
          <w:szCs w:val="22"/>
          <w:lang w:eastAsia="en-US"/>
        </w:rPr>
        <w:t>primanjkljajev v smislu</w:t>
      </w:r>
      <w:r w:rsidRPr="00C714FC">
        <w:rPr>
          <w:rFonts w:eastAsia="Calibri"/>
          <w:szCs w:val="22"/>
          <w:lang w:eastAsia="en-US"/>
        </w:rPr>
        <w:t xml:space="preserve"> člena 126 PDEU, bi morale biti v pravu držav članic poleg določb, ki se trenutno zahtevajo na podlagi Direktive 2011/85/EU, tudi specifične določbe za okrepitev nacionalnega lastništva v skladu s Sporočilom Komisije z dne 9. novembra 2022 o usmeritvah za reformo okvira ekonomskega upravljanja EU. Na podlagi zbranih informacij o izvajanju navedene direktive bi morale spremembe zajemati tudi določbe o preglednosti in statistiki, napovedih in </w:t>
      </w:r>
      <w:r w:rsidRPr="00C714FC">
        <w:rPr>
          <w:rFonts w:eastAsia="Calibri"/>
          <w:szCs w:val="22"/>
          <w:lang w:eastAsia="en-US"/>
        </w:rPr>
        <w:lastRenderedPageBreak/>
        <w:t>srednjeročnem proračunskem načrtovanju, da se odpravijo slabosti, ugotovljene med izvajanjem.</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(8)</w:t>
      </w:r>
      <w:r w:rsidRPr="00C714FC">
        <w:rPr>
          <w:rFonts w:eastAsia="Calibri"/>
          <w:szCs w:val="22"/>
          <w:lang w:eastAsia="en-US"/>
        </w:rPr>
        <w:tab/>
        <w:t>Ta direktiva je del svežnja, ki ga sestavljata še Uredba (EU) [XXX]</w:t>
      </w:r>
      <w:r w:rsidRPr="00C714FC">
        <w:rPr>
          <w:rFonts w:eastAsia="Calibri"/>
          <w:szCs w:val="22"/>
          <w:vertAlign w:val="superscript"/>
          <w:lang w:eastAsia="en-US"/>
        </w:rPr>
        <w:footnoteReference w:id="9"/>
      </w:r>
      <w:r w:rsidRPr="00C714FC">
        <w:rPr>
          <w:rFonts w:eastAsia="Calibri"/>
          <w:szCs w:val="22"/>
          <w:lang w:eastAsia="en-US"/>
        </w:rPr>
        <w:t xml:space="preserve"> Evropskega parlamenta in Sveta, ki nadomešča Uredbo (ES) št. 1466/97</w:t>
      </w:r>
      <w:r w:rsidRPr="00C714FC">
        <w:rPr>
          <w:rFonts w:eastAsia="Calibri"/>
          <w:szCs w:val="22"/>
          <w:vertAlign w:val="superscript"/>
          <w:lang w:eastAsia="en-US"/>
        </w:rPr>
        <w:footnoteReference w:id="10"/>
      </w:r>
      <w:r w:rsidRPr="00C714FC">
        <w:rPr>
          <w:rFonts w:eastAsia="Calibri"/>
          <w:szCs w:val="22"/>
          <w:lang w:eastAsia="en-US"/>
        </w:rPr>
        <w:t xml:space="preserve"> (preventivni del Pakta za stabilnost in rast), in Uredba Sveta [XXX]</w:t>
      </w:r>
      <w:r w:rsidRPr="00C714FC">
        <w:rPr>
          <w:rFonts w:eastAsia="Calibri"/>
          <w:szCs w:val="22"/>
          <w:vertAlign w:val="superscript"/>
          <w:lang w:eastAsia="en-US"/>
        </w:rPr>
        <w:footnoteReference w:id="11"/>
      </w:r>
      <w:r w:rsidRPr="00C714FC">
        <w:rPr>
          <w:rFonts w:eastAsia="Calibri"/>
          <w:szCs w:val="22"/>
          <w:lang w:eastAsia="en-US"/>
        </w:rPr>
        <w:t xml:space="preserve"> o spremembi Uredbe Sveta (ES) št. 1467/97</w:t>
      </w:r>
      <w:r w:rsidRPr="00C714FC">
        <w:rPr>
          <w:rFonts w:eastAsia="Calibri"/>
          <w:szCs w:val="22"/>
          <w:vertAlign w:val="superscript"/>
          <w:lang w:eastAsia="en-US"/>
        </w:rPr>
        <w:footnoteReference w:id="12"/>
      </w:r>
      <w:r w:rsidRPr="00C714FC">
        <w:rPr>
          <w:rFonts w:eastAsia="Calibri"/>
          <w:szCs w:val="22"/>
          <w:lang w:eastAsia="en-US"/>
        </w:rPr>
        <w:t xml:space="preserve"> (korektivni del Pakta za stabilnost in rast). Skupaj vzpostavljajo prenovljen okvir ekonomskega upravljanja Unije, ki v pravo Unije vključuje vsebino naslova III „Fiskalni dogovor“ iz medvladne Pogodbe o stabilnosti, usklajevanju in upravljanju (PSUU) v ekonomski in monetarni uniji</w:t>
      </w:r>
      <w:r w:rsidRPr="00C714FC">
        <w:rPr>
          <w:rFonts w:eastAsia="Calibri"/>
          <w:szCs w:val="22"/>
          <w:vertAlign w:val="superscript"/>
          <w:lang w:eastAsia="en-US"/>
        </w:rPr>
        <w:footnoteReference w:id="13"/>
      </w:r>
      <w:r w:rsidRPr="00C714FC">
        <w:rPr>
          <w:rFonts w:eastAsia="Calibri"/>
          <w:szCs w:val="22"/>
          <w:lang w:eastAsia="en-US"/>
        </w:rPr>
        <w:t xml:space="preserve"> v skladu s členom 16 navedene pogodbe. Sveženj na podlagi izkušenj z izvajanjem PSUU v državah članicah ohranja srednjeročno usmeritev fiskalnega dogovora kot orodja za doseganje proračunske discipline in spodbujanje rasti. Vključuje tudi okrepljeno razsežnost prilagajanja posameznim državam, katere cilj je povečati nacionalno lastništvo, vključno z ohranjanjem vloge neodvisnih fiskalnih institucij, in ki temelji na skupnih načelih fiskalnega dogovora, ki jih je Komisija predlagala</w:t>
      </w:r>
      <w:r w:rsidRPr="00C714FC">
        <w:rPr>
          <w:rFonts w:eastAsia="Calibri"/>
          <w:szCs w:val="22"/>
          <w:vertAlign w:val="superscript"/>
          <w:lang w:eastAsia="en-US"/>
        </w:rPr>
        <w:footnoteReference w:id="14"/>
      </w:r>
      <w:r w:rsidRPr="00C714FC">
        <w:rPr>
          <w:rFonts w:eastAsia="Calibri"/>
          <w:szCs w:val="22"/>
          <w:lang w:eastAsia="en-US"/>
        </w:rPr>
        <w:t xml:space="preserve"> v skladu s členom 3(2) PSUU. Analiza odhodkov brez diskrecijskih ukrepov na strani prihodkov za splošno oceno skladnosti, ki jo zahteva fiskalni dogovor, je določena v Uredbi [XXX], ki nadomešča Uredbo (ES) št. 1466/97. Tako kot v fiskalnem dogovoru so v Uredbi [XXX], ki nadomešča Uredbo (ES) št. 1466/97, začasni odkloni od srednjeročnega načrta dovoljeni le v izjemnih okoliščinah. Podobno bi bilo treba v primeru znatnih odklonov od srednjeročnega načrta izvesti ukrepe za odpravo odklonov v določenem časovnem obdobju. Sveženj krepi fiskalni nadzor in izvršilne postopke za izpolnitev zaveze glede spodbujanja zdravih in vzdržnih javnih financ ter trajnostne in vključujoče rasti. Reforma okvira ekonomskega upravljanja tako ohranja temeljna cilja proračunske discipline in vzdržnosti dolga, določena v PSUU.</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lastRenderedPageBreak/>
        <w:t>(9)</w:t>
      </w:r>
      <w:r w:rsidRPr="00C714FC">
        <w:rPr>
          <w:rFonts w:eastAsia="Calibri"/>
          <w:szCs w:val="22"/>
          <w:lang w:eastAsia="en-US"/>
        </w:rPr>
        <w:tab/>
        <w:t>Predpogoj za pripravo visokokakovostne statistike, ki je primerljiva med državami članicami, so popolne in zanesljive prakse na področju javnega računovodstva za vse podsektorje države. Razpoložljivost in kakovost statistike, ki temelji na Evropskem sistemu nacionalnih in regionalnih računov (ESR), sta bistvenega pomena za zagotovitev dobrega delovanja okvira Unije za fiskalni nadzor. ESR 2010 sloni na informacijah, zagotovljenih na podlagi nastanka poslovnega dogodka. Zato je zaželeno, da se izboljša zbiranje podatkov in informacij na podlagi nastanka poslovnega dogodka, da bi se tovrstna statistika pripravljala celovito in dosledno v vseh podsektorjih države.</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(10)</w:t>
      </w:r>
      <w:r w:rsidRPr="00C714FC">
        <w:rPr>
          <w:rFonts w:eastAsia="Calibri"/>
          <w:szCs w:val="22"/>
          <w:lang w:eastAsia="en-US"/>
        </w:rPr>
        <w:tab/>
        <w:t>Razpoložljivost visokofrekvenčnih podatkov lahko razkrije vzorce, ki upravičujejo strožji nadzor, in izboljša kakovost proračunskih napovedi. Države članice in Komisija (Eurostat) bi morale objaviti četrtletne podatke o primanjkljaju in dolgu z uporabo opredelitev iz člena 2 Protokola (št. 12) o postopku v zvezi s čezmernim primanjkljajem, ki je priložen Pogodbi o Evropski uniji (PEU) in PDEU. Objavo višjefrekvenčnih proračunskih podatkov, prilagojenih nacionalnim proračunskim opredelitvam, bi bilo treba določiti na podlagi nacionalnih zahtev glede preglednosti in potreb uporabnikov, da se izboljša nacionalno lastništvo.</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(11)</w:t>
      </w:r>
      <w:r w:rsidRPr="00C714FC">
        <w:rPr>
          <w:rFonts w:eastAsia="Calibri"/>
          <w:szCs w:val="22"/>
          <w:lang w:eastAsia="en-US"/>
        </w:rPr>
        <w:tab/>
        <w:t>Pristranske in nestvarne makroekonomske in proračunske napovedi za letno in večletno proračunsko zakonodajo lahko precej zmanjšajo učinkovitost javnofinančnega načrtovanja in posledično oslabijo zavezanost proračunski disciplini. Da bi se izboljšale osnovne predpostavke, bi morale države članice svoje makroekonomske in proračunske napovedi primerjati z najnovejšimi napovedmi Komisije in po potrebi z napovedmi drugih neodvisnih organov.</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(12)</w:t>
      </w:r>
      <w:r w:rsidRPr="00C714FC">
        <w:rPr>
          <w:rFonts w:eastAsia="Calibri"/>
          <w:szCs w:val="22"/>
          <w:lang w:eastAsia="en-US"/>
        </w:rPr>
        <w:tab/>
        <w:t>Makroekonomske in proračunske napovedi za letno in večletno javnofinančno načrtovanje za sektor država bi morale biti predmet rednih, objektivnih in celovitih naknadnih ocen, ki jih izvaja neodvisen organ ali drugi organi, ki so funkcionalno neodvisni od javnofinančnih organov držav članic in niso organ, ki pripravlja napoved, da bi se izboljšala njihova kakovost. Te ocene bi morale vključevati podroben pregled ekonomskih predpostavk, primerjavo z napovedmi, ki so jih pripravile druge institucije, in oceno natančnosti preteklih napovedi.</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(13)</w:t>
      </w:r>
      <w:r w:rsidRPr="00C714FC">
        <w:rPr>
          <w:rFonts w:eastAsia="Calibri"/>
          <w:szCs w:val="22"/>
          <w:lang w:eastAsia="en-US"/>
        </w:rPr>
        <w:tab/>
        <w:t xml:space="preserve">Neodvisni organi, zadolženi za spremljanje javnih financ v državah članicah, so učinkovit element proračunskih okvirov. Uredba (EU) št. 473/2013 Evropskega </w:t>
      </w:r>
      <w:r w:rsidRPr="00C714FC">
        <w:rPr>
          <w:rFonts w:eastAsia="Calibri"/>
          <w:szCs w:val="22"/>
          <w:lang w:eastAsia="en-US"/>
        </w:rPr>
        <w:lastRenderedPageBreak/>
        <w:t>parlamenta in Sveta</w:t>
      </w:r>
      <w:r w:rsidRPr="00C714FC">
        <w:rPr>
          <w:rFonts w:eastAsia="Calibri"/>
          <w:szCs w:val="22"/>
          <w:vertAlign w:val="superscript"/>
          <w:lang w:eastAsia="en-US"/>
        </w:rPr>
        <w:footnoteReference w:id="15"/>
      </w:r>
      <w:r w:rsidRPr="00C714FC">
        <w:rPr>
          <w:rFonts w:eastAsia="Calibri"/>
          <w:szCs w:val="22"/>
          <w:lang w:eastAsia="en-US"/>
        </w:rPr>
        <w:t xml:space="preserve"> od držav članic, katerih valuta je euro, zahteva, da imajo neodvisne fiskalne institucije, zadolžene za potrjevanje ali pripravo makroekonomskih napovedi, ter določa posebne zaščitne ukrepe v zvezi z njihovo neodvisnostjo in tehnično zmogljivostjo. Brez poseganja v zahteve iz Uredbe (EU) št. 473/2013 bi bilo treba pri nalogi neodvisnih fiskalnih institucij, da v skladu s členom 8(4) pripravijo, ocenijo ali potrdijo makroekonomske napovedi, upoštevati uveljavljene nacionalne postopke in prakse v državah članicah, vključno s tistimi, ki se nanašajo na trenutek, v katerem se naloga opravi.</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(14)</w:t>
      </w:r>
      <w:r w:rsidRPr="00C714FC">
        <w:rPr>
          <w:rFonts w:eastAsia="Calibri"/>
          <w:szCs w:val="22"/>
          <w:lang w:eastAsia="en-US"/>
        </w:rPr>
        <w:tab/>
        <w:t>Da bi se dosegla večja odgovornost na področju fiskalne politike, bi morale imeti neodvisne fiskalne institucije visoko stopnjo operativne neodvisnosti, potrebne vire za opravljanje svojih nalog ter obsežen in pravočasen dostop do potrebnih informacij. Države članice lahko ustanovijo več kot eno neodvisno fiskalno institucijo, vsaka od njih pa lahko opravlja eno ali več nalog, določenih v tej direktivi, če je odgovornost jasno razdeljena in se njihove pristojnosti ne prekrivajo. Preprečiti bi bilo treba pretirano institucionalno razdrobljenost nalog spremljanja. Pri sestavi teh organov za spremljanje bi bilo treba upoštevati obstoječe institucionalno okolje ter upravno strukturo v zadevni državi članici.</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(15)</w:t>
      </w:r>
      <w:r w:rsidRPr="00C714FC">
        <w:rPr>
          <w:rFonts w:eastAsia="Calibri"/>
          <w:szCs w:val="22"/>
          <w:lang w:eastAsia="en-US"/>
        </w:rPr>
        <w:tab/>
        <w:t>Za izboljšanje proračunskega načrtovanja bi bilo treba, kolikor je to mogoče, ustrezno pozornost nameniti makrofiskalnim tveganjem, ki nastajajo zaradi podnebnih sprememb, vključno z njihovimi okoljskimi in distribucijskimi vplivi. Razumevanje tega, kako lahko s podnebjem povezani šoki vplivajo na javne finance, je ključnega pomena za to, da se z nacionalnimi strategijami omejijo in obvladujejo fiskalna tveganja, ki izhajajo iz podnebnih sprememb in z njimi povezanih nesreč.</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(16)</w:t>
      </w:r>
      <w:r w:rsidRPr="00C714FC">
        <w:rPr>
          <w:rFonts w:eastAsia="Calibri"/>
          <w:szCs w:val="22"/>
          <w:lang w:eastAsia="en-US"/>
        </w:rPr>
        <w:tab/>
        <w:t xml:space="preserve">Kljub temu, da je sprejetje letne proračunske zakonodaje ključni korak v proračunskem postopku za demokratično odgovornost, je enoletna perspektiva za proračunsko načrtovanje omejena podlaga za zdrave fiskalne politike, saj ima večina ukrepov posledice, ki močno presegajo letni proračunski cikel. Učinkovito srednjeročno javnofinančno načrtovanje samo po sebi krepi verodostojnost fiskalne politike, ob tem pa upošteva tudi vzdržnost dolga. Temeljiti bi moralo na jasni in dosledni opredelitvi </w:t>
      </w:r>
      <w:r w:rsidRPr="00C714FC">
        <w:rPr>
          <w:rFonts w:eastAsia="Calibri"/>
          <w:szCs w:val="22"/>
          <w:lang w:eastAsia="en-US"/>
        </w:rPr>
        <w:lastRenderedPageBreak/>
        <w:t>nacionalnih proračunskih ciljev v srednjeročnem obdobju za sektor država, ki so predstavljeni v nacionalnih srednjeročnih načrtih. Da bi se okrepila večletna proračunska perspektiva, bi moralo biti načrtovanje letne proračunske zakonodaje skladno z nacionalnimi proračunskimi cilji v srednjeročnem obdobju iz člena 2, točka (e).</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(17)</w:t>
      </w:r>
      <w:r w:rsidRPr="00C714FC">
        <w:rPr>
          <w:rFonts w:eastAsia="Calibri"/>
          <w:szCs w:val="22"/>
          <w:lang w:eastAsia="en-US"/>
        </w:rPr>
        <w:tab/>
        <w:t>Da bi proračunski okviri učinkovito spodbujali proračunsko disciplino in vzdržnost javnih financ, bi morali celovito pokrivati javne finance. Iz tega razloga bi bilo treba posebno pozornost nameniti delovanju organov in skladov v sektorju država, ki niso vključeni v redne proračune, so pa del sektorja država, vključno s podsektorji, in imajo takojšnje ali srednjeročne posledice za proračunski položaj držav članic. Države članice objavijo tudi vrednosti, ki ustrezajo skupnemu učinku teh organov in skladov na salde in dolgove v sektorju država. Objaviti bi bilo treba podrobne informacije o učinku davčnih izdatkov na prihodke.</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(19)</w:t>
      </w:r>
      <w:r w:rsidRPr="00C714FC">
        <w:rPr>
          <w:rFonts w:eastAsia="Calibri"/>
          <w:szCs w:val="22"/>
          <w:lang w:eastAsia="en-US"/>
        </w:rPr>
        <w:tab/>
        <w:t>Orodja za zeleno proračunsko načrtovanje lahko pomagajo preusmeriti javne prihodke in odhodke k zelenim prednostnim nalogam. S tega vidika redno sporočanje ustreznih informacij prispeva k boljšemu odločanju v zvezi s proračunom. Države članice bi lahko objavile informacije o tem, kako ustrezni elementi njihovih proračunov prispevajo k doseganju podnebnih in okoljskih nacionalnih in mednarodnih zavez, ter uporabljeno metodologijo. Podatke in opisne informacije bi morale objaviti ločeno za postavke odhodkov, davčnih izdatkov in prihodkov. Države članice bi lahko objavile informacije o distribucijskem vplivu proračunskih politik in pri razvoju zelenega proračunskega načrtovanja upoštevale zaposlitvene, socialne in distribucijske vidike</w:t>
      </w:r>
      <w:r w:rsidRPr="00C714FC">
        <w:rPr>
          <w:szCs w:val="22"/>
          <w:vertAlign w:val="superscript"/>
          <w:lang w:eastAsia="en-US"/>
        </w:rPr>
        <w:footnoteReference w:id="16"/>
      </w:r>
      <w:r w:rsidRPr="00C714FC">
        <w:rPr>
          <w:rFonts w:eastAsia="Calibri"/>
          <w:szCs w:val="22"/>
          <w:lang w:eastAsia="en-US"/>
        </w:rPr>
        <w:t>.</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(20)</w:t>
      </w:r>
      <w:r w:rsidRPr="00C714FC">
        <w:rPr>
          <w:rFonts w:eastAsia="Calibri"/>
          <w:szCs w:val="22"/>
          <w:lang w:eastAsia="en-US"/>
        </w:rPr>
        <w:tab/>
        <w:t xml:space="preserve">Ustrezno pozornost bi bilo treba nameniti obstoju pogojnih obveznosti. Natančneje, pogojne obveznosti zajemajo možne obveznosti, ki so odvisne od nastanka določenega negotovega dogodka v prihodnosti, ali pa trenutne obveznosti, pri katerih plačilo ni verjetno oziroma zneska verjetnega plačila ni mogoče zanesljivo oceniti. Zajemajo na primer državna poroštva, nedonosna posojila, obveznosti, ki izhajajo iz delovanja </w:t>
      </w:r>
      <w:r w:rsidRPr="00C714FC">
        <w:rPr>
          <w:rFonts w:eastAsia="Calibri"/>
          <w:szCs w:val="22"/>
          <w:lang w:eastAsia="en-US"/>
        </w:rPr>
        <w:lastRenderedPageBreak/>
        <w:t>javnih družb, ter, kolikor je mogoče, pogojne obveznosti, povezane z nesrečami in podnebjem.</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(21)</w:t>
      </w:r>
      <w:r w:rsidRPr="00C714FC">
        <w:rPr>
          <w:rFonts w:eastAsia="Calibri"/>
          <w:szCs w:val="22"/>
          <w:lang w:eastAsia="en-US"/>
        </w:rPr>
        <w:tab/>
        <w:t>Naravne nesreče in ekstremni vremenski dogodki so prizadeli večino držav članic, s podnebnimi spremembami pa naj bi se pogostost in intenzivnost takih dogodkov povečali. Vlade vlagajo v ukrepe za prilagajanje podnebnim spremembam in posredujejo s kritjem stroškov nesreč za nujno pomoč, okrevanje in obnovo ter v nekaterih primerih delujejo kot zavarovatelji v skrajni sili. Glede na sedanje in prihodnje izzive za vzdržnost javnih financ bi bilo treba posebno pozornost nameniti obveznostim države in tveganjem za javne finance, ki izhajajo iz naravnih nesreč in šokov, povezanih s podnebjem, začenši z zbiranjem in objavljanjem informacij o fiskalnih stroških preteklih dogodkov, kolikor je to mogoče.</w:t>
      </w:r>
    </w:p>
    <w:p w:rsidR="00C714FC" w:rsidRPr="00C714FC" w:rsidRDefault="00C714FC" w:rsidP="00C714FC">
      <w:pPr>
        <w:widowControl/>
        <w:spacing w:before="120" w:after="120" w:line="360" w:lineRule="auto"/>
        <w:ind w:left="850" w:hanging="850"/>
        <w:jc w:val="both"/>
        <w:rPr>
          <w:rFonts w:eastAsia="Calibri"/>
          <w:szCs w:val="22"/>
          <w:lang w:eastAsia="en-US"/>
        </w:rPr>
      </w:pPr>
      <w:r w:rsidRPr="00C714FC">
        <w:rPr>
          <w:rFonts w:eastAsia="Calibri"/>
          <w:b/>
          <w:i/>
          <w:szCs w:val="22"/>
          <w:lang w:eastAsia="en-US"/>
        </w:rPr>
        <w:t>(21a)</w:t>
      </w:r>
      <w:r w:rsidRPr="00C714FC">
        <w:rPr>
          <w:rFonts w:eastAsia="Calibri"/>
          <w:b/>
          <w:i/>
          <w:szCs w:val="22"/>
          <w:lang w:eastAsia="en-US"/>
        </w:rPr>
        <w:tab/>
      </w:r>
      <w:r w:rsidRPr="00AC486D">
        <w:rPr>
          <w:rFonts w:eastAsia="Calibri"/>
          <w:szCs w:val="22"/>
          <w:lang w:eastAsia="en-US"/>
        </w:rPr>
        <w:t>Poročanje o makrofiskalnih tveganjih, ki nastajajo zaradi podnebnih sprememb, pogojnih obveznostih, povezanih s podnebjem, in fiskalnih stroških nesreč se izboljšuje, vendar je še vedno v zgodnji fazi, metodologije in kazalniki za takšno poročanje pa se še razvijajo. Za prilagoditev temu poročanju bodo potrebna znatna prizadevanja javnih uprav. Ob upoštevanju teh izzivov in kolikor je to mogoče, bi bilo treba poročanje na teh področjih izvajati in razvijati vzporedno s takšnim metodološkim napredkom.</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(22)</w:t>
      </w:r>
      <w:r w:rsidRPr="00C714FC">
        <w:rPr>
          <w:rFonts w:eastAsia="Calibri"/>
          <w:szCs w:val="22"/>
          <w:lang w:eastAsia="en-US"/>
        </w:rPr>
        <w:tab/>
        <w:t>Komisija bi morala še naprej redno spremljati izvajanje Direktive 2011/85/EU. Opredeliti in izmenjati bi bilo treba dobre prakse v zvezi z izvajanjem določb navedene direktive.</w:t>
      </w:r>
    </w:p>
    <w:p w:rsidR="00C714FC" w:rsidRPr="00C714FC" w:rsidRDefault="00C714FC" w:rsidP="00C714FC">
      <w:pPr>
        <w:widowControl/>
        <w:tabs>
          <w:tab w:val="left" w:pos="850"/>
        </w:tabs>
        <w:spacing w:before="120" w:after="120" w:line="360" w:lineRule="auto"/>
        <w:ind w:left="850" w:hanging="850"/>
        <w:jc w:val="both"/>
        <w:rPr>
          <w:rFonts w:eastAsia="Calibri"/>
          <w:szCs w:val="22"/>
          <w:lang w:eastAsia="en-US"/>
        </w:rPr>
      </w:pPr>
      <w:r w:rsidRPr="00C714FC">
        <w:rPr>
          <w:rFonts w:eastAsia="Calibri"/>
          <w:szCs w:val="22"/>
          <w:lang w:eastAsia="en-US"/>
        </w:rPr>
        <w:t>(23)</w:t>
      </w:r>
      <w:r w:rsidRPr="00C714FC">
        <w:rPr>
          <w:rFonts w:eastAsia="Calibri"/>
          <w:szCs w:val="22"/>
          <w:lang w:eastAsia="en-US"/>
        </w:rPr>
        <w:tab/>
        <w:t>Direktivo 2011/85/EU bi bilo zato treba ustrezno spremeniti –</w:t>
      </w:r>
    </w:p>
    <w:p w:rsidR="00C714FC" w:rsidRPr="00C714FC" w:rsidRDefault="00C714FC" w:rsidP="00C714FC">
      <w:pPr>
        <w:widowControl/>
        <w:spacing w:before="120" w:after="120" w:line="360" w:lineRule="auto"/>
        <w:jc w:val="both"/>
        <w:rPr>
          <w:rFonts w:eastAsia="Calibri"/>
          <w:szCs w:val="22"/>
          <w:lang w:eastAsia="en-US"/>
        </w:rPr>
      </w:pPr>
    </w:p>
    <w:p w:rsidR="00C714FC" w:rsidRPr="00C714FC" w:rsidRDefault="00C714FC" w:rsidP="00C714FC">
      <w:pPr>
        <w:keepNext/>
        <w:widowControl/>
        <w:spacing w:before="120" w:after="120" w:line="360" w:lineRule="auto"/>
        <w:jc w:val="both"/>
        <w:rPr>
          <w:rFonts w:eastAsia="Calibri"/>
          <w:szCs w:val="24"/>
          <w:lang w:eastAsia="en-US"/>
        </w:rPr>
      </w:pPr>
      <w:r w:rsidRPr="00C714FC">
        <w:rPr>
          <w:rFonts w:eastAsia="Calibri"/>
          <w:szCs w:val="24"/>
          <w:lang w:eastAsia="en-US"/>
        </w:rPr>
        <w:t>SPREJEL NASLEDNJO DIREKTIVO:</w:t>
      </w:r>
    </w:p>
    <w:p w:rsidR="00C714FC" w:rsidRPr="00C714FC" w:rsidRDefault="00C714FC" w:rsidP="00C714FC">
      <w:pPr>
        <w:widowControl/>
        <w:spacing w:before="120" w:after="120" w:line="360" w:lineRule="auto"/>
        <w:rPr>
          <w:rFonts w:eastAsia="Calibri"/>
          <w:szCs w:val="24"/>
          <w:lang w:eastAsia="en-US"/>
        </w:rPr>
      </w:pPr>
      <w:r w:rsidRPr="00C714FC">
        <w:rPr>
          <w:rFonts w:eastAsia="Calibri"/>
          <w:szCs w:val="24"/>
          <w:lang w:eastAsia="en-US"/>
        </w:rPr>
        <w:t>Direktiva 2011/85/EU se spremeni:</w:t>
      </w:r>
    </w:p>
    <w:p w:rsidR="00C714FC" w:rsidRPr="00C714FC" w:rsidRDefault="00C714FC" w:rsidP="00C714FC">
      <w:pPr>
        <w:widowControl/>
        <w:shd w:val="clear" w:color="auto" w:fill="FFFFFF"/>
        <w:spacing w:before="120" w:line="360" w:lineRule="auto"/>
        <w:jc w:val="both"/>
        <w:rPr>
          <w:rFonts w:eastAsia="Calibri"/>
          <w:color w:val="000000"/>
          <w:szCs w:val="24"/>
          <w:lang w:eastAsia="en-US"/>
        </w:rPr>
      </w:pPr>
      <w:r w:rsidRPr="00C714FC">
        <w:rPr>
          <w:rFonts w:eastAsia="Calibri"/>
          <w:color w:val="000000"/>
          <w:szCs w:val="24"/>
          <w:lang w:eastAsia="en-US"/>
        </w:rPr>
        <w:t xml:space="preserve">(1) </w:t>
      </w:r>
      <w:r w:rsidRPr="00C714FC">
        <w:rPr>
          <w:rFonts w:eastAsia="Calibri"/>
          <w:color w:val="000000"/>
          <w:szCs w:val="24"/>
          <w:lang w:eastAsia="en-US"/>
        </w:rPr>
        <w:tab/>
        <w:t>člen 2 se spremeni:</w:t>
      </w:r>
    </w:p>
    <w:p w:rsidR="00C714FC" w:rsidRPr="00C714FC" w:rsidRDefault="00C714FC" w:rsidP="00C714FC">
      <w:pPr>
        <w:widowControl/>
        <w:tabs>
          <w:tab w:val="left" w:pos="1984"/>
        </w:tabs>
        <w:spacing w:before="120" w:after="120" w:line="360" w:lineRule="auto"/>
        <w:ind w:left="1287" w:hanging="567"/>
        <w:jc w:val="both"/>
        <w:rPr>
          <w:rFonts w:eastAsia="Calibri"/>
          <w:szCs w:val="24"/>
          <w:lang w:eastAsia="en-US"/>
        </w:rPr>
      </w:pPr>
      <w:r w:rsidRPr="00C714FC">
        <w:rPr>
          <w:rFonts w:eastAsia="Calibri"/>
          <w:szCs w:val="24"/>
          <w:lang w:eastAsia="en-US"/>
        </w:rPr>
        <w:t>(a)</w:t>
      </w:r>
      <w:r w:rsidRPr="00C714FC">
        <w:rPr>
          <w:rFonts w:eastAsia="Calibri"/>
          <w:szCs w:val="24"/>
          <w:lang w:eastAsia="en-US"/>
        </w:rPr>
        <w:tab/>
        <w:t>v prvem odstavku se drugi stavek nadomesti z naslednjim:</w:t>
      </w:r>
    </w:p>
    <w:p w:rsidR="00C714FC" w:rsidRPr="00C714FC" w:rsidRDefault="00C714FC" w:rsidP="00C714FC">
      <w:pPr>
        <w:widowControl/>
        <w:shd w:val="clear" w:color="auto" w:fill="FFFFFF"/>
        <w:spacing w:line="360" w:lineRule="auto"/>
        <w:ind w:left="1103"/>
        <w:contextualSpacing/>
        <w:rPr>
          <w:rFonts w:eastAsia="Calibri"/>
          <w:noProof/>
          <w:szCs w:val="24"/>
          <w:lang w:eastAsia="en-US"/>
        </w:rPr>
      </w:pPr>
      <w:r w:rsidRPr="00C714FC">
        <w:rPr>
          <w:rFonts w:eastAsia="Calibri"/>
          <w:noProof/>
          <w:szCs w:val="24"/>
          <w:lang w:eastAsia="en-US"/>
        </w:rPr>
        <w:t>„Uporablja se opredelitev podsektorjev države iz Priloge A k Uredbi (EU) št. 549/2013 Evropskega parlamenta in Sveta.*</w:t>
      </w:r>
    </w:p>
    <w:p w:rsidR="00C714FC" w:rsidRPr="00C714FC" w:rsidRDefault="00C714FC" w:rsidP="00C714FC">
      <w:pPr>
        <w:widowControl/>
        <w:shd w:val="clear" w:color="auto" w:fill="FFFFFF"/>
        <w:spacing w:line="360" w:lineRule="auto"/>
        <w:ind w:left="1103"/>
        <w:contextualSpacing/>
        <w:rPr>
          <w:rFonts w:eastAsia="Calibri"/>
          <w:noProof/>
          <w:color w:val="000000"/>
          <w:szCs w:val="24"/>
          <w:lang w:eastAsia="en-US"/>
        </w:rPr>
      </w:pPr>
      <w:r w:rsidRPr="00C714FC">
        <w:rPr>
          <w:rFonts w:eastAsia="Calibri"/>
          <w:noProof/>
          <w:color w:val="000000"/>
          <w:szCs w:val="24"/>
          <w:lang w:eastAsia="en-US"/>
        </w:rPr>
        <w:t>___________</w:t>
      </w:r>
    </w:p>
    <w:p w:rsidR="00C714FC" w:rsidRPr="00C714FC" w:rsidRDefault="00C714FC" w:rsidP="00C714FC">
      <w:pPr>
        <w:widowControl/>
        <w:shd w:val="clear" w:color="auto" w:fill="FFFFFF"/>
        <w:spacing w:line="360" w:lineRule="auto"/>
        <w:ind w:left="1103"/>
        <w:contextualSpacing/>
        <w:rPr>
          <w:rFonts w:eastAsia="Calibri"/>
          <w:color w:val="000000"/>
          <w:szCs w:val="24"/>
          <w:lang w:eastAsia="en-US"/>
        </w:rPr>
      </w:pPr>
      <w:r w:rsidRPr="00C714FC">
        <w:rPr>
          <w:rFonts w:eastAsia="Calibri"/>
          <w:noProof/>
          <w:szCs w:val="24"/>
          <w:lang w:eastAsia="en-US"/>
        </w:rPr>
        <w:t>*UL L 174, 26.6.2013, str. 1.“;</w:t>
      </w:r>
    </w:p>
    <w:p w:rsidR="00C714FC" w:rsidRPr="00C714FC" w:rsidRDefault="00C714FC" w:rsidP="00C714FC">
      <w:pPr>
        <w:widowControl/>
        <w:tabs>
          <w:tab w:val="left" w:pos="1984"/>
        </w:tabs>
        <w:spacing w:before="120" w:after="120" w:line="360" w:lineRule="auto"/>
        <w:ind w:left="1287" w:hanging="567"/>
        <w:jc w:val="both"/>
        <w:rPr>
          <w:rFonts w:eastAsia="Calibri"/>
          <w:szCs w:val="24"/>
          <w:lang w:eastAsia="en-US"/>
        </w:rPr>
      </w:pPr>
      <w:r w:rsidRPr="00C714FC">
        <w:rPr>
          <w:rFonts w:eastAsia="Calibri"/>
          <w:szCs w:val="24"/>
          <w:lang w:eastAsia="en-US"/>
        </w:rPr>
        <w:lastRenderedPageBreak/>
        <w:t>(b)</w:t>
      </w:r>
      <w:r w:rsidRPr="00C714FC">
        <w:rPr>
          <w:rFonts w:eastAsia="Calibri"/>
          <w:szCs w:val="24"/>
          <w:lang w:eastAsia="en-US"/>
        </w:rPr>
        <w:tab/>
        <w:t>drugi odstavek se spremeni:</w:t>
      </w:r>
    </w:p>
    <w:p w:rsidR="00C714FC" w:rsidRPr="00C714FC" w:rsidRDefault="00C714FC" w:rsidP="00C714FC">
      <w:pPr>
        <w:widowControl/>
        <w:spacing w:before="120" w:after="120" w:line="360" w:lineRule="auto"/>
        <w:ind w:left="2030" w:hanging="567"/>
        <w:jc w:val="both"/>
        <w:rPr>
          <w:rFonts w:eastAsia="Calibri"/>
          <w:szCs w:val="24"/>
          <w:lang w:eastAsia="en-US"/>
        </w:rPr>
      </w:pPr>
      <w:r w:rsidRPr="00C714FC">
        <w:rPr>
          <w:rFonts w:eastAsia="Calibri"/>
          <w:szCs w:val="24"/>
          <w:lang w:eastAsia="en-US"/>
        </w:rPr>
        <w:t>(i)</w:t>
      </w:r>
      <w:r w:rsidRPr="00C714FC">
        <w:rPr>
          <w:rFonts w:eastAsia="Calibri"/>
          <w:szCs w:val="24"/>
          <w:lang w:eastAsia="en-US"/>
        </w:rPr>
        <w:tab/>
        <w:t>točka (a) se nadomesti z naslednjim:</w:t>
      </w:r>
    </w:p>
    <w:p w:rsidR="00C714FC" w:rsidRPr="00C714FC" w:rsidRDefault="00C714FC" w:rsidP="00C714FC">
      <w:pPr>
        <w:widowControl/>
        <w:shd w:val="clear" w:color="auto" w:fill="FFFFFF"/>
        <w:spacing w:line="360" w:lineRule="auto"/>
        <w:ind w:left="2030"/>
        <w:contextualSpacing/>
        <w:rPr>
          <w:rFonts w:eastAsia="Calibri"/>
          <w:noProof/>
          <w:szCs w:val="24"/>
          <w:lang w:eastAsia="en-US"/>
        </w:rPr>
      </w:pPr>
      <w:r w:rsidRPr="00C714FC">
        <w:rPr>
          <w:rFonts w:eastAsia="Calibri"/>
          <w:noProof/>
          <w:szCs w:val="24"/>
          <w:lang w:eastAsia="en-US"/>
        </w:rPr>
        <w:t>„(a) sisteme javnega računovodstva in statističnega poročanja sektorja država;“</w:t>
      </w:r>
    </w:p>
    <w:p w:rsidR="00C714FC" w:rsidRPr="00C714FC" w:rsidRDefault="00C714FC" w:rsidP="00C714FC">
      <w:pPr>
        <w:widowControl/>
        <w:spacing w:before="120" w:after="120" w:line="360" w:lineRule="auto"/>
        <w:ind w:left="2030" w:hanging="567"/>
        <w:jc w:val="both"/>
        <w:rPr>
          <w:rFonts w:eastAsia="Calibri"/>
          <w:szCs w:val="24"/>
          <w:lang w:eastAsia="en-US"/>
        </w:rPr>
      </w:pPr>
      <w:r w:rsidRPr="00C714FC">
        <w:rPr>
          <w:rFonts w:eastAsia="Calibri"/>
          <w:szCs w:val="24"/>
          <w:lang w:eastAsia="en-US"/>
        </w:rPr>
        <w:t>(ii)</w:t>
      </w:r>
      <w:r w:rsidRPr="00C714FC">
        <w:rPr>
          <w:rFonts w:eastAsia="Calibri"/>
          <w:szCs w:val="24"/>
          <w:lang w:eastAsia="en-US"/>
        </w:rPr>
        <w:tab/>
        <w:t>točka (c) se nadomesti z naslednjim:</w:t>
      </w:r>
    </w:p>
    <w:p w:rsidR="00C714FC" w:rsidRPr="00C714FC" w:rsidRDefault="00C714FC" w:rsidP="00C714FC">
      <w:pPr>
        <w:widowControl/>
        <w:tabs>
          <w:tab w:val="left" w:pos="1984"/>
        </w:tabs>
        <w:spacing w:before="120" w:after="120" w:line="360" w:lineRule="auto"/>
        <w:ind w:left="2597" w:hanging="567"/>
        <w:jc w:val="both"/>
        <w:rPr>
          <w:rFonts w:eastAsia="Calibri"/>
          <w:noProof/>
          <w:szCs w:val="24"/>
          <w:lang w:eastAsia="en-US"/>
        </w:rPr>
      </w:pPr>
      <w:r w:rsidRPr="00C714FC">
        <w:rPr>
          <w:rFonts w:eastAsia="Calibri"/>
          <w:noProof/>
          <w:szCs w:val="24"/>
          <w:lang w:eastAsia="en-US"/>
        </w:rPr>
        <w:t xml:space="preserve">(c) </w:t>
      </w:r>
      <w:r w:rsidRPr="00C714FC">
        <w:rPr>
          <w:rFonts w:eastAsia="Calibri"/>
          <w:noProof/>
          <w:szCs w:val="24"/>
          <w:lang w:eastAsia="en-US"/>
        </w:rPr>
        <w:tab/>
        <w:t xml:space="preserve">numerična fiskalna pravila, prilagojena posamezni državi, ki prispevajo k </w:t>
      </w:r>
      <w:r w:rsidRPr="00C714FC">
        <w:rPr>
          <w:rFonts w:eastAsia="Calibri"/>
          <w:szCs w:val="24"/>
          <w:lang w:eastAsia="en-US"/>
        </w:rPr>
        <w:t>temu</w:t>
      </w:r>
      <w:r w:rsidRPr="00C714FC">
        <w:rPr>
          <w:rFonts w:eastAsia="Calibri"/>
          <w:noProof/>
          <w:szCs w:val="24"/>
          <w:lang w:eastAsia="en-US"/>
        </w:rPr>
        <w:t>, da je vodenje fiskalne politike držav članic skladno z njihovimi obveznostmi iz PDEU, in ki so izražena v obliki kazalnika proračunske uspešnosti, kot so npr. javnofinančni primanjkljaj, zadolževanje, dolg ali njihovi pomembnejši sestavni deli;“;</w:t>
      </w:r>
    </w:p>
    <w:p w:rsidR="00C714FC" w:rsidRPr="00C714FC" w:rsidRDefault="00C714FC" w:rsidP="00C714FC">
      <w:pPr>
        <w:widowControl/>
        <w:spacing w:before="120" w:after="120" w:line="360" w:lineRule="auto"/>
        <w:ind w:left="2007" w:hanging="567"/>
        <w:jc w:val="both"/>
        <w:rPr>
          <w:rFonts w:eastAsia="Calibri"/>
          <w:szCs w:val="24"/>
          <w:lang w:eastAsia="en-US"/>
        </w:rPr>
      </w:pPr>
      <w:r w:rsidRPr="00C714FC">
        <w:rPr>
          <w:rFonts w:eastAsia="Calibri"/>
          <w:szCs w:val="24"/>
          <w:lang w:eastAsia="en-US"/>
        </w:rPr>
        <w:t>(iii)</w:t>
      </w:r>
      <w:r w:rsidRPr="00C714FC">
        <w:rPr>
          <w:rFonts w:eastAsia="Calibri"/>
          <w:szCs w:val="24"/>
          <w:lang w:eastAsia="en-US"/>
        </w:rPr>
        <w:tab/>
        <w:t>točka (e) se nadomesti z naslednjim:</w:t>
      </w:r>
    </w:p>
    <w:p w:rsidR="00C714FC" w:rsidRPr="00C714FC" w:rsidRDefault="00C714FC" w:rsidP="00C714FC">
      <w:pPr>
        <w:widowControl/>
        <w:tabs>
          <w:tab w:val="left" w:pos="1984"/>
        </w:tabs>
        <w:spacing w:before="120" w:after="120" w:line="360" w:lineRule="auto"/>
        <w:ind w:left="2574" w:hanging="567"/>
        <w:jc w:val="both"/>
        <w:rPr>
          <w:color w:val="000000"/>
          <w:szCs w:val="24"/>
          <w:lang w:eastAsia="en-US"/>
        </w:rPr>
      </w:pPr>
      <w:r w:rsidRPr="00C714FC">
        <w:rPr>
          <w:rFonts w:eastAsia="Calibri"/>
          <w:szCs w:val="24"/>
          <w:lang w:eastAsia="en-US"/>
        </w:rPr>
        <w:t xml:space="preserve">„(e) </w:t>
      </w:r>
      <w:r w:rsidRPr="00C714FC">
        <w:rPr>
          <w:rFonts w:eastAsia="Calibri"/>
          <w:szCs w:val="24"/>
          <w:lang w:eastAsia="en-US"/>
        </w:rPr>
        <w:tab/>
        <w:t xml:space="preserve">srednjeročne proračunske okvire kot poseben niz nacionalnih </w:t>
      </w:r>
      <w:r w:rsidRPr="00C714FC">
        <w:rPr>
          <w:rFonts w:eastAsia="Calibri"/>
          <w:noProof/>
          <w:szCs w:val="24"/>
          <w:lang w:eastAsia="en-US"/>
        </w:rPr>
        <w:t>proračunskih</w:t>
      </w:r>
      <w:r w:rsidRPr="00C714FC">
        <w:rPr>
          <w:rFonts w:eastAsia="Calibri"/>
          <w:szCs w:val="24"/>
          <w:lang w:eastAsia="en-US"/>
        </w:rPr>
        <w:t xml:space="preserve"> postopkov, ki podaljšujejo obdobje za oblikovanje fiskalnih politik prek letnega proračunskega koledarja, vključno z določanjem prednostnih nalog politik in nacionalnih proračunskih ciljev v srednjeročnem obdobju;“;</w:t>
      </w:r>
    </w:p>
    <w:p w:rsidR="00C714FC" w:rsidRPr="00C714FC" w:rsidRDefault="00C714FC" w:rsidP="00C714FC">
      <w:pPr>
        <w:widowControl/>
        <w:spacing w:before="120" w:after="120" w:line="360" w:lineRule="auto"/>
        <w:ind w:left="2007" w:hanging="567"/>
        <w:jc w:val="both"/>
        <w:rPr>
          <w:rFonts w:eastAsia="Calibri"/>
          <w:szCs w:val="24"/>
          <w:lang w:eastAsia="en-US"/>
        </w:rPr>
      </w:pPr>
      <w:r w:rsidRPr="00C714FC">
        <w:rPr>
          <w:rFonts w:eastAsia="Calibri"/>
          <w:szCs w:val="24"/>
          <w:lang w:eastAsia="en-US"/>
        </w:rPr>
        <w:t>(iv)</w:t>
      </w:r>
      <w:r w:rsidRPr="00C714FC">
        <w:rPr>
          <w:rFonts w:eastAsia="Calibri"/>
          <w:szCs w:val="24"/>
          <w:lang w:eastAsia="en-US"/>
        </w:rPr>
        <w:tab/>
        <w:t>doda se naslednja točka (h):</w:t>
      </w:r>
    </w:p>
    <w:p w:rsidR="00C714FC" w:rsidRPr="00C714FC" w:rsidRDefault="00C714FC" w:rsidP="00C714FC">
      <w:pPr>
        <w:widowControl/>
        <w:tabs>
          <w:tab w:val="left" w:pos="1984"/>
        </w:tabs>
        <w:spacing w:before="120" w:after="120" w:line="360" w:lineRule="auto"/>
        <w:ind w:left="2727" w:hanging="567"/>
        <w:jc w:val="both"/>
        <w:rPr>
          <w:rFonts w:eastAsia="Calibri"/>
          <w:szCs w:val="24"/>
          <w:lang w:eastAsia="en-US"/>
        </w:rPr>
      </w:pPr>
      <w:r w:rsidRPr="00C714FC">
        <w:rPr>
          <w:rFonts w:eastAsia="Calibri"/>
          <w:szCs w:val="24"/>
          <w:lang w:eastAsia="en-US"/>
        </w:rPr>
        <w:t xml:space="preserve">(h) </w:t>
      </w:r>
      <w:r w:rsidRPr="00C714FC">
        <w:rPr>
          <w:rFonts w:eastAsia="Calibri"/>
          <w:szCs w:val="24"/>
          <w:lang w:eastAsia="en-US"/>
        </w:rPr>
        <w:tab/>
        <w:t>neodvisne fiskalne institucije kot strukturno neodvisne organe ali organe, ki so funkcionalno neodvisni od proračunskih organov držav članic, ter so ustanovljene z nacionalnimi pravnimi določbami v skladu s členom 8.“;</w:t>
      </w:r>
    </w:p>
    <w:p w:rsidR="00C714FC" w:rsidRPr="00C714FC" w:rsidRDefault="00C714FC" w:rsidP="00C714FC">
      <w:pPr>
        <w:widowControl/>
        <w:spacing w:before="120" w:after="120" w:line="360" w:lineRule="auto"/>
        <w:jc w:val="both"/>
        <w:rPr>
          <w:rFonts w:eastAsia="Calibri"/>
          <w:szCs w:val="24"/>
          <w:lang w:eastAsia="en-US"/>
        </w:rPr>
      </w:pPr>
      <w:r w:rsidRPr="00C714FC">
        <w:rPr>
          <w:rFonts w:eastAsia="Calibri"/>
          <w:szCs w:val="24"/>
          <w:lang w:eastAsia="en-US"/>
        </w:rPr>
        <w:t xml:space="preserve">(2) </w:t>
      </w:r>
      <w:r w:rsidRPr="00C714FC">
        <w:rPr>
          <w:rFonts w:eastAsia="Calibri"/>
          <w:szCs w:val="24"/>
          <w:lang w:eastAsia="en-US"/>
        </w:rPr>
        <w:tab/>
        <w:t>člen 3 se nadomesti z naslednjim:</w:t>
      </w:r>
    </w:p>
    <w:p w:rsidR="00C714FC" w:rsidRPr="00C714FC" w:rsidRDefault="00C714FC" w:rsidP="00C714FC">
      <w:pPr>
        <w:widowControl/>
        <w:spacing w:before="120" w:after="120" w:line="360" w:lineRule="auto"/>
        <w:ind w:left="1571" w:hanging="851"/>
        <w:jc w:val="both"/>
        <w:rPr>
          <w:rFonts w:eastAsia="Calibri"/>
          <w:szCs w:val="24"/>
          <w:lang w:eastAsia="en-US"/>
        </w:rPr>
      </w:pPr>
      <w:r w:rsidRPr="00C714FC">
        <w:rPr>
          <w:rFonts w:eastAsia="Calibri"/>
          <w:szCs w:val="24"/>
          <w:lang w:eastAsia="en-US"/>
        </w:rPr>
        <w:t xml:space="preserve">„1. </w:t>
      </w:r>
      <w:r w:rsidRPr="00C714FC">
        <w:rPr>
          <w:rFonts w:eastAsia="Calibri"/>
          <w:szCs w:val="24"/>
          <w:lang w:eastAsia="en-US"/>
        </w:rPr>
        <w:tab/>
        <w:t>Države članice vzpostavijo nacionalne sisteme javnega računovodstva, ki v celoti in dosledno pokrivajo vse podsektorje države in vsebujejo informacije, potrebne za zbiranje podatkov na podlagi nastanka poslovnega dogodka zaradi priprave podatkov, temelječih na Evropskem sistemu nacionalnih in regionalnih računov. Ti sistemi javnega računovodstva v sektorju država so predmet notranjega nadzora in neodvisne revizije.</w:t>
      </w:r>
    </w:p>
    <w:p w:rsidR="00C714FC" w:rsidRPr="00C714FC" w:rsidRDefault="00C714FC" w:rsidP="00C714FC">
      <w:pPr>
        <w:widowControl/>
        <w:shd w:val="clear" w:color="auto" w:fill="FFFFFF"/>
        <w:spacing w:before="120" w:line="360" w:lineRule="auto"/>
        <w:ind w:left="1571" w:hanging="851"/>
        <w:jc w:val="both"/>
        <w:rPr>
          <w:rFonts w:eastAsia="Calibri"/>
          <w:bCs/>
          <w:szCs w:val="24"/>
          <w:lang w:eastAsia="en-US"/>
        </w:rPr>
      </w:pPr>
      <w:r w:rsidRPr="00C714FC">
        <w:rPr>
          <w:rFonts w:eastAsia="Calibri"/>
          <w:szCs w:val="24"/>
          <w:lang w:eastAsia="en-US"/>
        </w:rPr>
        <w:lastRenderedPageBreak/>
        <w:t xml:space="preserve">2. </w:t>
      </w:r>
      <w:r w:rsidRPr="00C714FC">
        <w:rPr>
          <w:rFonts w:eastAsia="Calibri"/>
          <w:szCs w:val="24"/>
          <w:lang w:eastAsia="en-US"/>
        </w:rPr>
        <w:tab/>
        <w:t>Države članice zagotavljajo pravočasno in redno objavljanje javnofinančnih podatkov za vse podsektorje države, kot je opredeljeno v Uredbi (EU) št. 549/2013 Evropskega parlamenta in Sveta*. Države članice za centralno državo, regionalno državo, lokalno državo in sklade socialne varnosti objavijo zlasti podatke o četrtletnem dolgu in, razen če imajo vzpostavljene integrirane, celovite in nacionalno usklajene sisteme finančnega računovodstva na podlagi nastanka poslovnega dogodka, podatke o primanjkljaju ločeno, in sicer pred koncem naslednjega četrtletja ali po tem, ko Komisija (Eurostat) objavi ustrezne podatke.</w:t>
      </w:r>
    </w:p>
    <w:p w:rsidR="00C714FC" w:rsidRPr="00C714FC" w:rsidRDefault="00C714FC" w:rsidP="00C714FC">
      <w:pPr>
        <w:widowControl/>
        <w:shd w:val="clear" w:color="auto" w:fill="FFFFFF"/>
        <w:spacing w:before="120" w:line="360" w:lineRule="auto"/>
        <w:ind w:left="1571" w:hanging="851"/>
        <w:jc w:val="both"/>
        <w:rPr>
          <w:rFonts w:eastAsia="Calibri"/>
          <w:szCs w:val="24"/>
          <w:lang w:eastAsia="en-US"/>
        </w:rPr>
      </w:pPr>
      <w:r w:rsidRPr="00C714FC">
        <w:rPr>
          <w:rFonts w:eastAsia="Calibri"/>
          <w:szCs w:val="24"/>
          <w:lang w:eastAsia="en-US"/>
        </w:rPr>
        <w:t xml:space="preserve">3. </w:t>
      </w:r>
      <w:r w:rsidRPr="00C714FC">
        <w:rPr>
          <w:rFonts w:eastAsia="Calibri"/>
          <w:szCs w:val="24"/>
          <w:lang w:eastAsia="en-US"/>
        </w:rPr>
        <w:tab/>
        <w:t>Komisija (Eurostat) vsake tri mesece objavi četrtletne javnofinančne statistične podatke v skladu s tabelami 25, 27 in 28 iz Priloge B k Uredbi (EU) št. 549/2013.</w:t>
      </w:r>
    </w:p>
    <w:p w:rsidR="00C714FC" w:rsidRPr="00C714FC" w:rsidRDefault="00C714FC" w:rsidP="00C714FC">
      <w:pPr>
        <w:widowControl/>
        <w:shd w:val="clear" w:color="auto" w:fill="FFFFFF"/>
        <w:spacing w:line="360" w:lineRule="auto"/>
        <w:ind w:left="360" w:firstLine="360"/>
        <w:contextualSpacing/>
        <w:rPr>
          <w:rFonts w:eastAsia="Calibri"/>
          <w:noProof/>
          <w:color w:val="000000"/>
          <w:szCs w:val="24"/>
          <w:lang w:eastAsia="en-US"/>
        </w:rPr>
      </w:pPr>
      <w:r w:rsidRPr="00C714FC">
        <w:rPr>
          <w:rFonts w:eastAsia="Calibri"/>
          <w:noProof/>
          <w:color w:val="000000"/>
          <w:szCs w:val="24"/>
          <w:lang w:eastAsia="en-US"/>
        </w:rPr>
        <w:t>________________</w:t>
      </w:r>
    </w:p>
    <w:p w:rsidR="00C714FC" w:rsidRPr="00C714FC" w:rsidRDefault="00C714FC" w:rsidP="00C714FC">
      <w:pPr>
        <w:widowControl/>
        <w:spacing w:after="200" w:line="360" w:lineRule="auto"/>
        <w:ind w:left="720"/>
        <w:contextualSpacing/>
        <w:jc w:val="both"/>
        <w:rPr>
          <w:rFonts w:eastAsia="Calibri"/>
          <w:noProof/>
          <w:szCs w:val="24"/>
          <w:lang w:eastAsia="en-US"/>
        </w:rPr>
      </w:pPr>
      <w:r w:rsidRPr="00C714FC">
        <w:rPr>
          <w:rFonts w:eastAsia="Calibri"/>
          <w:noProof/>
          <w:szCs w:val="24"/>
          <w:lang w:eastAsia="en-US"/>
        </w:rPr>
        <w:t>* UL L 174, 26.6.2013, str. 1.“;</w:t>
      </w:r>
    </w:p>
    <w:p w:rsidR="00C714FC" w:rsidRPr="00C714FC" w:rsidRDefault="00C714FC" w:rsidP="00C714FC">
      <w:pPr>
        <w:widowControl/>
        <w:shd w:val="clear" w:color="auto" w:fill="FFFFFF"/>
        <w:spacing w:before="120" w:line="360" w:lineRule="auto"/>
        <w:jc w:val="both"/>
        <w:rPr>
          <w:rFonts w:eastAsia="Calibri"/>
          <w:color w:val="000000"/>
          <w:szCs w:val="24"/>
          <w:lang w:eastAsia="en-US"/>
        </w:rPr>
      </w:pPr>
      <w:r w:rsidRPr="00C714FC">
        <w:rPr>
          <w:rFonts w:eastAsia="Calibri"/>
          <w:color w:val="000000"/>
          <w:szCs w:val="24"/>
          <w:lang w:eastAsia="en-US"/>
        </w:rPr>
        <w:t xml:space="preserve">(3) </w:t>
      </w:r>
      <w:r w:rsidRPr="00C714FC">
        <w:rPr>
          <w:rFonts w:eastAsia="Calibri"/>
          <w:color w:val="000000"/>
          <w:szCs w:val="24"/>
          <w:lang w:eastAsia="en-US"/>
        </w:rPr>
        <w:tab/>
        <w:t>člen 4 se spremeni:</w:t>
      </w:r>
    </w:p>
    <w:p w:rsidR="00C714FC" w:rsidRPr="00C714FC" w:rsidRDefault="00C714FC" w:rsidP="00C714FC">
      <w:pPr>
        <w:widowControl/>
        <w:spacing w:before="120" w:after="120" w:line="360" w:lineRule="auto"/>
        <w:ind w:left="1418" w:hanging="567"/>
        <w:jc w:val="both"/>
        <w:rPr>
          <w:rFonts w:eastAsia="Calibri"/>
          <w:szCs w:val="24"/>
          <w:lang w:eastAsia="en-US"/>
        </w:rPr>
      </w:pPr>
      <w:r w:rsidRPr="00C714FC">
        <w:rPr>
          <w:rFonts w:eastAsia="Calibri"/>
          <w:bCs/>
          <w:szCs w:val="24"/>
          <w:lang w:eastAsia="en-US"/>
        </w:rPr>
        <w:t>(a)</w:t>
      </w:r>
      <w:r w:rsidRPr="00C714FC">
        <w:rPr>
          <w:rFonts w:eastAsia="Calibri"/>
          <w:bCs/>
          <w:szCs w:val="24"/>
          <w:lang w:eastAsia="en-US"/>
        </w:rPr>
        <w:tab/>
      </w:r>
      <w:r w:rsidRPr="00C714FC">
        <w:rPr>
          <w:rFonts w:eastAsia="Calibri"/>
          <w:szCs w:val="24"/>
          <w:lang w:eastAsia="en-US"/>
        </w:rPr>
        <w:t>odstavek 1 se nadomesti z naslednjim:</w:t>
      </w:r>
    </w:p>
    <w:p w:rsidR="00C714FC" w:rsidRPr="00C714FC" w:rsidRDefault="00C714FC" w:rsidP="00C714FC">
      <w:pPr>
        <w:widowControl/>
        <w:spacing w:before="120" w:after="120" w:line="360" w:lineRule="auto"/>
        <w:ind w:left="1985" w:hanging="699"/>
        <w:jc w:val="both"/>
        <w:rPr>
          <w:rFonts w:eastAsia="Calibri"/>
          <w:szCs w:val="24"/>
          <w:lang w:eastAsia="en-US"/>
        </w:rPr>
      </w:pPr>
      <w:r w:rsidRPr="00C714FC">
        <w:rPr>
          <w:rFonts w:eastAsia="Calibri"/>
          <w:szCs w:val="24"/>
          <w:lang w:eastAsia="en-US"/>
        </w:rPr>
        <w:t xml:space="preserve">„1. </w:t>
      </w:r>
      <w:r w:rsidRPr="00C714FC">
        <w:rPr>
          <w:rFonts w:eastAsia="Calibri"/>
          <w:szCs w:val="24"/>
          <w:lang w:eastAsia="en-US"/>
        </w:rPr>
        <w:tab/>
        <w:t>Države članice zagotovijo, da letno in večletno javnofinančno načrtovanje temelji na realističnih makroekonomskih in proračunskih napovedih, pri čemer se uporabljajo najnovejše informacije. Proračunsko načrtovanje temelji na najverjetnejšem makrofiskalnem scenariju ali na previdnejšem scenariju. Makroekonomske in proračunske napovedi se primerjajo z najnovejšimi napovedmi Komisije in, če je primerno, z napovedmi drugih neodvisnih organov. Znatne razlike med makroekonomskimi in proračunskimi napovedmi države članice in napovedmi Komisije se pojasnijo, tudi kadar raven ali rast spremenljivk v zunanjih predpostavkah znatno odstopa od vrednosti v napovedih Komisije.“;</w:t>
      </w:r>
    </w:p>
    <w:p w:rsidR="00C714FC" w:rsidRPr="00C714FC" w:rsidRDefault="00C714FC" w:rsidP="00C714FC">
      <w:pPr>
        <w:widowControl/>
        <w:spacing w:before="120" w:after="120" w:line="360" w:lineRule="auto"/>
        <w:ind w:left="1418" w:hanging="567"/>
        <w:jc w:val="both"/>
        <w:rPr>
          <w:rFonts w:eastAsia="Calibri"/>
          <w:szCs w:val="24"/>
          <w:lang w:eastAsia="en-US"/>
        </w:rPr>
      </w:pPr>
      <w:r w:rsidRPr="00C714FC">
        <w:rPr>
          <w:rFonts w:eastAsia="Calibri"/>
          <w:bCs/>
          <w:szCs w:val="24"/>
          <w:lang w:eastAsia="en-US"/>
        </w:rPr>
        <w:t>(b)</w:t>
      </w:r>
      <w:r w:rsidRPr="00C714FC">
        <w:rPr>
          <w:rFonts w:eastAsia="Calibri"/>
          <w:bCs/>
          <w:szCs w:val="24"/>
          <w:lang w:eastAsia="en-US"/>
        </w:rPr>
        <w:tab/>
      </w:r>
      <w:r w:rsidRPr="00C714FC">
        <w:rPr>
          <w:rFonts w:eastAsia="Calibri"/>
          <w:szCs w:val="24"/>
          <w:lang w:eastAsia="en-US"/>
        </w:rPr>
        <w:t>odstavek 4 se črta;</w:t>
      </w:r>
    </w:p>
    <w:p w:rsidR="00C714FC" w:rsidRPr="00C714FC" w:rsidRDefault="00C714FC" w:rsidP="00C714FC">
      <w:pPr>
        <w:widowControl/>
        <w:spacing w:before="120" w:after="120" w:line="360" w:lineRule="auto"/>
        <w:ind w:left="1418" w:hanging="567"/>
        <w:jc w:val="both"/>
        <w:rPr>
          <w:rFonts w:eastAsia="Calibri"/>
          <w:szCs w:val="24"/>
          <w:lang w:eastAsia="en-US"/>
        </w:rPr>
      </w:pPr>
      <w:r w:rsidRPr="00C714FC">
        <w:rPr>
          <w:rFonts w:eastAsia="Calibri"/>
          <w:bCs/>
          <w:szCs w:val="24"/>
          <w:lang w:eastAsia="en-US"/>
        </w:rPr>
        <w:t>(c)</w:t>
      </w:r>
      <w:r w:rsidRPr="00C714FC">
        <w:rPr>
          <w:rFonts w:eastAsia="Calibri"/>
          <w:bCs/>
          <w:szCs w:val="24"/>
          <w:lang w:eastAsia="en-US"/>
        </w:rPr>
        <w:tab/>
      </w:r>
      <w:r w:rsidRPr="00C714FC">
        <w:rPr>
          <w:rFonts w:eastAsia="Calibri"/>
          <w:szCs w:val="24"/>
          <w:lang w:eastAsia="en-US"/>
        </w:rPr>
        <w:t>odstavka 5 in 6 se nadomestita z naslednjim:</w:t>
      </w:r>
    </w:p>
    <w:p w:rsidR="00C714FC" w:rsidRPr="00C714FC" w:rsidRDefault="00C714FC" w:rsidP="00C714FC">
      <w:pPr>
        <w:widowControl/>
        <w:spacing w:before="120" w:after="120" w:line="360" w:lineRule="auto"/>
        <w:ind w:left="1985" w:hanging="567"/>
        <w:jc w:val="both"/>
        <w:rPr>
          <w:rFonts w:eastAsia="Calibri"/>
          <w:szCs w:val="24"/>
          <w:lang w:eastAsia="en-US"/>
        </w:rPr>
      </w:pPr>
      <w:r w:rsidRPr="00C714FC">
        <w:rPr>
          <w:rFonts w:eastAsia="Calibri"/>
          <w:szCs w:val="24"/>
          <w:lang w:eastAsia="en-US"/>
        </w:rPr>
        <w:t xml:space="preserve">„5. </w:t>
      </w:r>
      <w:r w:rsidRPr="00C714FC">
        <w:rPr>
          <w:rFonts w:eastAsia="Calibri"/>
          <w:szCs w:val="24"/>
          <w:lang w:eastAsia="en-US"/>
        </w:rPr>
        <w:tab/>
        <w:t xml:space="preserve">Države članice opredelijo, katera institucija je pristojna za pripravo makroekonomskih in proračunskih napovedi, in objavijo uradne makroekonomske in proračunske napovedi, pripravljene za javnofinančno načrtovanje. Države članice in Komisija vsaj enkrat letno vzpostavijo </w:t>
      </w:r>
      <w:r w:rsidRPr="00C714FC">
        <w:rPr>
          <w:rFonts w:eastAsia="Calibri"/>
          <w:szCs w:val="24"/>
          <w:lang w:eastAsia="en-US"/>
        </w:rPr>
        <w:lastRenderedPageBreak/>
        <w:t>tehnični dialog o predpostavkah, na katerih temelji priprava makroekonomskih in proračunskih napovedi.</w:t>
      </w:r>
    </w:p>
    <w:p w:rsidR="00C714FC" w:rsidRPr="00C714FC" w:rsidRDefault="00C714FC" w:rsidP="00C714FC">
      <w:pPr>
        <w:widowControl/>
        <w:spacing w:before="120" w:after="120" w:line="360" w:lineRule="auto"/>
        <w:ind w:left="1985" w:hanging="567"/>
        <w:jc w:val="both"/>
        <w:rPr>
          <w:rFonts w:eastAsia="Calibri"/>
          <w:szCs w:val="24"/>
          <w:lang w:eastAsia="en-US"/>
        </w:rPr>
      </w:pPr>
      <w:r w:rsidRPr="00C714FC">
        <w:rPr>
          <w:rFonts w:eastAsia="Calibri"/>
          <w:szCs w:val="24"/>
          <w:lang w:eastAsia="en-US"/>
        </w:rPr>
        <w:t xml:space="preserve">6. </w:t>
      </w:r>
      <w:r w:rsidRPr="00C714FC">
        <w:rPr>
          <w:rFonts w:eastAsia="Calibri"/>
          <w:szCs w:val="24"/>
          <w:lang w:eastAsia="en-US"/>
        </w:rPr>
        <w:tab/>
        <w:t>Makroekonomske in proračunske napovedi za letno in večletno javnofinančno načrtovanje so predmet rednih, objektivnih in celovitih naknadnih ocen neodvisnega organa ali drugih organov, ki so funkcionalno neodvisni od javnofinančnih organov držav članic in niso organ, ki pripravlja napoved.</w:t>
      </w:r>
      <w:r w:rsidRPr="00C714FC">
        <w:rPr>
          <w:rFonts w:eastAsia="Calibri"/>
          <w:color w:val="000000"/>
          <w:szCs w:val="24"/>
          <w:lang w:eastAsia="en-US"/>
        </w:rPr>
        <w:t xml:space="preserve"> Rezultat tega ocenjevanja se objavi in ustrezno upošteva v prihodnjih makroekonomskih in proračunskih napovedih. Če se med ocenjevanjem odkrije znatna pristranskost, ki vpliva na makroekonomske napovedi v obdobju vsaj štirih zaporednih let, zadevna država članica sprejme potrebne ukrepe in jih objavi.“;</w:t>
      </w:r>
    </w:p>
    <w:p w:rsidR="00C714FC" w:rsidRPr="00C714FC" w:rsidRDefault="00C714FC" w:rsidP="00C714FC">
      <w:pPr>
        <w:widowControl/>
        <w:spacing w:before="120" w:after="120" w:line="360" w:lineRule="auto"/>
        <w:ind w:left="1418" w:hanging="567"/>
        <w:jc w:val="both"/>
        <w:rPr>
          <w:rFonts w:eastAsia="Calibri"/>
          <w:b/>
          <w:szCs w:val="24"/>
          <w:lang w:eastAsia="en-US"/>
        </w:rPr>
      </w:pPr>
      <w:r w:rsidRPr="00C714FC">
        <w:rPr>
          <w:rFonts w:eastAsia="Calibri"/>
          <w:bCs/>
          <w:szCs w:val="24"/>
          <w:lang w:eastAsia="en-US"/>
        </w:rPr>
        <w:t>(d)</w:t>
      </w:r>
      <w:r w:rsidRPr="00C714FC">
        <w:rPr>
          <w:rFonts w:eastAsia="Calibri"/>
          <w:bCs/>
          <w:szCs w:val="24"/>
          <w:lang w:eastAsia="en-US"/>
        </w:rPr>
        <w:tab/>
      </w:r>
      <w:r w:rsidRPr="00C714FC">
        <w:rPr>
          <w:rFonts w:eastAsia="Calibri"/>
          <w:szCs w:val="24"/>
          <w:lang w:eastAsia="en-US"/>
        </w:rPr>
        <w:t>odstavek 7 se črta;</w:t>
      </w:r>
    </w:p>
    <w:p w:rsidR="00C714FC" w:rsidRPr="00C714FC" w:rsidRDefault="00C714FC" w:rsidP="00C714FC">
      <w:pPr>
        <w:widowControl/>
        <w:spacing w:before="120" w:after="120" w:line="360" w:lineRule="auto"/>
        <w:ind w:left="851" w:hanging="851"/>
        <w:jc w:val="both"/>
        <w:rPr>
          <w:rFonts w:eastAsia="Calibri"/>
          <w:b/>
          <w:bCs/>
          <w:szCs w:val="24"/>
          <w:lang w:eastAsia="en-US"/>
        </w:rPr>
      </w:pPr>
      <w:r w:rsidRPr="00C714FC">
        <w:rPr>
          <w:rFonts w:eastAsia="Calibri"/>
          <w:szCs w:val="24"/>
          <w:lang w:eastAsia="en-US"/>
        </w:rPr>
        <w:t xml:space="preserve">(4) </w:t>
      </w:r>
      <w:r w:rsidRPr="00C714FC">
        <w:rPr>
          <w:rFonts w:eastAsia="Calibri"/>
          <w:szCs w:val="24"/>
          <w:lang w:eastAsia="en-US"/>
        </w:rPr>
        <w:tab/>
        <w:t>člen 5 se nadomesti z naslednjim:</w:t>
      </w:r>
    </w:p>
    <w:p w:rsidR="00C714FC" w:rsidRPr="00C714FC" w:rsidRDefault="00C714FC" w:rsidP="00C714FC">
      <w:pPr>
        <w:widowControl/>
        <w:spacing w:before="120" w:after="120" w:line="360" w:lineRule="auto"/>
        <w:ind w:left="1418" w:hanging="567"/>
        <w:rPr>
          <w:rFonts w:eastAsia="Calibri"/>
          <w:i/>
          <w:iCs/>
          <w:szCs w:val="24"/>
          <w:lang w:eastAsia="en-US"/>
        </w:rPr>
      </w:pPr>
      <w:r w:rsidRPr="00C714FC">
        <w:rPr>
          <w:rFonts w:eastAsia="Calibri"/>
          <w:szCs w:val="24"/>
          <w:lang w:eastAsia="en-US"/>
        </w:rPr>
        <w:t>„Člen 5</w:t>
      </w:r>
    </w:p>
    <w:p w:rsidR="00C714FC" w:rsidRPr="00C714FC" w:rsidRDefault="00C714FC" w:rsidP="00C714FC">
      <w:pPr>
        <w:widowControl/>
        <w:spacing w:before="120" w:after="120" w:line="360" w:lineRule="auto"/>
        <w:ind w:left="851"/>
        <w:jc w:val="both"/>
        <w:rPr>
          <w:rFonts w:eastAsia="Calibri"/>
          <w:szCs w:val="24"/>
          <w:lang w:eastAsia="en-US"/>
        </w:rPr>
      </w:pPr>
      <w:r w:rsidRPr="00C714FC">
        <w:rPr>
          <w:rFonts w:eastAsia="Calibri"/>
          <w:szCs w:val="24"/>
          <w:lang w:eastAsia="en-US"/>
        </w:rPr>
        <w:t>Vsaka država članica vzpostavi specifična numerična fiskalna pravila, ki skozi večletno obdobje učinkovito spodbujajo k izpolnjevanju njenih obveznosti iz PDEU na področju proračunske politike za sektor država kot celoto. Ta pravila spodbujajo zlasti:</w:t>
      </w:r>
    </w:p>
    <w:p w:rsidR="00C714FC" w:rsidRPr="00C714FC" w:rsidRDefault="00C714FC" w:rsidP="00C714FC">
      <w:pPr>
        <w:widowControl/>
        <w:spacing w:before="120" w:after="120" w:line="360" w:lineRule="auto"/>
        <w:ind w:left="1418" w:hanging="567"/>
        <w:jc w:val="both"/>
        <w:rPr>
          <w:rFonts w:eastAsia="Calibri"/>
          <w:szCs w:val="24"/>
          <w:lang w:eastAsia="en-US"/>
        </w:rPr>
      </w:pPr>
      <w:r w:rsidRPr="00C714FC">
        <w:rPr>
          <w:rFonts w:eastAsia="Calibri"/>
          <w:szCs w:val="24"/>
          <w:lang w:eastAsia="en-US"/>
        </w:rPr>
        <w:t>(a)</w:t>
      </w:r>
      <w:r w:rsidRPr="00C714FC">
        <w:rPr>
          <w:rFonts w:eastAsia="Calibri"/>
          <w:szCs w:val="24"/>
          <w:lang w:eastAsia="en-US"/>
        </w:rPr>
        <w:tab/>
        <w:t xml:space="preserve">spoštovanje referenčnih vrednosti ter določb o primanjkljaju in dolgu, določenih v skladu s PDEU; </w:t>
      </w:r>
    </w:p>
    <w:p w:rsidR="00C714FC" w:rsidRPr="00C714FC" w:rsidRDefault="00C714FC" w:rsidP="00C714FC">
      <w:pPr>
        <w:widowControl/>
        <w:spacing w:before="120" w:after="120" w:line="360" w:lineRule="auto"/>
        <w:ind w:left="1418" w:hanging="567"/>
        <w:jc w:val="both"/>
        <w:rPr>
          <w:rFonts w:eastAsia="Calibri"/>
          <w:bCs/>
          <w:szCs w:val="24"/>
          <w:lang w:eastAsia="en-US"/>
        </w:rPr>
      </w:pPr>
      <w:r w:rsidRPr="00C714FC">
        <w:rPr>
          <w:rFonts w:eastAsia="Calibri"/>
          <w:szCs w:val="24"/>
          <w:lang w:eastAsia="en-US"/>
        </w:rPr>
        <w:t>(b)</w:t>
      </w:r>
      <w:r w:rsidRPr="00C714FC">
        <w:rPr>
          <w:rFonts w:eastAsia="Calibri"/>
          <w:szCs w:val="24"/>
          <w:lang w:eastAsia="en-US"/>
        </w:rPr>
        <w:tab/>
        <w:t>uvedbo srednjeročnega javnofinančnega načrtovanja v skladu z določbami Uredbe [XXX preventivni del Pakta za stabilnost in rast]*.</w:t>
      </w:r>
    </w:p>
    <w:p w:rsidR="00C714FC" w:rsidRPr="00C714FC" w:rsidRDefault="00C714FC" w:rsidP="00C714FC">
      <w:pPr>
        <w:widowControl/>
        <w:spacing w:before="120" w:after="120" w:line="360" w:lineRule="auto"/>
        <w:ind w:left="851"/>
        <w:jc w:val="both"/>
        <w:rPr>
          <w:rFonts w:eastAsia="Calibri"/>
          <w:szCs w:val="24"/>
          <w:u w:val="single"/>
          <w:lang w:eastAsia="en-US"/>
        </w:rPr>
      </w:pPr>
      <w:r w:rsidRPr="00C714FC">
        <w:rPr>
          <w:rFonts w:eastAsia="Calibri"/>
          <w:szCs w:val="24"/>
          <w:u w:val="single"/>
          <w:lang w:eastAsia="en-US"/>
        </w:rPr>
        <w:t>__________________</w:t>
      </w:r>
    </w:p>
    <w:p w:rsidR="00C714FC" w:rsidRPr="00C714FC" w:rsidRDefault="00C714FC" w:rsidP="00C714FC">
      <w:pPr>
        <w:widowControl/>
        <w:spacing w:before="120" w:after="120" w:line="360" w:lineRule="auto"/>
        <w:ind w:left="851"/>
        <w:jc w:val="both"/>
        <w:rPr>
          <w:rFonts w:eastAsia="Calibri"/>
          <w:szCs w:val="24"/>
          <w:lang w:eastAsia="en-US"/>
        </w:rPr>
      </w:pPr>
      <w:r w:rsidRPr="00C714FC">
        <w:rPr>
          <w:rFonts w:eastAsia="Calibri"/>
          <w:szCs w:val="24"/>
          <w:lang w:eastAsia="en-US"/>
        </w:rPr>
        <w:t>* Uredba (EU) Evropskega parlamenta in Sveta z dne [</w:t>
      </w:r>
      <w:r w:rsidRPr="00C714FC">
        <w:rPr>
          <w:rFonts w:eastAsia="Calibri"/>
          <w:i/>
          <w:szCs w:val="24"/>
          <w:lang w:eastAsia="en-US"/>
        </w:rPr>
        <w:t>vstaviti datum</w:t>
      </w:r>
      <w:r w:rsidRPr="00C714FC">
        <w:rPr>
          <w:rFonts w:eastAsia="Calibri"/>
          <w:szCs w:val="24"/>
          <w:lang w:eastAsia="en-US"/>
        </w:rPr>
        <w:t>] [</w:t>
      </w:r>
      <w:r w:rsidRPr="00C714FC">
        <w:rPr>
          <w:rFonts w:eastAsia="Calibri"/>
          <w:i/>
          <w:szCs w:val="24"/>
          <w:lang w:eastAsia="en-US"/>
        </w:rPr>
        <w:t>vstaviti naslov v celoti</w:t>
      </w:r>
      <w:r w:rsidRPr="00C714FC">
        <w:rPr>
          <w:rFonts w:eastAsia="Calibri"/>
          <w:szCs w:val="24"/>
          <w:lang w:eastAsia="en-US"/>
        </w:rPr>
        <w:t>] (UL L ...).“;</w:t>
      </w:r>
    </w:p>
    <w:p w:rsidR="00C714FC" w:rsidRPr="00C714FC" w:rsidRDefault="00C714FC" w:rsidP="00C714FC">
      <w:pPr>
        <w:widowControl/>
        <w:spacing w:before="120" w:after="120" w:line="360" w:lineRule="auto"/>
        <w:ind w:left="851" w:hanging="851"/>
        <w:jc w:val="both"/>
        <w:rPr>
          <w:rFonts w:eastAsia="Calibri"/>
          <w:i/>
          <w:szCs w:val="24"/>
          <w:lang w:eastAsia="en-US"/>
        </w:rPr>
      </w:pPr>
      <w:r w:rsidRPr="00C714FC">
        <w:rPr>
          <w:rFonts w:eastAsia="Calibri"/>
          <w:szCs w:val="24"/>
          <w:lang w:eastAsia="en-US"/>
        </w:rPr>
        <w:t xml:space="preserve">(5) </w:t>
      </w:r>
      <w:r w:rsidRPr="00C714FC">
        <w:rPr>
          <w:rFonts w:eastAsia="Calibri"/>
          <w:szCs w:val="24"/>
          <w:lang w:eastAsia="en-US"/>
        </w:rPr>
        <w:tab/>
        <w:t>člen 6 se spremeni:</w:t>
      </w:r>
    </w:p>
    <w:p w:rsidR="00C714FC" w:rsidRPr="00C714FC" w:rsidRDefault="00C714FC" w:rsidP="00C714FC">
      <w:pPr>
        <w:keepNext/>
        <w:widowControl/>
        <w:spacing w:before="360" w:after="120" w:line="360" w:lineRule="auto"/>
        <w:ind w:left="1418" w:hanging="567"/>
        <w:jc w:val="both"/>
        <w:rPr>
          <w:rFonts w:eastAsia="Calibri"/>
          <w:iCs/>
          <w:szCs w:val="24"/>
          <w:lang w:eastAsia="en-US"/>
        </w:rPr>
      </w:pPr>
      <w:r w:rsidRPr="00C714FC">
        <w:rPr>
          <w:rFonts w:eastAsia="Calibri"/>
          <w:szCs w:val="24"/>
          <w:lang w:eastAsia="en-US"/>
        </w:rPr>
        <w:t xml:space="preserve">(a) </w:t>
      </w:r>
      <w:r w:rsidRPr="00C714FC">
        <w:rPr>
          <w:rFonts w:eastAsia="Calibri"/>
          <w:szCs w:val="24"/>
          <w:lang w:eastAsia="en-US"/>
        </w:rPr>
        <w:tab/>
        <w:t>v odstavku 1 se točka (b) nadomesti z naslednjim:</w:t>
      </w:r>
    </w:p>
    <w:p w:rsidR="00C714FC" w:rsidRPr="00C714FC" w:rsidRDefault="00C714FC" w:rsidP="00C714FC">
      <w:pPr>
        <w:keepNext/>
        <w:widowControl/>
        <w:spacing w:before="360" w:after="120" w:line="360" w:lineRule="auto"/>
        <w:ind w:left="1963" w:hanging="545"/>
        <w:jc w:val="both"/>
        <w:rPr>
          <w:rFonts w:eastAsia="Calibri"/>
          <w:iCs/>
          <w:szCs w:val="24"/>
          <w:lang w:eastAsia="en-US"/>
        </w:rPr>
      </w:pPr>
      <w:r w:rsidRPr="00C714FC">
        <w:rPr>
          <w:rFonts w:eastAsia="Calibri"/>
          <w:szCs w:val="24"/>
          <w:lang w:eastAsia="en-US"/>
        </w:rPr>
        <w:t xml:space="preserve">„(b) </w:t>
      </w:r>
      <w:r w:rsidRPr="00C714FC">
        <w:rPr>
          <w:rFonts w:eastAsia="Calibri"/>
          <w:szCs w:val="24"/>
          <w:lang w:eastAsia="en-US"/>
        </w:rPr>
        <w:tab/>
        <w:t xml:space="preserve">učinkovito in pravočasno spremljanje upoštevanja pravil na podlagi zanesljive in neodvisne analize, ki jo izvedejo neodvisne fiskalne </w:t>
      </w:r>
      <w:r w:rsidRPr="00C714FC">
        <w:rPr>
          <w:rFonts w:eastAsia="Calibri"/>
          <w:szCs w:val="24"/>
          <w:lang w:eastAsia="en-US"/>
        </w:rPr>
        <w:lastRenderedPageBreak/>
        <w:t>institucije, ustanovljene v skladu s členom 8, ali drugi organi, ki so funkcionalno neodvisni od javnofinančnih organov držav članic;“</w:t>
      </w:r>
    </w:p>
    <w:p w:rsidR="00C714FC" w:rsidRPr="00C714FC" w:rsidRDefault="00C714FC" w:rsidP="00C714FC">
      <w:pPr>
        <w:widowControl/>
        <w:spacing w:before="120" w:after="120" w:line="360" w:lineRule="auto"/>
        <w:ind w:left="1418" w:hanging="567"/>
        <w:jc w:val="both"/>
        <w:rPr>
          <w:rFonts w:eastAsia="Calibri"/>
          <w:iCs/>
          <w:szCs w:val="24"/>
          <w:lang w:eastAsia="en-US"/>
        </w:rPr>
      </w:pPr>
      <w:r w:rsidRPr="00C714FC">
        <w:rPr>
          <w:rFonts w:eastAsia="Calibri"/>
          <w:szCs w:val="24"/>
          <w:lang w:eastAsia="en-US"/>
        </w:rPr>
        <w:t xml:space="preserve">(b) </w:t>
      </w:r>
      <w:r w:rsidRPr="00C714FC">
        <w:rPr>
          <w:rFonts w:eastAsia="Calibri"/>
          <w:szCs w:val="24"/>
          <w:lang w:eastAsia="en-US"/>
        </w:rPr>
        <w:tab/>
        <w:t>odstavek 2 se nadomesti z naslednjim:</w:t>
      </w:r>
    </w:p>
    <w:p w:rsidR="00C714FC" w:rsidRPr="00C714FC" w:rsidRDefault="00C714FC" w:rsidP="00C714FC">
      <w:pPr>
        <w:widowControl/>
        <w:spacing w:before="120" w:after="120" w:line="360" w:lineRule="auto"/>
        <w:ind w:left="1440"/>
        <w:jc w:val="both"/>
        <w:rPr>
          <w:rFonts w:eastAsia="Calibri"/>
          <w:iCs/>
          <w:szCs w:val="24"/>
          <w:lang w:eastAsia="en-US"/>
        </w:rPr>
      </w:pPr>
      <w:r w:rsidRPr="00C714FC">
        <w:rPr>
          <w:rFonts w:eastAsia="Calibri"/>
          <w:szCs w:val="24"/>
          <w:lang w:eastAsia="en-US"/>
        </w:rPr>
        <w:t>„Če numerična fiskalna pravila vsebujejo odstopne klavzule, morajo te določati omejeno število posebnih okoliščin, skladnih z obveznostmi držav članic , ki izhajajo iz PDEU in Uredbe [XXX preventivni del Pakta za stabilnost in rast].“</w:t>
      </w:r>
    </w:p>
    <w:p w:rsidR="00C714FC" w:rsidRPr="00C714FC" w:rsidRDefault="00C714FC" w:rsidP="00C714FC">
      <w:pPr>
        <w:widowControl/>
        <w:spacing w:before="120" w:after="120" w:line="360" w:lineRule="auto"/>
        <w:ind w:left="851" w:hanging="851"/>
        <w:jc w:val="both"/>
        <w:rPr>
          <w:rFonts w:eastAsia="Calibri"/>
          <w:iCs/>
          <w:szCs w:val="24"/>
          <w:lang w:eastAsia="en-US"/>
        </w:rPr>
      </w:pPr>
      <w:r w:rsidRPr="00C714FC">
        <w:rPr>
          <w:rFonts w:eastAsia="Calibri"/>
          <w:szCs w:val="24"/>
          <w:lang w:eastAsia="en-US"/>
        </w:rPr>
        <w:t xml:space="preserve">(6) </w:t>
      </w:r>
      <w:r w:rsidRPr="00C714FC">
        <w:rPr>
          <w:rFonts w:eastAsia="Calibri"/>
          <w:szCs w:val="24"/>
          <w:lang w:eastAsia="en-US"/>
        </w:rPr>
        <w:tab/>
        <w:t>člen 7 se nadomesti z naslednjim:</w:t>
      </w:r>
    </w:p>
    <w:p w:rsidR="00C714FC" w:rsidRPr="00C714FC" w:rsidRDefault="00C714FC" w:rsidP="00C714FC">
      <w:pPr>
        <w:widowControl/>
        <w:spacing w:before="120" w:after="120" w:line="360" w:lineRule="auto"/>
        <w:ind w:left="851"/>
        <w:rPr>
          <w:rFonts w:eastAsia="Calibri"/>
          <w:szCs w:val="24"/>
          <w:lang w:eastAsia="en-US"/>
        </w:rPr>
      </w:pPr>
      <w:r w:rsidRPr="00C714FC">
        <w:rPr>
          <w:rFonts w:eastAsia="Calibri"/>
          <w:szCs w:val="24"/>
          <w:lang w:eastAsia="en-US"/>
        </w:rPr>
        <w:t>„Člen 7</w:t>
      </w:r>
    </w:p>
    <w:p w:rsidR="00C714FC" w:rsidRPr="00C714FC" w:rsidRDefault="00C714FC" w:rsidP="00C714FC">
      <w:pPr>
        <w:widowControl/>
        <w:shd w:val="clear" w:color="auto" w:fill="FFFFFF"/>
        <w:spacing w:before="120" w:line="360" w:lineRule="auto"/>
        <w:ind w:left="851"/>
        <w:jc w:val="both"/>
        <w:rPr>
          <w:color w:val="000000"/>
          <w:szCs w:val="24"/>
          <w:lang w:eastAsia="en-US"/>
        </w:rPr>
      </w:pPr>
      <w:r w:rsidRPr="00C714FC">
        <w:rPr>
          <w:rFonts w:eastAsia="Calibri"/>
          <w:szCs w:val="24"/>
          <w:lang w:eastAsia="en-US"/>
        </w:rPr>
        <w:t>Letna proračunska zakonodaja držav članic je usklajena z veljavnimi numeričnimi fiskalnimi pravili, prilagojenimi posamezni državi.“;</w:t>
      </w:r>
    </w:p>
    <w:p w:rsidR="00C714FC" w:rsidRPr="00C714FC" w:rsidRDefault="00C714FC" w:rsidP="00C714FC">
      <w:pPr>
        <w:widowControl/>
        <w:shd w:val="clear" w:color="auto" w:fill="FFFFFF"/>
        <w:spacing w:before="120" w:line="360" w:lineRule="auto"/>
        <w:ind w:left="851" w:hanging="851"/>
        <w:jc w:val="both"/>
        <w:rPr>
          <w:color w:val="000000"/>
          <w:szCs w:val="24"/>
          <w:lang w:eastAsia="en-US"/>
        </w:rPr>
      </w:pPr>
      <w:r w:rsidRPr="00C714FC">
        <w:rPr>
          <w:rFonts w:eastAsia="Calibri"/>
          <w:color w:val="000000"/>
          <w:szCs w:val="24"/>
          <w:lang w:eastAsia="en-US"/>
        </w:rPr>
        <w:t xml:space="preserve">(7) </w:t>
      </w:r>
      <w:r w:rsidRPr="00C714FC">
        <w:rPr>
          <w:rFonts w:eastAsia="Calibri"/>
          <w:color w:val="000000"/>
          <w:szCs w:val="24"/>
          <w:lang w:eastAsia="en-US"/>
        </w:rPr>
        <w:tab/>
        <w:t>v poglavju V se naslov nadomesti z besedilom „NEODVISNE FISKALNE INSTITUCIJE“;</w:t>
      </w:r>
    </w:p>
    <w:p w:rsidR="00C714FC" w:rsidRPr="00C714FC" w:rsidRDefault="00C714FC" w:rsidP="00C714FC">
      <w:pPr>
        <w:widowControl/>
        <w:shd w:val="clear" w:color="auto" w:fill="FFFFFF"/>
        <w:spacing w:before="120" w:line="360" w:lineRule="auto"/>
        <w:jc w:val="both"/>
        <w:rPr>
          <w:color w:val="000000"/>
          <w:szCs w:val="24"/>
          <w:lang w:eastAsia="en-US"/>
        </w:rPr>
      </w:pPr>
      <w:r w:rsidRPr="00C714FC">
        <w:rPr>
          <w:rFonts w:eastAsia="Calibri"/>
          <w:color w:val="000000"/>
          <w:szCs w:val="24"/>
          <w:lang w:eastAsia="en-US"/>
        </w:rPr>
        <w:t xml:space="preserve">(8) </w:t>
      </w:r>
      <w:r w:rsidRPr="00C714FC">
        <w:rPr>
          <w:rFonts w:eastAsia="Calibri"/>
          <w:color w:val="000000"/>
          <w:szCs w:val="24"/>
          <w:lang w:eastAsia="en-US"/>
        </w:rPr>
        <w:tab/>
        <w:t>člen 8 se nadomesti z naslednjim:</w:t>
      </w:r>
    </w:p>
    <w:p w:rsidR="00C714FC" w:rsidRPr="00C714FC" w:rsidRDefault="00C714FC" w:rsidP="00C714FC">
      <w:pPr>
        <w:widowControl/>
        <w:spacing w:before="120" w:after="120" w:line="360" w:lineRule="auto"/>
        <w:ind w:left="851"/>
        <w:rPr>
          <w:rFonts w:eastAsia="Calibri"/>
          <w:szCs w:val="24"/>
          <w:lang w:eastAsia="en-US"/>
        </w:rPr>
      </w:pPr>
      <w:r w:rsidRPr="00C714FC">
        <w:rPr>
          <w:rFonts w:eastAsia="Calibri"/>
          <w:szCs w:val="24"/>
          <w:lang w:eastAsia="en-US"/>
        </w:rPr>
        <w:t>„Člen 8</w:t>
      </w:r>
    </w:p>
    <w:p w:rsidR="00C714FC" w:rsidRPr="00C714FC" w:rsidRDefault="00C714FC" w:rsidP="00C714FC">
      <w:pPr>
        <w:widowControl/>
        <w:shd w:val="clear" w:color="auto" w:fill="FFFFFF"/>
        <w:spacing w:before="120" w:line="360" w:lineRule="auto"/>
        <w:ind w:left="1418" w:hanging="567"/>
        <w:jc w:val="both"/>
        <w:rPr>
          <w:rFonts w:eastAsia="Calibri"/>
          <w:szCs w:val="24"/>
          <w:lang w:eastAsia="en-US"/>
        </w:rPr>
      </w:pPr>
      <w:r w:rsidRPr="00C714FC">
        <w:rPr>
          <w:rFonts w:eastAsia="Calibri"/>
          <w:szCs w:val="24"/>
          <w:lang w:eastAsia="en-US"/>
        </w:rPr>
        <w:t xml:space="preserve">1. </w:t>
      </w:r>
      <w:r w:rsidRPr="00C714FC">
        <w:rPr>
          <w:rFonts w:eastAsia="Calibri"/>
          <w:szCs w:val="24"/>
          <w:lang w:eastAsia="en-US"/>
        </w:rPr>
        <w:tab/>
        <w:t>Države članice zagotovijo, da so z nacionalnimi zakoni in drugimi predpisi ali zavezujočimi upravnimi določbami ustanovljene neodvisne fiskalne institucije, kot so strukturno neodvisni organi ali organi, ki so funkcionalno neodvisni od proračunskih organov držav članic.</w:t>
      </w:r>
    </w:p>
    <w:p w:rsidR="00C714FC" w:rsidRPr="00C714FC" w:rsidRDefault="00C714FC" w:rsidP="00C714FC">
      <w:pPr>
        <w:widowControl/>
        <w:shd w:val="clear" w:color="auto" w:fill="FFFFFF"/>
        <w:spacing w:before="120" w:line="360" w:lineRule="auto"/>
        <w:ind w:left="1418" w:hanging="567"/>
        <w:jc w:val="both"/>
        <w:rPr>
          <w:rFonts w:eastAsia="Calibri"/>
          <w:szCs w:val="24"/>
          <w:lang w:eastAsia="en-US"/>
        </w:rPr>
      </w:pPr>
      <w:r w:rsidRPr="00C714FC">
        <w:rPr>
          <w:rFonts w:eastAsia="Calibri"/>
          <w:szCs w:val="24"/>
          <w:lang w:eastAsia="en-US"/>
        </w:rPr>
        <w:t xml:space="preserve">1a. </w:t>
      </w:r>
      <w:r w:rsidRPr="00C714FC">
        <w:rPr>
          <w:rFonts w:eastAsia="Calibri"/>
          <w:szCs w:val="24"/>
          <w:lang w:eastAsia="en-US"/>
        </w:rPr>
        <w:tab/>
        <w:t>Države članice lahko ustanovijo več kot eno neodvisno fiskalno institucijo.</w:t>
      </w:r>
    </w:p>
    <w:p w:rsidR="00C714FC" w:rsidRPr="00C714FC" w:rsidRDefault="00C714FC" w:rsidP="00C714FC">
      <w:pPr>
        <w:widowControl/>
        <w:shd w:val="clear" w:color="auto" w:fill="FFFFFF"/>
        <w:spacing w:before="120" w:line="360" w:lineRule="auto"/>
        <w:ind w:left="1418" w:hanging="567"/>
        <w:jc w:val="both"/>
        <w:rPr>
          <w:rFonts w:eastAsia="Calibri"/>
          <w:szCs w:val="24"/>
          <w:lang w:eastAsia="en-US"/>
        </w:rPr>
      </w:pPr>
      <w:r w:rsidRPr="00C714FC">
        <w:rPr>
          <w:rFonts w:eastAsia="Calibri"/>
          <w:szCs w:val="24"/>
          <w:lang w:eastAsia="en-US"/>
        </w:rPr>
        <w:t xml:space="preserve">2. </w:t>
      </w:r>
      <w:r w:rsidRPr="00C714FC">
        <w:rPr>
          <w:rFonts w:eastAsia="Calibri"/>
          <w:szCs w:val="24"/>
          <w:lang w:eastAsia="en-US"/>
        </w:rPr>
        <w:tab/>
        <w:t>Institucije iz odstavka 1 sestavljajo člani, ki so predlagani in imenovani po preglednih postopkih na podlagi njihovih izkušenj in kompetenc na področju javnih financ, makroekonomije ali upravljanja proračuna.</w:t>
      </w:r>
    </w:p>
    <w:p w:rsidR="00C714FC" w:rsidRPr="00C714FC" w:rsidRDefault="00C714FC" w:rsidP="00C714FC">
      <w:pPr>
        <w:widowControl/>
        <w:shd w:val="clear" w:color="auto" w:fill="FFFFFF"/>
        <w:spacing w:before="120" w:line="360" w:lineRule="auto"/>
        <w:ind w:left="1418" w:hanging="567"/>
        <w:jc w:val="both"/>
        <w:rPr>
          <w:rFonts w:eastAsia="Calibri"/>
          <w:szCs w:val="24"/>
          <w:lang w:eastAsia="en-US"/>
        </w:rPr>
      </w:pPr>
      <w:r w:rsidRPr="00C714FC">
        <w:rPr>
          <w:rFonts w:eastAsia="Calibri"/>
          <w:szCs w:val="24"/>
          <w:lang w:eastAsia="en-US"/>
        </w:rPr>
        <w:t xml:space="preserve">3. </w:t>
      </w:r>
      <w:r w:rsidRPr="00C714FC">
        <w:rPr>
          <w:rFonts w:eastAsia="Calibri"/>
          <w:szCs w:val="24"/>
          <w:lang w:eastAsia="en-US"/>
        </w:rPr>
        <w:tab/>
        <w:t>Institucije iz odstavka 1:</w:t>
      </w:r>
    </w:p>
    <w:p w:rsidR="00C714FC" w:rsidRPr="00C714FC" w:rsidRDefault="00C714FC" w:rsidP="00C714FC">
      <w:pPr>
        <w:widowControl/>
        <w:shd w:val="clear" w:color="auto" w:fill="FFFFFF"/>
        <w:spacing w:before="120" w:line="360" w:lineRule="auto"/>
        <w:ind w:left="2007" w:hanging="567"/>
        <w:jc w:val="both"/>
        <w:rPr>
          <w:rFonts w:eastAsia="Calibri"/>
          <w:szCs w:val="24"/>
          <w:lang w:eastAsia="en-US"/>
        </w:rPr>
      </w:pPr>
      <w:r w:rsidRPr="00C714FC">
        <w:rPr>
          <w:rFonts w:eastAsia="Calibri"/>
          <w:szCs w:val="24"/>
          <w:lang w:eastAsia="en-US"/>
        </w:rPr>
        <w:t>(a)</w:t>
      </w:r>
      <w:r w:rsidRPr="00C714FC">
        <w:rPr>
          <w:rFonts w:eastAsia="Calibri"/>
          <w:szCs w:val="24"/>
          <w:lang w:eastAsia="en-US"/>
        </w:rPr>
        <w:tab/>
        <w:t>ne sprejemajo navodil proračunskih organov zadevne države članice ali drugih javnih ali zasebnih organov;</w:t>
      </w:r>
    </w:p>
    <w:p w:rsidR="00C714FC" w:rsidRPr="00C714FC" w:rsidRDefault="00C714FC" w:rsidP="00C714FC">
      <w:pPr>
        <w:widowControl/>
        <w:shd w:val="clear" w:color="auto" w:fill="FFFFFF"/>
        <w:spacing w:before="120" w:line="360" w:lineRule="auto"/>
        <w:ind w:left="2007" w:hanging="567"/>
        <w:jc w:val="both"/>
        <w:rPr>
          <w:rFonts w:eastAsia="Calibri"/>
          <w:szCs w:val="24"/>
          <w:lang w:eastAsia="en-US"/>
        </w:rPr>
      </w:pPr>
      <w:r w:rsidRPr="00C714FC">
        <w:rPr>
          <w:rFonts w:eastAsia="Calibri"/>
          <w:szCs w:val="24"/>
          <w:lang w:eastAsia="en-US"/>
        </w:rPr>
        <w:t>(b)</w:t>
      </w:r>
      <w:r w:rsidRPr="00C714FC">
        <w:rPr>
          <w:rFonts w:eastAsia="Calibri"/>
          <w:szCs w:val="24"/>
          <w:lang w:eastAsia="en-US"/>
        </w:rPr>
        <w:tab/>
        <w:t>lahko pravočasno obveščajo javnost o svojih ocenah in mnenjih;</w:t>
      </w:r>
    </w:p>
    <w:p w:rsidR="00C714FC" w:rsidRPr="00C714FC" w:rsidRDefault="00C714FC" w:rsidP="00C714FC">
      <w:pPr>
        <w:widowControl/>
        <w:shd w:val="clear" w:color="auto" w:fill="FFFFFF"/>
        <w:spacing w:before="120" w:line="360" w:lineRule="auto"/>
        <w:ind w:left="2007" w:hanging="567"/>
        <w:jc w:val="both"/>
        <w:rPr>
          <w:rFonts w:eastAsia="Calibri"/>
          <w:szCs w:val="24"/>
          <w:lang w:eastAsia="en-US"/>
        </w:rPr>
      </w:pPr>
      <w:r w:rsidRPr="00C714FC">
        <w:rPr>
          <w:rFonts w:eastAsia="Calibri"/>
          <w:szCs w:val="24"/>
          <w:lang w:eastAsia="en-US"/>
        </w:rPr>
        <w:t>(c)</w:t>
      </w:r>
      <w:r w:rsidRPr="00C714FC">
        <w:rPr>
          <w:rFonts w:eastAsia="Calibri"/>
          <w:szCs w:val="24"/>
          <w:lang w:eastAsia="en-US"/>
        </w:rPr>
        <w:tab/>
        <w:t>imajo ustrezna in stabilna sredstva za učinkovito izvajanje svojih nalog, vključno z izvajanjem vseh vrst analiz v okviru teh nalog;</w:t>
      </w:r>
    </w:p>
    <w:p w:rsidR="00C714FC" w:rsidRPr="00C714FC" w:rsidRDefault="00C714FC" w:rsidP="00C714FC">
      <w:pPr>
        <w:widowControl/>
        <w:shd w:val="clear" w:color="auto" w:fill="FFFFFF"/>
        <w:spacing w:before="120" w:line="360" w:lineRule="auto"/>
        <w:ind w:left="1985" w:hanging="567"/>
        <w:jc w:val="both"/>
        <w:rPr>
          <w:rFonts w:eastAsia="Calibri"/>
          <w:szCs w:val="24"/>
          <w:lang w:eastAsia="en-US"/>
        </w:rPr>
      </w:pPr>
      <w:r w:rsidRPr="00C714FC">
        <w:rPr>
          <w:rFonts w:eastAsia="Calibri"/>
          <w:szCs w:val="24"/>
          <w:lang w:eastAsia="en-US"/>
        </w:rPr>
        <w:lastRenderedPageBreak/>
        <w:t>(d)</w:t>
      </w:r>
      <w:r w:rsidRPr="00C714FC">
        <w:rPr>
          <w:rFonts w:eastAsia="Calibri"/>
          <w:szCs w:val="24"/>
          <w:lang w:eastAsia="en-US"/>
        </w:rPr>
        <w:tab/>
        <w:t>imajo ustrezen in pravočasen dostop do informacij, ki jih potrebujejo za izpolnjevanje svojih nalog;</w:t>
      </w:r>
    </w:p>
    <w:p w:rsidR="00C714FC" w:rsidRPr="00C714FC" w:rsidRDefault="00C714FC" w:rsidP="00C714FC">
      <w:pPr>
        <w:widowControl/>
        <w:shd w:val="clear" w:color="auto" w:fill="FFFFFF"/>
        <w:spacing w:before="120" w:line="360" w:lineRule="auto"/>
        <w:ind w:left="1985" w:hanging="567"/>
        <w:jc w:val="both"/>
        <w:rPr>
          <w:rFonts w:eastAsia="Calibri"/>
          <w:szCs w:val="24"/>
          <w:lang w:eastAsia="en-US"/>
        </w:rPr>
      </w:pPr>
      <w:r w:rsidRPr="00C714FC">
        <w:rPr>
          <w:rFonts w:eastAsia="Calibri"/>
          <w:szCs w:val="24"/>
          <w:lang w:eastAsia="en-US"/>
        </w:rPr>
        <w:t>(e)</w:t>
      </w:r>
      <w:r w:rsidRPr="00C714FC">
        <w:rPr>
          <w:rFonts w:eastAsia="Calibri"/>
          <w:szCs w:val="24"/>
          <w:lang w:eastAsia="en-US"/>
        </w:rPr>
        <w:tab/>
        <w:t>so predmet rednih zunanjih ocenjevanj neodvisnih ocenjevalcev.</w:t>
      </w:r>
    </w:p>
    <w:p w:rsidR="00C714FC" w:rsidRPr="00C714FC" w:rsidRDefault="00C714FC" w:rsidP="00C714FC">
      <w:pPr>
        <w:widowControl/>
        <w:shd w:val="clear" w:color="auto" w:fill="FFFFFF"/>
        <w:spacing w:before="120" w:line="360" w:lineRule="auto"/>
        <w:ind w:left="1418" w:hanging="567"/>
        <w:jc w:val="both"/>
        <w:rPr>
          <w:rFonts w:eastAsia="Calibri"/>
          <w:szCs w:val="24"/>
          <w:lang w:eastAsia="en-US"/>
        </w:rPr>
      </w:pPr>
      <w:r w:rsidRPr="00C714FC">
        <w:rPr>
          <w:rFonts w:eastAsia="Calibri"/>
          <w:szCs w:val="24"/>
          <w:lang w:eastAsia="en-US"/>
        </w:rPr>
        <w:t xml:space="preserve">4. </w:t>
      </w:r>
      <w:r w:rsidRPr="00C714FC">
        <w:rPr>
          <w:rFonts w:eastAsia="Calibri"/>
          <w:szCs w:val="24"/>
          <w:lang w:eastAsia="en-US"/>
        </w:rPr>
        <w:tab/>
        <w:t>Brez poseganja v naloge in funkcije, dodeljene v skladu z Uredbo (EU) št. 473/2013, za države članice, katerih valuta je euro, vse države članice zagotovijo, da ena od institucij iz odstavka 1 opravlja naslednje naloge:</w:t>
      </w:r>
    </w:p>
    <w:p w:rsidR="00C714FC" w:rsidRPr="00C714FC" w:rsidRDefault="00C714FC" w:rsidP="00C714FC">
      <w:pPr>
        <w:widowControl/>
        <w:shd w:val="clear" w:color="auto" w:fill="FFFFFF"/>
        <w:spacing w:before="120" w:line="360" w:lineRule="auto"/>
        <w:ind w:left="2007" w:hanging="567"/>
        <w:jc w:val="both"/>
        <w:rPr>
          <w:rFonts w:eastAsia="Calibri"/>
          <w:szCs w:val="24"/>
          <w:lang w:eastAsia="en-US"/>
        </w:rPr>
      </w:pPr>
      <w:r w:rsidRPr="00C714FC">
        <w:rPr>
          <w:rFonts w:eastAsia="Calibri"/>
          <w:szCs w:val="24"/>
          <w:lang w:eastAsia="en-US"/>
        </w:rPr>
        <w:t>(a)</w:t>
      </w:r>
      <w:r w:rsidRPr="00C714FC">
        <w:rPr>
          <w:rFonts w:eastAsia="Calibri"/>
          <w:szCs w:val="24"/>
          <w:lang w:eastAsia="en-US"/>
        </w:rPr>
        <w:tab/>
        <w:t>pripravo, ocenjevanje ali potrjevanje letnih in večletnih makroekonomskih napovedi;</w:t>
      </w:r>
    </w:p>
    <w:p w:rsidR="00C714FC" w:rsidRPr="00C714FC" w:rsidRDefault="00C714FC" w:rsidP="00C714FC">
      <w:pPr>
        <w:spacing w:before="120" w:after="120" w:line="360" w:lineRule="auto"/>
        <w:ind w:left="2291" w:hanging="851"/>
        <w:jc w:val="both"/>
        <w:rPr>
          <w:szCs w:val="24"/>
        </w:rPr>
      </w:pPr>
      <w:r w:rsidRPr="00C714FC">
        <w:rPr>
          <w:szCs w:val="24"/>
        </w:rPr>
        <w:t>▌</w:t>
      </w:r>
      <w:r w:rsidRPr="00C714FC">
        <w:rPr>
          <w:szCs w:val="24"/>
        </w:rPr>
        <w:tab/>
      </w:r>
    </w:p>
    <w:p w:rsidR="00C714FC" w:rsidRPr="00C714FC" w:rsidRDefault="00C714FC" w:rsidP="00C714FC">
      <w:pPr>
        <w:widowControl/>
        <w:shd w:val="clear" w:color="auto" w:fill="FFFFFF"/>
        <w:spacing w:before="120" w:line="360" w:lineRule="auto"/>
        <w:ind w:left="2007" w:hanging="567"/>
        <w:jc w:val="both"/>
        <w:rPr>
          <w:rFonts w:eastAsia="Calibri"/>
          <w:szCs w:val="24"/>
          <w:lang w:eastAsia="en-US"/>
        </w:rPr>
      </w:pPr>
      <w:r w:rsidRPr="00C714FC">
        <w:rPr>
          <w:rFonts w:eastAsia="Calibri"/>
          <w:iCs/>
          <w:szCs w:val="24"/>
          <w:lang w:eastAsia="en-US"/>
        </w:rPr>
        <w:t>(d)</w:t>
      </w:r>
      <w:r w:rsidRPr="00C714FC">
        <w:rPr>
          <w:rFonts w:eastAsia="Calibri"/>
          <w:iCs/>
          <w:szCs w:val="24"/>
          <w:lang w:eastAsia="en-US"/>
        </w:rPr>
        <w:tab/>
      </w:r>
      <w:r w:rsidRPr="00C714FC">
        <w:rPr>
          <w:rFonts w:eastAsia="Calibri"/>
          <w:szCs w:val="24"/>
          <w:lang w:eastAsia="en-US"/>
        </w:rPr>
        <w:t>spremljanje upoštevanja posamezni državi prilagojenih numeričnih fiskalnih pravil, razen če to opravljajo drugi organi, v skladu s členom 6; </w:t>
      </w:r>
    </w:p>
    <w:p w:rsidR="00C714FC" w:rsidRPr="00C714FC" w:rsidRDefault="00C714FC" w:rsidP="00C714FC">
      <w:pPr>
        <w:widowControl/>
        <w:shd w:val="clear" w:color="auto" w:fill="FFFFFF"/>
        <w:spacing w:before="120" w:line="360" w:lineRule="auto"/>
        <w:ind w:left="2007" w:hanging="567"/>
        <w:jc w:val="both"/>
        <w:rPr>
          <w:rFonts w:eastAsia="Calibri"/>
          <w:iCs/>
          <w:szCs w:val="24"/>
          <w:lang w:eastAsia="en-US"/>
        </w:rPr>
      </w:pPr>
      <w:r w:rsidRPr="00C714FC">
        <w:rPr>
          <w:rFonts w:eastAsia="Calibri"/>
          <w:iCs/>
          <w:szCs w:val="24"/>
          <w:lang w:eastAsia="en-US"/>
        </w:rPr>
        <w:t>(e)</w:t>
      </w:r>
      <w:r w:rsidRPr="00C714FC">
        <w:rPr>
          <w:rFonts w:eastAsia="Calibri"/>
          <w:iCs/>
          <w:szCs w:val="24"/>
          <w:lang w:eastAsia="en-US"/>
        </w:rPr>
        <w:tab/>
      </w:r>
      <w:r w:rsidRPr="00C714FC">
        <w:rPr>
          <w:rFonts w:eastAsia="Calibri"/>
          <w:szCs w:val="24"/>
          <w:lang w:eastAsia="en-US"/>
        </w:rPr>
        <w:t>opravljanje nalog v skladu z ustreznimi členi Uredbe [XXX preventivni dela Pakta za stabilnost in rast] in Uredbe [XXX korektivni del Pakta za stabilnost in rast]*;</w:t>
      </w:r>
    </w:p>
    <w:p w:rsidR="00C714FC" w:rsidRPr="00C714FC" w:rsidRDefault="00C714FC" w:rsidP="00C714FC">
      <w:pPr>
        <w:widowControl/>
        <w:shd w:val="clear" w:color="auto" w:fill="FFFFFF"/>
        <w:spacing w:before="120" w:line="360" w:lineRule="auto"/>
        <w:ind w:left="2007" w:hanging="567"/>
        <w:jc w:val="both"/>
        <w:rPr>
          <w:rFonts w:eastAsia="Calibri"/>
          <w:iCs/>
          <w:szCs w:val="24"/>
          <w:lang w:eastAsia="en-US"/>
        </w:rPr>
      </w:pPr>
      <w:r w:rsidRPr="00C714FC">
        <w:rPr>
          <w:rFonts w:eastAsia="Calibri"/>
          <w:iCs/>
          <w:szCs w:val="24"/>
          <w:lang w:eastAsia="en-US"/>
        </w:rPr>
        <w:t>(f)</w:t>
      </w:r>
      <w:r w:rsidRPr="00C714FC">
        <w:rPr>
          <w:rFonts w:eastAsia="Calibri"/>
          <w:iCs/>
          <w:szCs w:val="24"/>
          <w:lang w:eastAsia="en-US"/>
        </w:rPr>
        <w:tab/>
      </w:r>
      <w:r w:rsidRPr="00C714FC">
        <w:rPr>
          <w:rFonts w:eastAsia="Calibri"/>
          <w:szCs w:val="24"/>
          <w:lang w:eastAsia="en-US"/>
        </w:rPr>
        <w:t>ocenjevanje doslednosti, usklajenosti in učinkovitosti nacionalnega proračunskega okvira;</w:t>
      </w:r>
    </w:p>
    <w:p w:rsidR="00C714FC" w:rsidRPr="00C714FC" w:rsidRDefault="00C714FC" w:rsidP="00C714FC">
      <w:pPr>
        <w:widowControl/>
        <w:shd w:val="clear" w:color="auto" w:fill="FFFFFF"/>
        <w:spacing w:before="120" w:line="360" w:lineRule="auto"/>
        <w:ind w:left="2007" w:hanging="567"/>
        <w:jc w:val="both"/>
        <w:rPr>
          <w:rFonts w:eastAsia="Calibri"/>
          <w:szCs w:val="24"/>
          <w:lang w:eastAsia="en-US"/>
        </w:rPr>
      </w:pPr>
      <w:r w:rsidRPr="00C714FC">
        <w:rPr>
          <w:rFonts w:eastAsia="Calibri"/>
          <w:szCs w:val="24"/>
          <w:lang w:eastAsia="en-US"/>
        </w:rPr>
        <w:t>(g)</w:t>
      </w:r>
      <w:r w:rsidRPr="00C714FC">
        <w:rPr>
          <w:rFonts w:eastAsia="Calibri"/>
          <w:szCs w:val="24"/>
          <w:lang w:eastAsia="en-US"/>
        </w:rPr>
        <w:tab/>
        <w:t>sodelovanje na povabilo na rednih predstavitvah in razpravah v nacionalnem parlamentu.</w:t>
      </w:r>
    </w:p>
    <w:p w:rsidR="00C714FC" w:rsidRPr="00C714FC" w:rsidRDefault="00C714FC" w:rsidP="00C714FC">
      <w:pPr>
        <w:widowControl/>
        <w:shd w:val="clear" w:color="auto" w:fill="FFFFFF"/>
        <w:spacing w:before="120" w:line="360" w:lineRule="auto"/>
        <w:ind w:left="1418" w:hanging="567"/>
        <w:jc w:val="both"/>
        <w:rPr>
          <w:rFonts w:eastAsia="Calibri"/>
          <w:szCs w:val="24"/>
          <w:lang w:eastAsia="en-US"/>
        </w:rPr>
      </w:pPr>
      <w:r w:rsidRPr="00C714FC">
        <w:rPr>
          <w:rFonts w:eastAsia="Calibri"/>
          <w:szCs w:val="24"/>
          <w:lang w:eastAsia="en-US"/>
        </w:rPr>
        <w:t>5.</w:t>
      </w:r>
      <w:r w:rsidRPr="00C714FC">
        <w:rPr>
          <w:rFonts w:eastAsia="Calibri"/>
          <w:szCs w:val="24"/>
          <w:lang w:eastAsia="en-US"/>
        </w:rPr>
        <w:tab/>
        <w:t>Institucije izdajajo ocene v okviru nalog iz odstavka 4(a), (d), (e) in (f) brez poseganja v naloge in funkcije, dodeljene v skladu z Uredbo (EU) št. 473/2013. Države članice upoštevajo te ocene ali pa pojasnijo, zakaj jih ne upoštevajo. Pojasnilo je javno in se predloži dva meseca po izdaji takih ocen.</w:t>
      </w:r>
    </w:p>
    <w:p w:rsidR="00C714FC" w:rsidRPr="00C714FC" w:rsidRDefault="00C714FC" w:rsidP="00C714FC">
      <w:pPr>
        <w:widowControl/>
        <w:spacing w:before="120" w:after="120" w:line="360" w:lineRule="auto"/>
        <w:ind w:left="1418" w:hanging="567"/>
        <w:jc w:val="both"/>
        <w:rPr>
          <w:rFonts w:eastAsia="Calibri"/>
          <w:szCs w:val="24"/>
          <w:u w:val="single"/>
          <w:lang w:eastAsia="en-US"/>
        </w:rPr>
      </w:pPr>
      <w:r w:rsidRPr="00C714FC">
        <w:rPr>
          <w:rFonts w:eastAsia="Calibri"/>
          <w:szCs w:val="24"/>
          <w:u w:val="single"/>
          <w:lang w:eastAsia="en-US"/>
        </w:rPr>
        <w:t>_________________</w:t>
      </w:r>
    </w:p>
    <w:p w:rsidR="00C714FC" w:rsidRPr="00C714FC" w:rsidRDefault="00C714FC" w:rsidP="00C714FC">
      <w:pPr>
        <w:widowControl/>
        <w:spacing w:before="120" w:after="120" w:line="360" w:lineRule="auto"/>
        <w:ind w:left="1418" w:hanging="567"/>
        <w:jc w:val="both"/>
        <w:rPr>
          <w:rFonts w:eastAsia="Calibri"/>
          <w:szCs w:val="24"/>
          <w:lang w:eastAsia="en-US"/>
        </w:rPr>
      </w:pPr>
      <w:r w:rsidRPr="00C714FC">
        <w:rPr>
          <w:rFonts w:eastAsia="Calibri"/>
          <w:szCs w:val="24"/>
          <w:lang w:eastAsia="en-US"/>
        </w:rPr>
        <w:t xml:space="preserve">* </w:t>
      </w:r>
      <w:r w:rsidRPr="00C714FC">
        <w:rPr>
          <w:rFonts w:eastAsia="Calibri"/>
          <w:szCs w:val="24"/>
          <w:lang w:eastAsia="en-US"/>
        </w:rPr>
        <w:tab/>
        <w:t>Uredba (EU) Sveta z dne [vstaviti datum] [vstaviti naslov v celoti] (UL L ..).</w:t>
      </w:r>
    </w:p>
    <w:p w:rsidR="00C714FC" w:rsidRPr="00C714FC" w:rsidRDefault="00C714FC" w:rsidP="00C714FC">
      <w:pPr>
        <w:widowControl/>
        <w:spacing w:before="120" w:after="120" w:line="360" w:lineRule="auto"/>
        <w:ind w:left="851" w:hanging="851"/>
        <w:jc w:val="both"/>
        <w:rPr>
          <w:color w:val="000000"/>
          <w:szCs w:val="24"/>
          <w:lang w:eastAsia="en-US"/>
        </w:rPr>
      </w:pPr>
      <w:r w:rsidRPr="00C714FC">
        <w:rPr>
          <w:rFonts w:eastAsia="Calibri"/>
          <w:color w:val="000000"/>
          <w:szCs w:val="24"/>
          <w:lang w:eastAsia="en-US"/>
        </w:rPr>
        <w:t xml:space="preserve">(9) </w:t>
      </w:r>
      <w:r w:rsidRPr="00C714FC">
        <w:rPr>
          <w:rFonts w:eastAsia="Calibri"/>
          <w:color w:val="000000"/>
          <w:szCs w:val="24"/>
          <w:lang w:eastAsia="en-US"/>
        </w:rPr>
        <w:tab/>
        <w:t>člen 9 se spremeni:</w:t>
      </w:r>
    </w:p>
    <w:p w:rsidR="00C714FC" w:rsidRPr="00C714FC" w:rsidRDefault="00C714FC" w:rsidP="00C714FC">
      <w:pPr>
        <w:widowControl/>
        <w:shd w:val="clear" w:color="auto" w:fill="FFFFFF"/>
        <w:spacing w:before="120" w:line="360" w:lineRule="auto"/>
        <w:ind w:left="1418" w:hanging="567"/>
        <w:jc w:val="both"/>
        <w:rPr>
          <w:rFonts w:eastAsia="Calibri"/>
          <w:iCs/>
          <w:szCs w:val="24"/>
          <w:lang w:eastAsia="en-US"/>
        </w:rPr>
      </w:pPr>
      <w:r w:rsidRPr="00C714FC">
        <w:rPr>
          <w:rFonts w:eastAsia="Calibri"/>
          <w:szCs w:val="24"/>
          <w:lang w:eastAsia="en-US"/>
        </w:rPr>
        <w:t xml:space="preserve">(a) </w:t>
      </w:r>
      <w:r w:rsidRPr="00C714FC">
        <w:rPr>
          <w:rFonts w:eastAsia="Calibri"/>
          <w:szCs w:val="24"/>
          <w:lang w:eastAsia="en-US"/>
        </w:rPr>
        <w:tab/>
        <w:t>odstavek 1 se nadomesti z naslednjim:</w:t>
      </w:r>
    </w:p>
    <w:p w:rsidR="00C714FC" w:rsidRPr="00C714FC" w:rsidRDefault="00C714FC" w:rsidP="00C714FC">
      <w:pPr>
        <w:keepNext/>
        <w:widowControl/>
        <w:spacing w:before="360" w:after="120" w:line="360" w:lineRule="auto"/>
        <w:ind w:left="1974" w:hanging="556"/>
        <w:jc w:val="both"/>
        <w:rPr>
          <w:rFonts w:eastAsia="Calibri"/>
          <w:iCs/>
          <w:szCs w:val="24"/>
          <w:lang w:eastAsia="en-US"/>
        </w:rPr>
      </w:pPr>
      <w:r w:rsidRPr="00C714FC">
        <w:rPr>
          <w:rFonts w:eastAsia="Calibri"/>
          <w:szCs w:val="24"/>
          <w:lang w:eastAsia="en-US"/>
        </w:rPr>
        <w:t xml:space="preserve">„1. Države članice vzpostavijo verodostojen in učinkovit nacionalni srednjeročni proračunski okvir, ki je podlaga za uvedbo obdobja javnofinančnega načrtovanja, ki zajema najmanj tri leta, da zagotovijo upoštevanje </w:t>
      </w:r>
      <w:r w:rsidRPr="00C714FC">
        <w:rPr>
          <w:rFonts w:eastAsia="Calibri"/>
          <w:szCs w:val="24"/>
          <w:lang w:eastAsia="en-US"/>
        </w:rPr>
        <w:lastRenderedPageBreak/>
        <w:t>perspektive večletnega javnofinančnega načrtovanja pri nacionalnem javnofinančnem načrtovanju.</w:t>
      </w:r>
      <w:r w:rsidRPr="00C714FC">
        <w:rPr>
          <w:rFonts w:eastAsia="Calibri"/>
          <w:color w:val="000000"/>
          <w:szCs w:val="24"/>
          <w:lang w:eastAsia="en-US"/>
        </w:rPr>
        <w:t>“</w:t>
      </w:r>
    </w:p>
    <w:p w:rsidR="00C714FC" w:rsidRPr="00C714FC" w:rsidRDefault="00C714FC" w:rsidP="00C714FC">
      <w:pPr>
        <w:widowControl/>
        <w:spacing w:before="120" w:after="120" w:line="360" w:lineRule="auto"/>
        <w:ind w:left="1418" w:hanging="567"/>
        <w:jc w:val="both"/>
        <w:rPr>
          <w:rFonts w:eastAsia="Calibri"/>
          <w:szCs w:val="24"/>
          <w:lang w:eastAsia="en-US"/>
        </w:rPr>
      </w:pPr>
      <w:r w:rsidRPr="00C714FC">
        <w:rPr>
          <w:rFonts w:eastAsia="Calibri"/>
          <w:szCs w:val="24"/>
          <w:lang w:eastAsia="en-US"/>
        </w:rPr>
        <w:t xml:space="preserve">(b) </w:t>
      </w:r>
      <w:r w:rsidRPr="00C714FC">
        <w:rPr>
          <w:rFonts w:eastAsia="Calibri"/>
          <w:szCs w:val="24"/>
          <w:lang w:eastAsia="en-US"/>
        </w:rPr>
        <w:tab/>
        <w:t>odstavek 2 se</w:t>
      </w:r>
      <w:bookmarkStart w:id="8" w:name="_GoBack"/>
      <w:bookmarkEnd w:id="8"/>
      <w:r w:rsidRPr="00C714FC">
        <w:rPr>
          <w:rFonts w:eastAsia="Calibri"/>
          <w:szCs w:val="24"/>
          <w:lang w:eastAsia="en-US"/>
        </w:rPr>
        <w:t xml:space="preserve"> spremeni:</w:t>
      </w:r>
    </w:p>
    <w:p w:rsidR="00C714FC" w:rsidRPr="00C714FC" w:rsidRDefault="00C714FC" w:rsidP="00C714FC">
      <w:pPr>
        <w:widowControl/>
        <w:spacing w:before="120" w:after="120" w:line="360" w:lineRule="auto"/>
        <w:ind w:left="720" w:firstLine="720"/>
        <w:jc w:val="both"/>
        <w:rPr>
          <w:rFonts w:eastAsia="Calibri"/>
          <w:szCs w:val="24"/>
          <w:lang w:eastAsia="en-US"/>
        </w:rPr>
      </w:pPr>
      <w:r w:rsidRPr="00C714FC">
        <w:rPr>
          <w:rFonts w:eastAsia="Calibri"/>
          <w:szCs w:val="24"/>
          <w:lang w:eastAsia="en-US"/>
        </w:rPr>
        <w:t xml:space="preserve">(i) </w:t>
      </w:r>
      <w:r w:rsidRPr="00C714FC">
        <w:rPr>
          <w:rFonts w:eastAsia="Calibri"/>
          <w:szCs w:val="24"/>
          <w:lang w:eastAsia="en-US"/>
        </w:rPr>
        <w:tab/>
        <w:t>uvodno besedilo se nadomesti z naslednjim:</w:t>
      </w:r>
    </w:p>
    <w:p w:rsidR="00C714FC" w:rsidRPr="00C714FC" w:rsidRDefault="00C714FC" w:rsidP="00C714FC">
      <w:pPr>
        <w:widowControl/>
        <w:spacing w:before="120" w:after="120" w:line="360" w:lineRule="auto"/>
        <w:ind w:left="2574" w:hanging="414"/>
        <w:jc w:val="both"/>
        <w:rPr>
          <w:rFonts w:eastAsia="Calibri"/>
          <w:szCs w:val="24"/>
          <w:lang w:eastAsia="en-US"/>
        </w:rPr>
      </w:pPr>
      <w:r w:rsidRPr="00C714FC">
        <w:rPr>
          <w:rFonts w:eastAsia="Calibri"/>
          <w:szCs w:val="24"/>
          <w:lang w:eastAsia="en-US"/>
        </w:rPr>
        <w:t>„2. Nacionalni srednjeročni proračunski okviri vključujejo postopke za določitev:</w:t>
      </w:r>
      <w:r w:rsidRPr="00C714FC">
        <w:rPr>
          <w:rFonts w:eastAsia="Calibri"/>
          <w:color w:val="000000"/>
          <w:szCs w:val="24"/>
          <w:lang w:eastAsia="en-US"/>
        </w:rPr>
        <w:t xml:space="preserve"> “;</w:t>
      </w:r>
    </w:p>
    <w:p w:rsidR="00C714FC" w:rsidRPr="00C714FC" w:rsidRDefault="00C714FC" w:rsidP="00C714FC">
      <w:pPr>
        <w:widowControl/>
        <w:spacing w:before="120" w:after="120" w:line="360" w:lineRule="auto"/>
        <w:ind w:left="850" w:firstLine="579"/>
        <w:jc w:val="both"/>
        <w:rPr>
          <w:rFonts w:eastAsia="Calibri"/>
          <w:szCs w:val="24"/>
          <w:lang w:eastAsia="en-US"/>
        </w:rPr>
      </w:pPr>
      <w:r w:rsidRPr="00C714FC">
        <w:rPr>
          <w:rFonts w:eastAsia="Calibri"/>
          <w:szCs w:val="24"/>
          <w:lang w:eastAsia="en-US"/>
        </w:rPr>
        <w:t xml:space="preserve">(ii) </w:t>
      </w:r>
      <w:r w:rsidRPr="00C714FC">
        <w:rPr>
          <w:rFonts w:eastAsia="Calibri"/>
          <w:szCs w:val="24"/>
          <w:lang w:eastAsia="en-US"/>
        </w:rPr>
        <w:tab/>
        <w:t>točka (a) se nadomesti z naslednjim:</w:t>
      </w:r>
    </w:p>
    <w:p w:rsidR="00C714FC" w:rsidRPr="00C714FC" w:rsidRDefault="00C714FC" w:rsidP="00C714FC">
      <w:pPr>
        <w:widowControl/>
        <w:spacing w:before="120" w:after="120" w:line="360" w:lineRule="auto"/>
        <w:ind w:left="2835" w:hanging="675"/>
        <w:jc w:val="both"/>
        <w:rPr>
          <w:rFonts w:eastAsia="Calibri"/>
          <w:szCs w:val="24"/>
          <w:lang w:eastAsia="en-US"/>
        </w:rPr>
      </w:pPr>
      <w:r w:rsidRPr="00C714FC">
        <w:rPr>
          <w:rFonts w:eastAsia="Calibri"/>
          <w:szCs w:val="24"/>
          <w:lang w:eastAsia="en-US"/>
        </w:rPr>
        <w:t xml:space="preserve">„(a) </w:t>
      </w:r>
      <w:r w:rsidRPr="00C714FC">
        <w:rPr>
          <w:rFonts w:eastAsia="Calibri"/>
          <w:szCs w:val="24"/>
          <w:lang w:eastAsia="en-US"/>
        </w:rPr>
        <w:tab/>
        <w:t>celovitih in preglednih večletnih proračunskih ciljev iz člena 2, točka (e), glede primanjkljaja in dolga sektorja država ter kakršnega koli drugega javnofinančnega kazalnika, kot so odhodki, pri čemer se zagotovi njihova skladnost z vsemi posamezni državi prilagojenimi numeričnimi fiskalnimi pravili iz poglavja IV te direktive in ustreznimi določbami Uredbe [XXX preventivni del Pakta za stabilnost in rast].“;</w:t>
      </w:r>
    </w:p>
    <w:p w:rsidR="00C714FC" w:rsidRPr="00C714FC" w:rsidRDefault="00C714FC" w:rsidP="00C714FC">
      <w:pPr>
        <w:widowControl/>
        <w:spacing w:before="120" w:after="120" w:line="360" w:lineRule="auto"/>
        <w:ind w:left="720" w:firstLine="720"/>
        <w:jc w:val="both"/>
        <w:rPr>
          <w:rFonts w:eastAsia="Calibri"/>
          <w:szCs w:val="24"/>
          <w:lang w:eastAsia="en-US"/>
        </w:rPr>
      </w:pPr>
      <w:r w:rsidRPr="00C714FC">
        <w:rPr>
          <w:rFonts w:eastAsia="Calibri"/>
          <w:szCs w:val="24"/>
          <w:lang w:eastAsia="en-US"/>
        </w:rPr>
        <w:t>(i</w:t>
      </w:r>
      <w:r w:rsidR="00BD1738">
        <w:rPr>
          <w:rFonts w:eastAsia="Calibri"/>
          <w:szCs w:val="24"/>
          <w:lang w:eastAsia="en-US"/>
        </w:rPr>
        <w:t>i</w:t>
      </w:r>
      <w:r w:rsidRPr="00C714FC">
        <w:rPr>
          <w:rFonts w:eastAsia="Calibri"/>
          <w:szCs w:val="24"/>
          <w:lang w:eastAsia="en-US"/>
        </w:rPr>
        <w:t xml:space="preserve">i) </w:t>
      </w:r>
      <w:r w:rsidRPr="00C714FC">
        <w:rPr>
          <w:rFonts w:eastAsia="Calibri"/>
          <w:szCs w:val="24"/>
          <w:lang w:eastAsia="en-US"/>
        </w:rPr>
        <w:tab/>
        <w:t>točka (c) se nadomesti z naslednjim:</w:t>
      </w:r>
    </w:p>
    <w:p w:rsidR="00C714FC" w:rsidRPr="00C714FC" w:rsidRDefault="00C714FC" w:rsidP="00C714FC">
      <w:pPr>
        <w:widowControl/>
        <w:spacing w:before="120" w:after="120" w:line="360" w:lineRule="auto"/>
        <w:ind w:left="2835" w:hanging="675"/>
        <w:jc w:val="both"/>
        <w:rPr>
          <w:rFonts w:eastAsia="Calibri"/>
          <w:szCs w:val="24"/>
          <w:lang w:eastAsia="en-US"/>
        </w:rPr>
      </w:pPr>
      <w:r w:rsidRPr="00C714FC">
        <w:rPr>
          <w:rFonts w:eastAsia="Calibri"/>
          <w:szCs w:val="24"/>
          <w:lang w:eastAsia="en-US"/>
        </w:rPr>
        <w:t xml:space="preserve">„(c) </w:t>
      </w:r>
      <w:r w:rsidRPr="00C714FC">
        <w:rPr>
          <w:rFonts w:eastAsia="Calibri"/>
          <w:szCs w:val="24"/>
          <w:lang w:eastAsia="en-US"/>
        </w:rPr>
        <w:tab/>
        <w:t>opisa srednjeročnih načrtovanih politik, vključno z naložbami in reformami, s predvidenim vplivom na finance v sektorju država ter trajnostno in vključujočo rast, razčlenjenih po glavnih kategorijah prihodkov in odhodkov, iz katerega je razvidno prilagajanje v smeri nacionalnih proračunskih ciljev v srednjeročnem obdobju iz člena 2, točka (e), v primerjavi s projekcijami ob predpostavki nespremenjenih politik.“;</w:t>
      </w:r>
    </w:p>
    <w:p w:rsidR="00C714FC" w:rsidRPr="00C714FC" w:rsidRDefault="00C714FC" w:rsidP="00C714FC">
      <w:pPr>
        <w:widowControl/>
        <w:spacing w:before="120" w:after="120" w:line="360" w:lineRule="auto"/>
        <w:ind w:left="2127" w:hanging="687"/>
        <w:jc w:val="both"/>
        <w:rPr>
          <w:rFonts w:eastAsia="Calibri"/>
          <w:szCs w:val="24"/>
          <w:lang w:eastAsia="en-US"/>
        </w:rPr>
      </w:pPr>
      <w:r w:rsidRPr="00C714FC">
        <w:rPr>
          <w:rFonts w:eastAsia="Calibri"/>
          <w:szCs w:val="24"/>
          <w:lang w:eastAsia="en-US"/>
        </w:rPr>
        <w:t xml:space="preserve">(iv) </w:t>
      </w:r>
      <w:r w:rsidRPr="00C714FC">
        <w:rPr>
          <w:rFonts w:eastAsia="Calibri"/>
          <w:szCs w:val="24"/>
          <w:lang w:eastAsia="en-US"/>
        </w:rPr>
        <w:tab/>
        <w:t>točka (d) se nadomesti z naslednjim:</w:t>
      </w:r>
    </w:p>
    <w:p w:rsidR="00C714FC" w:rsidRPr="00C714FC" w:rsidRDefault="00C714FC" w:rsidP="00C714FC">
      <w:pPr>
        <w:widowControl/>
        <w:spacing w:before="120" w:after="120" w:line="360" w:lineRule="auto"/>
        <w:ind w:left="2694" w:hanging="567"/>
        <w:jc w:val="both"/>
        <w:rPr>
          <w:rFonts w:eastAsia="Calibri"/>
          <w:b/>
          <w:bCs/>
          <w:szCs w:val="24"/>
          <w:lang w:eastAsia="en-US"/>
        </w:rPr>
      </w:pPr>
      <w:r w:rsidRPr="00C714FC">
        <w:rPr>
          <w:rFonts w:eastAsia="Calibri"/>
          <w:szCs w:val="24"/>
          <w:lang w:eastAsia="en-US"/>
        </w:rPr>
        <w:t xml:space="preserve">„(d) </w:t>
      </w:r>
      <w:r w:rsidRPr="00C714FC">
        <w:rPr>
          <w:rFonts w:eastAsia="Calibri"/>
          <w:szCs w:val="24"/>
          <w:lang w:eastAsia="en-US"/>
        </w:rPr>
        <w:tab/>
        <w:t>ocene, kako bodo načrtovane politike glede na svoj neposredni srednjeročni in dolgoročni vpliv na finance v sektorju država verjetno vplivale na srednjeročno in dolgoročno vzdržnost javnih financ ter trajnostno in vključujočo rast. Kolikor je mogoče, se pri oceni upoštevajo makrofiskalna tveganja, ki nastajajo zaradi podnebnih sprememb, ter njihovi okoljski in distribucijski vplivi.“;</w:t>
      </w:r>
    </w:p>
    <w:p w:rsidR="00C714FC" w:rsidRPr="00C714FC" w:rsidRDefault="00C714FC" w:rsidP="00C714FC">
      <w:pPr>
        <w:widowControl/>
        <w:spacing w:before="120" w:after="120" w:line="360" w:lineRule="auto"/>
        <w:ind w:left="1418" w:hanging="567"/>
        <w:jc w:val="both"/>
        <w:rPr>
          <w:rFonts w:eastAsia="Calibri"/>
          <w:iCs/>
          <w:szCs w:val="24"/>
          <w:lang w:eastAsia="en-US"/>
        </w:rPr>
      </w:pPr>
      <w:r w:rsidRPr="00C714FC">
        <w:rPr>
          <w:rFonts w:eastAsia="Calibri"/>
          <w:szCs w:val="24"/>
          <w:lang w:eastAsia="en-US"/>
        </w:rPr>
        <w:t xml:space="preserve">(c) </w:t>
      </w:r>
      <w:r w:rsidRPr="00C714FC">
        <w:rPr>
          <w:rFonts w:eastAsia="Calibri"/>
          <w:szCs w:val="24"/>
          <w:lang w:eastAsia="en-US"/>
        </w:rPr>
        <w:tab/>
        <w:t>odstavek 3 se črta;</w:t>
      </w:r>
    </w:p>
    <w:p w:rsidR="00C714FC" w:rsidRPr="00C714FC" w:rsidRDefault="00C714FC" w:rsidP="00C714FC">
      <w:pPr>
        <w:widowControl/>
        <w:shd w:val="clear" w:color="auto" w:fill="FFFFFF"/>
        <w:spacing w:before="120" w:line="360" w:lineRule="auto"/>
        <w:jc w:val="both"/>
        <w:rPr>
          <w:rFonts w:eastAsia="Calibri"/>
          <w:iCs/>
          <w:szCs w:val="24"/>
          <w:lang w:eastAsia="en-US"/>
        </w:rPr>
      </w:pPr>
      <w:r w:rsidRPr="00C714FC">
        <w:rPr>
          <w:rFonts w:eastAsia="Calibri"/>
          <w:szCs w:val="24"/>
          <w:lang w:eastAsia="en-US"/>
        </w:rPr>
        <w:lastRenderedPageBreak/>
        <w:t xml:space="preserve">(10) </w:t>
      </w:r>
      <w:r w:rsidRPr="00C714FC">
        <w:rPr>
          <w:rFonts w:eastAsia="Calibri"/>
          <w:szCs w:val="24"/>
          <w:lang w:eastAsia="en-US"/>
        </w:rPr>
        <w:tab/>
        <w:t>člena 10 in 11 se nadomestita z naslednjim:</w:t>
      </w:r>
    </w:p>
    <w:p w:rsidR="00C714FC" w:rsidRPr="00C714FC" w:rsidRDefault="00C714FC" w:rsidP="00C714FC">
      <w:pPr>
        <w:widowControl/>
        <w:shd w:val="clear" w:color="auto" w:fill="FFFFFF"/>
        <w:spacing w:before="120" w:line="360" w:lineRule="auto"/>
        <w:ind w:left="851"/>
        <w:rPr>
          <w:rFonts w:eastAsia="Calibri"/>
          <w:szCs w:val="24"/>
          <w:lang w:eastAsia="en-US"/>
        </w:rPr>
      </w:pPr>
      <w:r w:rsidRPr="00C714FC">
        <w:rPr>
          <w:rFonts w:eastAsia="Calibri"/>
          <w:szCs w:val="24"/>
          <w:lang w:eastAsia="en-US"/>
        </w:rPr>
        <w:t>„Člen 10</w:t>
      </w:r>
    </w:p>
    <w:p w:rsidR="00C714FC" w:rsidRPr="00C714FC" w:rsidRDefault="00C714FC" w:rsidP="00C714FC">
      <w:pPr>
        <w:widowControl/>
        <w:spacing w:before="120" w:after="120" w:line="360" w:lineRule="auto"/>
        <w:ind w:left="851"/>
        <w:jc w:val="both"/>
        <w:rPr>
          <w:rFonts w:eastAsia="Calibri"/>
          <w:szCs w:val="24"/>
          <w:lang w:eastAsia="en-US"/>
        </w:rPr>
      </w:pPr>
      <w:r w:rsidRPr="00C714FC">
        <w:rPr>
          <w:rFonts w:eastAsia="Calibri"/>
          <w:szCs w:val="24"/>
          <w:lang w:eastAsia="en-US"/>
        </w:rPr>
        <w:t>Letna proračunska zakonodaja je skladna z nacionalnimi proračunskimi cilji v srednjeročnem obdobju iz člena 2, točka (e). Vsako odstopanje se ustrezno pojasni.</w:t>
      </w:r>
    </w:p>
    <w:p w:rsidR="00C714FC" w:rsidRPr="00C714FC" w:rsidRDefault="00C714FC" w:rsidP="00C714FC">
      <w:pPr>
        <w:widowControl/>
        <w:shd w:val="clear" w:color="auto" w:fill="FFFFFF"/>
        <w:spacing w:before="120" w:line="360" w:lineRule="auto"/>
        <w:ind w:left="851"/>
        <w:rPr>
          <w:rFonts w:eastAsia="Calibri"/>
          <w:szCs w:val="24"/>
          <w:lang w:eastAsia="en-US"/>
        </w:rPr>
      </w:pPr>
      <w:r w:rsidRPr="00C714FC">
        <w:rPr>
          <w:rFonts w:eastAsia="Calibri"/>
          <w:szCs w:val="24"/>
          <w:lang w:eastAsia="en-US"/>
        </w:rPr>
        <w:t>Člen 11</w:t>
      </w:r>
    </w:p>
    <w:p w:rsidR="00C714FC" w:rsidRPr="00C714FC" w:rsidRDefault="00C714FC" w:rsidP="00C714FC">
      <w:pPr>
        <w:keepNext/>
        <w:widowControl/>
        <w:spacing w:before="360" w:after="120" w:line="360" w:lineRule="auto"/>
        <w:ind w:left="851"/>
        <w:jc w:val="both"/>
        <w:rPr>
          <w:rFonts w:eastAsia="Calibri"/>
          <w:iCs/>
          <w:szCs w:val="24"/>
          <w:lang w:eastAsia="en-US"/>
        </w:rPr>
      </w:pPr>
      <w:r w:rsidRPr="00C714FC">
        <w:rPr>
          <w:rFonts w:eastAsia="Calibri"/>
          <w:szCs w:val="24"/>
          <w:lang w:eastAsia="en-US"/>
        </w:rPr>
        <w:t>Ta direktiva novi vladi posamezne države članice na noben način ne preprečuje posodobitve srednjeročnega proračunskega načrta, da bi se v njem odrazile nove politične prednostne naloge. V takšnem primeru nova vlada države članice navede razlike med prejšnjim in novim srednjeročnim proračunskim načrtom.“;</w:t>
      </w:r>
    </w:p>
    <w:p w:rsidR="00C714FC" w:rsidRPr="00C714FC" w:rsidRDefault="00C714FC" w:rsidP="00C714FC">
      <w:pPr>
        <w:keepNext/>
        <w:widowControl/>
        <w:spacing w:before="120" w:after="360" w:line="360" w:lineRule="auto"/>
        <w:ind w:left="851" w:hanging="851"/>
        <w:rPr>
          <w:rFonts w:eastAsia="Calibri"/>
          <w:szCs w:val="24"/>
          <w:lang w:eastAsia="en-US"/>
        </w:rPr>
      </w:pPr>
      <w:r w:rsidRPr="00C714FC">
        <w:rPr>
          <w:rFonts w:eastAsia="Calibri"/>
          <w:szCs w:val="24"/>
          <w:lang w:eastAsia="en-US"/>
        </w:rPr>
        <w:t>(11)</w:t>
      </w:r>
      <w:r w:rsidRPr="00C714FC">
        <w:rPr>
          <w:rFonts w:eastAsia="Calibri"/>
          <w:b/>
          <w:szCs w:val="24"/>
          <w:lang w:eastAsia="en-US"/>
        </w:rPr>
        <w:t xml:space="preserve"> </w:t>
      </w:r>
      <w:r w:rsidRPr="00C714FC">
        <w:rPr>
          <w:rFonts w:eastAsia="Calibri"/>
          <w:b/>
          <w:szCs w:val="24"/>
          <w:lang w:eastAsia="en-US"/>
        </w:rPr>
        <w:tab/>
      </w:r>
      <w:r w:rsidRPr="00C714FC">
        <w:rPr>
          <w:rFonts w:eastAsia="Calibri"/>
          <w:szCs w:val="24"/>
          <w:lang w:eastAsia="en-US"/>
        </w:rPr>
        <w:t>v poglavju VI se naslov nadomesti z besedilom: „PREGLEDNOST FINANC SEKTORJA DRŽAVA“;</w:t>
      </w:r>
    </w:p>
    <w:p w:rsidR="00C714FC" w:rsidRPr="00C714FC" w:rsidRDefault="00C714FC" w:rsidP="00C714FC">
      <w:pPr>
        <w:widowControl/>
        <w:shd w:val="clear" w:color="auto" w:fill="FFFFFF"/>
        <w:spacing w:before="120" w:line="360" w:lineRule="auto"/>
        <w:ind w:left="851" w:hanging="851"/>
        <w:jc w:val="both"/>
        <w:rPr>
          <w:rFonts w:eastAsia="Calibri"/>
          <w:szCs w:val="24"/>
          <w:lang w:eastAsia="en-US"/>
        </w:rPr>
      </w:pPr>
      <w:r w:rsidRPr="00C714FC">
        <w:rPr>
          <w:rFonts w:eastAsia="Calibri"/>
          <w:szCs w:val="24"/>
          <w:lang w:eastAsia="en-US"/>
        </w:rPr>
        <w:t xml:space="preserve">(12) </w:t>
      </w:r>
      <w:r w:rsidRPr="00C714FC">
        <w:rPr>
          <w:rFonts w:eastAsia="Calibri"/>
          <w:szCs w:val="24"/>
          <w:lang w:eastAsia="en-US"/>
        </w:rPr>
        <w:tab/>
        <w:t>člen 12 se nadomesti z naslednjim:</w:t>
      </w:r>
    </w:p>
    <w:p w:rsidR="00C714FC" w:rsidRPr="00C714FC" w:rsidRDefault="00C714FC" w:rsidP="00C714FC">
      <w:pPr>
        <w:widowControl/>
        <w:shd w:val="clear" w:color="auto" w:fill="FFFFFF"/>
        <w:spacing w:before="120" w:line="360" w:lineRule="auto"/>
        <w:ind w:left="851"/>
        <w:rPr>
          <w:rFonts w:eastAsia="Calibri"/>
          <w:szCs w:val="24"/>
          <w:lang w:eastAsia="en-US"/>
        </w:rPr>
      </w:pPr>
      <w:r w:rsidRPr="00C714FC">
        <w:rPr>
          <w:rFonts w:eastAsia="Calibri"/>
          <w:szCs w:val="24"/>
          <w:lang w:eastAsia="en-US"/>
        </w:rPr>
        <w:t>„Člen 12</w:t>
      </w:r>
    </w:p>
    <w:p w:rsidR="00C714FC" w:rsidRPr="00C714FC" w:rsidRDefault="00C714FC" w:rsidP="00C714FC">
      <w:pPr>
        <w:widowControl/>
        <w:shd w:val="clear" w:color="auto" w:fill="FFFFFF"/>
        <w:spacing w:before="120" w:line="360" w:lineRule="auto"/>
        <w:ind w:left="851"/>
        <w:jc w:val="both"/>
        <w:rPr>
          <w:rFonts w:eastAsia="Calibri"/>
          <w:color w:val="000000"/>
          <w:szCs w:val="24"/>
          <w:lang w:eastAsia="en-US"/>
        </w:rPr>
      </w:pPr>
      <w:r w:rsidRPr="00C714FC">
        <w:rPr>
          <w:rFonts w:eastAsia="Calibri"/>
          <w:szCs w:val="24"/>
          <w:lang w:eastAsia="en-US"/>
        </w:rPr>
        <w:t>Države članice zagotovijo, da so vsi ukrepi, sprejeti v skladu s poglavji II, III in IV, skladni v vseh podsektorjih države in te podsektorje celovito pokrivajo.</w:t>
      </w:r>
      <w:r w:rsidRPr="00C714FC">
        <w:rPr>
          <w:rFonts w:eastAsia="Calibri"/>
          <w:color w:val="000000"/>
          <w:szCs w:val="24"/>
          <w:lang w:eastAsia="en-US"/>
        </w:rPr>
        <w:t xml:space="preserve"> V ta namen države članice zlasti zahtevajo usklajena računovodska pravila in postopke v sektorju država ter celovitost njihovih temeljnih sistemov za zbiranje in obdelovanje podatkov.“;</w:t>
      </w:r>
    </w:p>
    <w:p w:rsidR="00C714FC" w:rsidRPr="00C714FC" w:rsidRDefault="00C714FC" w:rsidP="00C714FC">
      <w:pPr>
        <w:widowControl/>
        <w:shd w:val="clear" w:color="auto" w:fill="FFFFFF"/>
        <w:spacing w:before="120" w:line="360" w:lineRule="auto"/>
        <w:ind w:left="851" w:hanging="851"/>
        <w:jc w:val="both"/>
        <w:rPr>
          <w:rFonts w:eastAsia="Calibri"/>
          <w:iCs/>
          <w:szCs w:val="24"/>
          <w:lang w:eastAsia="en-US"/>
        </w:rPr>
      </w:pPr>
      <w:r w:rsidRPr="00C714FC">
        <w:rPr>
          <w:rFonts w:eastAsia="Calibri"/>
          <w:szCs w:val="24"/>
          <w:lang w:eastAsia="en-US"/>
        </w:rPr>
        <w:t xml:space="preserve">(13) </w:t>
      </w:r>
      <w:r w:rsidRPr="00C714FC">
        <w:rPr>
          <w:rFonts w:eastAsia="Calibri"/>
          <w:szCs w:val="24"/>
          <w:lang w:eastAsia="en-US"/>
        </w:rPr>
        <w:tab/>
        <w:t>člen 14 se nadomesti z naslednjim:</w:t>
      </w:r>
    </w:p>
    <w:p w:rsidR="00C714FC" w:rsidRPr="00C714FC" w:rsidRDefault="00C714FC" w:rsidP="00C714FC">
      <w:pPr>
        <w:widowControl/>
        <w:shd w:val="clear" w:color="auto" w:fill="FFFFFF"/>
        <w:spacing w:before="120" w:line="360" w:lineRule="auto"/>
        <w:ind w:left="851"/>
        <w:rPr>
          <w:rFonts w:eastAsia="Calibri"/>
          <w:szCs w:val="24"/>
          <w:lang w:eastAsia="en-US"/>
        </w:rPr>
      </w:pPr>
      <w:r w:rsidRPr="00C714FC">
        <w:rPr>
          <w:rFonts w:eastAsia="Calibri"/>
          <w:szCs w:val="24"/>
          <w:lang w:eastAsia="en-US"/>
        </w:rPr>
        <w:t>„Člen 14</w:t>
      </w:r>
    </w:p>
    <w:p w:rsidR="00C714FC" w:rsidRPr="00C714FC" w:rsidRDefault="00C714FC" w:rsidP="00C714FC">
      <w:pPr>
        <w:widowControl/>
        <w:spacing w:before="120" w:after="120" w:line="360" w:lineRule="auto"/>
        <w:ind w:left="1418" w:hanging="567"/>
        <w:jc w:val="both"/>
        <w:rPr>
          <w:rFonts w:eastAsia="Calibri"/>
          <w:szCs w:val="24"/>
          <w:lang w:eastAsia="en-US"/>
        </w:rPr>
      </w:pPr>
      <w:r w:rsidRPr="00C714FC">
        <w:rPr>
          <w:rFonts w:eastAsia="Calibri"/>
          <w:szCs w:val="24"/>
          <w:lang w:eastAsia="en-US"/>
        </w:rPr>
        <w:t xml:space="preserve">1. </w:t>
      </w:r>
      <w:r w:rsidRPr="00C714FC">
        <w:rPr>
          <w:rFonts w:eastAsia="Calibri"/>
          <w:szCs w:val="24"/>
          <w:lang w:eastAsia="en-US"/>
        </w:rPr>
        <w:tab/>
        <w:t>Države članice v okviru letnih in večletnih proračunskih postopkov objavijo informacije o organih in skladih, ki niso vključeni v redne proračune, vendar so del sektorja država, vključno s podsektorji države. Države članice objavijo tudi zneske, ki ustrezajo skupnemu učinku teh organov in skladov na salde in dolgove v sektorju država.</w:t>
      </w:r>
    </w:p>
    <w:p w:rsidR="00C714FC" w:rsidRPr="00C714FC" w:rsidRDefault="00C714FC" w:rsidP="00C714FC">
      <w:pPr>
        <w:widowControl/>
        <w:spacing w:before="120" w:after="120" w:line="360" w:lineRule="auto"/>
        <w:ind w:left="1418" w:hanging="567"/>
        <w:jc w:val="both"/>
        <w:rPr>
          <w:rFonts w:eastAsia="Calibri"/>
          <w:szCs w:val="24"/>
          <w:lang w:eastAsia="en-US"/>
        </w:rPr>
      </w:pPr>
      <w:r w:rsidRPr="00C714FC">
        <w:rPr>
          <w:rFonts w:eastAsia="Calibri"/>
          <w:szCs w:val="24"/>
          <w:lang w:eastAsia="en-US"/>
        </w:rPr>
        <w:t xml:space="preserve">2. </w:t>
      </w:r>
      <w:r w:rsidRPr="00C714FC">
        <w:rPr>
          <w:rFonts w:eastAsia="Calibri"/>
          <w:szCs w:val="24"/>
          <w:lang w:eastAsia="en-US"/>
        </w:rPr>
        <w:tab/>
        <w:t>Države članice objavijo podrobne informacije o vplivu davčnih izdatkov na prihodke.</w:t>
      </w:r>
    </w:p>
    <w:p w:rsidR="00C714FC" w:rsidRPr="00C714FC" w:rsidRDefault="00C714FC" w:rsidP="00C714FC">
      <w:pPr>
        <w:widowControl/>
        <w:spacing w:before="120" w:after="120" w:line="360" w:lineRule="auto"/>
        <w:ind w:left="1418" w:hanging="567"/>
        <w:jc w:val="both"/>
        <w:rPr>
          <w:rFonts w:eastAsia="Calibri"/>
          <w:szCs w:val="24"/>
          <w:lang w:eastAsia="en-US"/>
        </w:rPr>
      </w:pPr>
      <w:r w:rsidRPr="00C714FC">
        <w:rPr>
          <w:rFonts w:eastAsia="Calibri"/>
          <w:szCs w:val="24"/>
          <w:lang w:eastAsia="en-US"/>
        </w:rPr>
        <w:t xml:space="preserve">3. </w:t>
      </w:r>
      <w:r w:rsidRPr="00C714FC">
        <w:rPr>
          <w:rFonts w:eastAsia="Calibri"/>
          <w:szCs w:val="24"/>
          <w:lang w:eastAsia="en-US"/>
        </w:rPr>
        <w:tab/>
        <w:t xml:space="preserve">Države članice za vse podsektorje države objavijo ustrezne informacije v zvezi s pogojnimi obveznostmi, ki bi lahko imele velik vpliv na javne proračune, </w:t>
      </w:r>
      <w:r w:rsidRPr="00C714FC">
        <w:rPr>
          <w:rFonts w:eastAsia="Calibri"/>
          <w:szCs w:val="24"/>
          <w:lang w:eastAsia="en-US"/>
        </w:rPr>
        <w:lastRenderedPageBreak/>
        <w:t>vključno z državnimi poroštvi, nedonosnimi posojili in obveznostmi, ki izhajajo iz delovanja javnih družb, med drugim tudi njihov obseg. Države članice v največji možni meri objavijo tudi informacije o pogojnih obveznostih, povezanih z nesrečami in podnebjem. Objavljene informacije v največji možni meri upoštevajo informacije o fiskalnih stroških, nastalih zaradi nesreč in šokov, povezanih s podnebjem. Države članice objavijo informacije o udeležbi sektorja država v kapitalu zasebnih in javnih družb, kadar gre za ekonomsko pomembne zneske.“;</w:t>
      </w:r>
    </w:p>
    <w:p w:rsidR="00C714FC" w:rsidRPr="00C714FC" w:rsidRDefault="00C714FC" w:rsidP="00C714FC">
      <w:pPr>
        <w:widowControl/>
        <w:shd w:val="clear" w:color="auto" w:fill="FFFFFF"/>
        <w:spacing w:before="120" w:line="360" w:lineRule="auto"/>
        <w:ind w:left="851" w:hanging="851"/>
        <w:jc w:val="both"/>
        <w:rPr>
          <w:rFonts w:eastAsia="Calibri"/>
          <w:color w:val="000000"/>
          <w:szCs w:val="24"/>
          <w:lang w:eastAsia="en-US"/>
        </w:rPr>
      </w:pPr>
      <w:r w:rsidRPr="00C714FC">
        <w:rPr>
          <w:rFonts w:eastAsia="Calibri"/>
          <w:color w:val="000000"/>
          <w:szCs w:val="24"/>
          <w:lang w:eastAsia="en-US"/>
        </w:rPr>
        <w:t xml:space="preserve">(14) </w:t>
      </w:r>
      <w:r w:rsidRPr="00C714FC">
        <w:rPr>
          <w:rFonts w:eastAsia="Calibri"/>
          <w:color w:val="000000"/>
          <w:szCs w:val="24"/>
          <w:lang w:eastAsia="en-US"/>
        </w:rPr>
        <w:tab/>
        <w:t>člen 15 se nadomesti z naslednjim:</w:t>
      </w:r>
    </w:p>
    <w:p w:rsidR="00C714FC" w:rsidRPr="00C714FC" w:rsidRDefault="00C714FC" w:rsidP="00C714FC">
      <w:pPr>
        <w:widowControl/>
        <w:shd w:val="clear" w:color="auto" w:fill="FFFFFF"/>
        <w:spacing w:before="120" w:line="360" w:lineRule="auto"/>
        <w:ind w:left="851"/>
        <w:rPr>
          <w:rFonts w:eastAsia="Calibri"/>
          <w:szCs w:val="24"/>
          <w:lang w:eastAsia="en-US"/>
        </w:rPr>
      </w:pPr>
      <w:r w:rsidRPr="00C714FC">
        <w:rPr>
          <w:rFonts w:eastAsia="Calibri"/>
          <w:szCs w:val="24"/>
          <w:lang w:eastAsia="en-US"/>
        </w:rPr>
        <w:t>„Člen 15</w:t>
      </w:r>
    </w:p>
    <w:p w:rsidR="00C714FC" w:rsidRPr="00C714FC" w:rsidRDefault="00C714FC" w:rsidP="00C714FC">
      <w:pPr>
        <w:widowControl/>
        <w:shd w:val="clear" w:color="auto" w:fill="FFFFFF"/>
        <w:spacing w:before="120" w:line="360" w:lineRule="auto"/>
        <w:ind w:left="1418" w:hanging="567"/>
        <w:jc w:val="both"/>
        <w:rPr>
          <w:rFonts w:eastAsia="Calibri"/>
          <w:color w:val="000000"/>
          <w:szCs w:val="24"/>
          <w:lang w:eastAsia="en-US"/>
        </w:rPr>
      </w:pPr>
      <w:r w:rsidRPr="00C714FC">
        <w:rPr>
          <w:rFonts w:eastAsia="Calibri"/>
          <w:color w:val="000000"/>
          <w:szCs w:val="24"/>
          <w:lang w:eastAsia="en-US"/>
        </w:rPr>
        <w:t>1. </w:t>
      </w:r>
      <w:r w:rsidRPr="00C714FC">
        <w:rPr>
          <w:rFonts w:eastAsia="Calibri"/>
          <w:color w:val="000000"/>
          <w:szCs w:val="24"/>
          <w:lang w:eastAsia="en-US"/>
        </w:rPr>
        <w:tab/>
        <w:t>Države članice sprejmejo predpise, potrebne za uskladitev s to direktivo do 31. decembra 2025. Komisiji nemudoma sporočijo besedila teh predpisov. Svet spodbuja države članice, naj za lastne potrebe in v interesu Unije pripravijo tabele, ki naj kar najbolj nazorno prikazujejo korelacijo med to direktivo in ukrepi za prenos, ter da te tabele objavijo.</w:t>
      </w:r>
    </w:p>
    <w:p w:rsidR="00C714FC" w:rsidRPr="00C714FC" w:rsidRDefault="00C714FC" w:rsidP="00C714FC">
      <w:pPr>
        <w:widowControl/>
        <w:shd w:val="clear" w:color="auto" w:fill="FFFFFF"/>
        <w:spacing w:before="120" w:line="360" w:lineRule="auto"/>
        <w:ind w:left="1418" w:hanging="567"/>
        <w:jc w:val="both"/>
        <w:rPr>
          <w:color w:val="000000"/>
          <w:szCs w:val="24"/>
          <w:lang w:eastAsia="en-US"/>
        </w:rPr>
      </w:pPr>
      <w:r w:rsidRPr="00C714FC">
        <w:rPr>
          <w:rFonts w:eastAsia="Calibri"/>
          <w:color w:val="000000"/>
          <w:szCs w:val="24"/>
          <w:lang w:eastAsia="en-US"/>
        </w:rPr>
        <w:t>2. </w:t>
      </w:r>
      <w:r w:rsidRPr="00C714FC">
        <w:rPr>
          <w:rFonts w:eastAsia="Calibri"/>
          <w:color w:val="000000"/>
          <w:szCs w:val="24"/>
          <w:lang w:eastAsia="en-US"/>
        </w:rPr>
        <w:tab/>
        <w:t>Države članice se v sprejetih predpisih sklicujejo na to direktivo ali pa sklic nanjo navedejo ob njihovi uradni objavi. Način sklicevanja določijo države članice.</w:t>
      </w:r>
    </w:p>
    <w:p w:rsidR="00C714FC" w:rsidRPr="00C714FC" w:rsidRDefault="00C714FC" w:rsidP="00C714FC">
      <w:pPr>
        <w:widowControl/>
        <w:shd w:val="clear" w:color="auto" w:fill="FFFFFF"/>
        <w:spacing w:before="120" w:line="360" w:lineRule="auto"/>
        <w:ind w:left="1418" w:hanging="567"/>
        <w:jc w:val="both"/>
        <w:rPr>
          <w:rFonts w:eastAsia="Calibri"/>
          <w:color w:val="000000"/>
          <w:szCs w:val="24"/>
          <w:lang w:eastAsia="en-US"/>
        </w:rPr>
      </w:pPr>
      <w:r w:rsidRPr="00C714FC">
        <w:rPr>
          <w:rFonts w:eastAsia="Calibri"/>
          <w:color w:val="000000"/>
          <w:szCs w:val="24"/>
          <w:lang w:eastAsia="en-US"/>
        </w:rPr>
        <w:t xml:space="preserve">3. </w:t>
      </w:r>
      <w:r w:rsidRPr="00C714FC">
        <w:rPr>
          <w:rFonts w:eastAsia="Calibri"/>
          <w:color w:val="000000"/>
          <w:szCs w:val="24"/>
          <w:lang w:eastAsia="en-US"/>
        </w:rPr>
        <w:tab/>
      </w:r>
      <w:r w:rsidRPr="00C714FC">
        <w:rPr>
          <w:rFonts w:eastAsia="Calibri"/>
          <w:szCs w:val="24"/>
          <w:lang w:eastAsia="en-US"/>
        </w:rPr>
        <w:t>Komisija na podlagi ustreznih informacij iz držav članic pripravi vmesno poročilo o napredku pri izvajanju glavnih določb te direktive, ki se do 30. junija 2025 predloži Evropskemu parlamentu in Svetu.</w:t>
      </w:r>
    </w:p>
    <w:p w:rsidR="00C714FC" w:rsidRPr="00C714FC" w:rsidRDefault="00C714FC" w:rsidP="00C714FC">
      <w:pPr>
        <w:widowControl/>
        <w:spacing w:before="120" w:after="120" w:line="360" w:lineRule="auto"/>
        <w:ind w:left="1418" w:hanging="567"/>
        <w:jc w:val="both"/>
        <w:rPr>
          <w:rFonts w:eastAsia="Calibri"/>
          <w:szCs w:val="24"/>
          <w:lang w:eastAsia="en-US"/>
        </w:rPr>
      </w:pPr>
      <w:r w:rsidRPr="00C714FC">
        <w:rPr>
          <w:rFonts w:eastAsia="Calibri"/>
          <w:color w:val="000000"/>
          <w:szCs w:val="24"/>
          <w:lang w:eastAsia="en-US"/>
        </w:rPr>
        <w:t>4. </w:t>
      </w:r>
      <w:r w:rsidRPr="00C714FC">
        <w:rPr>
          <w:rFonts w:eastAsia="Calibri"/>
          <w:color w:val="000000"/>
          <w:szCs w:val="24"/>
          <w:lang w:eastAsia="en-US"/>
        </w:rPr>
        <w:tab/>
        <w:t>Države članice Komisiji sporočijo besedilo temeljnih predpisov, sprejetih na področju, ki ga ureja ta direktiva.“;</w:t>
      </w:r>
    </w:p>
    <w:p w:rsidR="00C714FC" w:rsidRPr="00C714FC" w:rsidRDefault="00C714FC" w:rsidP="00C714FC">
      <w:pPr>
        <w:widowControl/>
        <w:shd w:val="clear" w:color="auto" w:fill="FFFFFF"/>
        <w:spacing w:before="120" w:line="360" w:lineRule="auto"/>
        <w:ind w:left="851" w:hanging="851"/>
        <w:jc w:val="both"/>
        <w:rPr>
          <w:rFonts w:eastAsia="Calibri"/>
          <w:color w:val="000000"/>
          <w:szCs w:val="24"/>
          <w:lang w:eastAsia="en-US"/>
        </w:rPr>
      </w:pPr>
      <w:r w:rsidRPr="00C714FC">
        <w:rPr>
          <w:rFonts w:eastAsia="Calibri"/>
          <w:color w:val="000000"/>
          <w:szCs w:val="24"/>
          <w:lang w:eastAsia="en-US"/>
        </w:rPr>
        <w:t xml:space="preserve">(15) </w:t>
      </w:r>
      <w:r w:rsidRPr="00C714FC">
        <w:rPr>
          <w:rFonts w:eastAsia="Calibri"/>
          <w:color w:val="000000"/>
          <w:szCs w:val="24"/>
          <w:lang w:eastAsia="en-US"/>
        </w:rPr>
        <w:tab/>
        <w:t>člen 16 se črta.</w:t>
      </w:r>
    </w:p>
    <w:p w:rsidR="00C714FC" w:rsidRPr="00C714FC" w:rsidRDefault="00C714FC" w:rsidP="00C714FC">
      <w:pPr>
        <w:widowControl/>
        <w:shd w:val="clear" w:color="auto" w:fill="FFFFFF"/>
        <w:spacing w:before="120" w:line="360" w:lineRule="auto"/>
        <w:ind w:left="851" w:hanging="851"/>
        <w:jc w:val="both"/>
        <w:rPr>
          <w:rFonts w:eastAsia="Calibri"/>
          <w:color w:val="000000"/>
          <w:szCs w:val="24"/>
          <w:lang w:eastAsia="en-US"/>
        </w:rPr>
      </w:pPr>
      <w:r w:rsidRPr="00C714FC">
        <w:rPr>
          <w:rFonts w:eastAsia="Calibri"/>
          <w:color w:val="000000"/>
          <w:szCs w:val="24"/>
          <w:lang w:eastAsia="en-US"/>
        </w:rPr>
        <w:t xml:space="preserve">(16) </w:t>
      </w:r>
      <w:r w:rsidRPr="00C714FC">
        <w:rPr>
          <w:rFonts w:eastAsia="Calibri"/>
          <w:color w:val="000000"/>
          <w:szCs w:val="24"/>
          <w:lang w:eastAsia="en-US"/>
        </w:rPr>
        <w:tab/>
        <w:t>doda se člen 16a:</w:t>
      </w:r>
    </w:p>
    <w:p w:rsidR="00C714FC" w:rsidRPr="00C714FC" w:rsidRDefault="00C714FC" w:rsidP="00C714FC">
      <w:pPr>
        <w:widowControl/>
        <w:shd w:val="clear" w:color="auto" w:fill="FFFFFF"/>
        <w:spacing w:before="120" w:line="360" w:lineRule="auto"/>
        <w:ind w:left="2880" w:hanging="2029"/>
        <w:rPr>
          <w:rFonts w:eastAsia="Calibri"/>
          <w:szCs w:val="24"/>
          <w:lang w:eastAsia="en-US"/>
        </w:rPr>
      </w:pPr>
      <w:r w:rsidRPr="00C714FC">
        <w:rPr>
          <w:rFonts w:eastAsia="Calibri"/>
          <w:szCs w:val="24"/>
          <w:lang w:eastAsia="en-US"/>
        </w:rPr>
        <w:t>„Člen 16a</w:t>
      </w:r>
    </w:p>
    <w:p w:rsidR="00C714FC" w:rsidRPr="00C714FC" w:rsidRDefault="00C714FC" w:rsidP="00C714FC">
      <w:pPr>
        <w:widowControl/>
        <w:shd w:val="clear" w:color="auto" w:fill="FFFFFF"/>
        <w:spacing w:before="120" w:line="360" w:lineRule="auto"/>
        <w:ind w:left="1985" w:hanging="567"/>
        <w:jc w:val="both"/>
        <w:rPr>
          <w:rFonts w:eastAsia="Calibri"/>
          <w:color w:val="000000"/>
          <w:szCs w:val="24"/>
          <w:lang w:eastAsia="en-US"/>
        </w:rPr>
      </w:pPr>
      <w:r w:rsidRPr="00C714FC">
        <w:rPr>
          <w:rFonts w:eastAsia="Calibri"/>
          <w:color w:val="000000"/>
          <w:szCs w:val="24"/>
          <w:lang w:eastAsia="en-US"/>
        </w:rPr>
        <w:t>1. </w:t>
      </w:r>
      <w:r w:rsidRPr="00C714FC">
        <w:rPr>
          <w:rFonts w:eastAsia="Calibri"/>
          <w:color w:val="000000"/>
          <w:szCs w:val="24"/>
          <w:lang w:eastAsia="en-US"/>
        </w:rPr>
        <w:tab/>
        <w:t>Komisija do 31. decembra 2025 in nato vsakih pet let poroča o stanju:</w:t>
      </w:r>
    </w:p>
    <w:p w:rsidR="00C714FC" w:rsidRPr="00C714FC" w:rsidRDefault="00C714FC" w:rsidP="00C714FC">
      <w:pPr>
        <w:widowControl/>
        <w:shd w:val="clear" w:color="auto" w:fill="FFFFFF"/>
        <w:spacing w:before="120" w:line="360" w:lineRule="auto"/>
        <w:ind w:left="2552" w:hanging="567"/>
        <w:jc w:val="both"/>
        <w:rPr>
          <w:rFonts w:eastAsia="Calibri"/>
          <w:color w:val="000000"/>
          <w:szCs w:val="24"/>
          <w:lang w:eastAsia="en-US"/>
        </w:rPr>
      </w:pPr>
      <w:r w:rsidRPr="00C714FC">
        <w:rPr>
          <w:rFonts w:eastAsia="Calibri"/>
          <w:color w:val="000000"/>
          <w:szCs w:val="24"/>
          <w:lang w:eastAsia="en-US"/>
        </w:rPr>
        <w:t>(a)</w:t>
      </w:r>
      <w:r w:rsidRPr="00C714FC">
        <w:rPr>
          <w:rFonts w:eastAsia="Calibri"/>
          <w:color w:val="000000"/>
          <w:szCs w:val="24"/>
          <w:lang w:eastAsia="en-US"/>
        </w:rPr>
        <w:tab/>
        <w:t xml:space="preserve">javnega računovodstva v sektorju država v Uniji, pri čemer upošteva napredek, dosežen od leta 2013, ko je bila ocenjena ustreznost </w:t>
      </w:r>
      <w:r w:rsidRPr="00C714FC">
        <w:rPr>
          <w:rFonts w:eastAsia="Calibri"/>
          <w:color w:val="000000"/>
          <w:szCs w:val="24"/>
          <w:lang w:eastAsia="en-US"/>
        </w:rPr>
        <w:lastRenderedPageBreak/>
        <w:t>mednarodnih računovodskih standardov za javni sektor v državah članicah;</w:t>
      </w:r>
    </w:p>
    <w:p w:rsidR="00C714FC" w:rsidRPr="00C714FC" w:rsidRDefault="00C714FC" w:rsidP="00C714FC">
      <w:pPr>
        <w:widowControl/>
        <w:shd w:val="clear" w:color="auto" w:fill="FFFFFF"/>
        <w:spacing w:before="120" w:line="360" w:lineRule="auto"/>
        <w:ind w:left="2552" w:hanging="567"/>
        <w:jc w:val="both"/>
        <w:rPr>
          <w:rFonts w:eastAsia="Calibri"/>
          <w:color w:val="000000"/>
          <w:szCs w:val="24"/>
          <w:lang w:eastAsia="en-US"/>
        </w:rPr>
      </w:pPr>
      <w:r w:rsidRPr="00C714FC">
        <w:rPr>
          <w:rFonts w:eastAsia="Calibri"/>
          <w:color w:val="000000"/>
          <w:szCs w:val="24"/>
          <w:lang w:eastAsia="en-US"/>
        </w:rPr>
        <w:t>(b)</w:t>
      </w:r>
      <w:r w:rsidRPr="00C714FC">
        <w:rPr>
          <w:rFonts w:eastAsia="Calibri"/>
          <w:color w:val="000000"/>
          <w:szCs w:val="24"/>
          <w:lang w:eastAsia="en-US"/>
        </w:rPr>
        <w:tab/>
        <w:t>zmogljivosti in nalog neodvisnih fiskalnih institucij EU, pri čemer upošteva napredek, dosežen od začetka veljavnosti te direktive, na podlagi ugotovitev iz zbirke podatkov Komisije o fiskalnem upravljanju in posvetovanj z ustreznimi deležniki, da bi preučili minimalne standarde;</w:t>
      </w:r>
    </w:p>
    <w:p w:rsidR="00C714FC" w:rsidRPr="00C714FC" w:rsidRDefault="00C714FC" w:rsidP="00C714FC">
      <w:pPr>
        <w:widowControl/>
        <w:shd w:val="clear" w:color="auto" w:fill="FFFFFF"/>
        <w:spacing w:before="120" w:line="360" w:lineRule="auto"/>
        <w:ind w:left="2007" w:hanging="567"/>
        <w:jc w:val="both"/>
        <w:rPr>
          <w:rFonts w:eastAsia="Calibri"/>
          <w:color w:val="000000"/>
          <w:szCs w:val="24"/>
          <w:lang w:eastAsia="en-US"/>
        </w:rPr>
      </w:pPr>
      <w:r w:rsidRPr="00C714FC">
        <w:rPr>
          <w:rFonts w:eastAsia="Calibri"/>
          <w:color w:val="000000"/>
          <w:szCs w:val="24"/>
          <w:lang w:eastAsia="en-US"/>
        </w:rPr>
        <w:t xml:space="preserve">2. </w:t>
      </w:r>
      <w:r w:rsidRPr="00C714FC">
        <w:rPr>
          <w:rFonts w:eastAsia="Calibri"/>
          <w:color w:val="000000"/>
          <w:szCs w:val="24"/>
          <w:lang w:eastAsia="en-US"/>
        </w:rPr>
        <w:tab/>
        <w:t>Komisija do 31. decembra 2030 in nato vsakih pet let objavi pregled učinkovitosti te direktive.“ </w:t>
      </w:r>
    </w:p>
    <w:p w:rsidR="00C714FC" w:rsidRPr="00C714FC" w:rsidRDefault="00C714FC" w:rsidP="00C714FC">
      <w:pPr>
        <w:keepNext/>
        <w:widowControl/>
        <w:spacing w:before="120"/>
        <w:jc w:val="both"/>
        <w:rPr>
          <w:rFonts w:eastAsia="Calibri"/>
          <w:szCs w:val="24"/>
          <w:lang w:eastAsia="en-US"/>
        </w:rPr>
      </w:pPr>
      <w:r w:rsidRPr="00C714FC">
        <w:rPr>
          <w:rFonts w:eastAsia="Calibri"/>
          <w:szCs w:val="24"/>
          <w:lang w:eastAsia="en-US"/>
        </w:rPr>
        <w:t>V Bruslju,</w:t>
      </w:r>
    </w:p>
    <w:p w:rsidR="00C714FC" w:rsidRPr="00854349" w:rsidRDefault="00C714FC" w:rsidP="00C714FC">
      <w:pPr>
        <w:keepNext/>
        <w:widowControl/>
        <w:tabs>
          <w:tab w:val="left" w:pos="4252"/>
        </w:tabs>
        <w:spacing w:before="720"/>
        <w:jc w:val="both"/>
      </w:pPr>
      <w:r w:rsidRPr="00C714FC">
        <w:rPr>
          <w:rFonts w:eastAsia="Calibri"/>
          <w:i/>
          <w:szCs w:val="24"/>
          <w:lang w:eastAsia="en-US"/>
        </w:rPr>
        <w:t>Za Svet</w:t>
      </w:r>
      <w:r>
        <w:rPr>
          <w:rFonts w:eastAsia="Calibri"/>
          <w:i/>
          <w:szCs w:val="24"/>
          <w:lang w:eastAsia="en-US"/>
        </w:rPr>
        <w:tab/>
      </w:r>
      <w:r w:rsidRPr="00C714FC">
        <w:rPr>
          <w:rFonts w:eastAsia="Calibri"/>
          <w:i/>
          <w:szCs w:val="24"/>
          <w:lang w:eastAsia="en-US"/>
        </w:rPr>
        <w:t>predsednik/predsednica</w:t>
      </w:r>
    </w:p>
    <w:sectPr w:rsidR="00C714FC" w:rsidRPr="00854349" w:rsidSect="00C50A9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43D" w:rsidRPr="00C50A90" w:rsidRDefault="006B243D">
      <w:r w:rsidRPr="00C50A90">
        <w:separator/>
      </w:r>
    </w:p>
  </w:endnote>
  <w:endnote w:type="continuationSeparator" w:id="0">
    <w:p w:rsidR="006B243D" w:rsidRPr="00C50A90" w:rsidRDefault="006B243D">
      <w:r w:rsidRPr="00C50A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A9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A9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A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43D" w:rsidRPr="00C50A90" w:rsidRDefault="006B243D">
      <w:r w:rsidRPr="00C50A90">
        <w:separator/>
      </w:r>
    </w:p>
  </w:footnote>
  <w:footnote w:type="continuationSeparator" w:id="0">
    <w:p w:rsidR="006B243D" w:rsidRPr="00C50A90" w:rsidRDefault="006B243D">
      <w:r w:rsidRPr="00C50A90">
        <w:continuationSeparator/>
      </w:r>
    </w:p>
  </w:footnote>
  <w:footnote w:id="1">
    <w:p w:rsidR="00C714FC" w:rsidRPr="00BD1738" w:rsidRDefault="00C714FC" w:rsidP="00C714FC">
      <w:pPr>
        <w:pStyle w:val="FootnoteText"/>
        <w:ind w:left="851" w:hanging="851"/>
        <w:rPr>
          <w:sz w:val="24"/>
          <w:szCs w:val="24"/>
          <w:lang w:val="sl-SI"/>
        </w:rPr>
      </w:pPr>
      <w:r w:rsidRPr="00BD1738">
        <w:rPr>
          <w:rStyle w:val="FootnoteReference"/>
          <w:sz w:val="24"/>
          <w:szCs w:val="24"/>
          <w:lang w:val="sl-SI"/>
        </w:rPr>
        <w:t>*</w:t>
      </w:r>
      <w:r w:rsidRPr="00BD1738">
        <w:rPr>
          <w:sz w:val="24"/>
          <w:szCs w:val="24"/>
          <w:lang w:val="sl-SI"/>
        </w:rPr>
        <w:t xml:space="preserve"> </w:t>
      </w:r>
      <w:r w:rsidRPr="00BD1738">
        <w:rPr>
          <w:sz w:val="24"/>
          <w:szCs w:val="24"/>
          <w:lang w:val="sl-SI"/>
        </w:rPr>
        <w:tab/>
        <w:t>Spremembe: krepki ležeči tisk označuje novo ali spremenjeno besedilo, simbol ▌pa tiste dele besedila, ki so bili črtani.</w:t>
      </w:r>
    </w:p>
  </w:footnote>
  <w:footnote w:id="2">
    <w:p w:rsidR="00C714FC" w:rsidRPr="00BD1738" w:rsidRDefault="00C714FC" w:rsidP="00C714FC">
      <w:pPr>
        <w:pStyle w:val="FootnoteText"/>
        <w:ind w:left="851" w:hanging="851"/>
        <w:rPr>
          <w:sz w:val="24"/>
          <w:szCs w:val="24"/>
          <w:lang w:val="sl-SI"/>
        </w:rPr>
      </w:pPr>
      <w:r w:rsidRPr="00BD1738">
        <w:rPr>
          <w:rStyle w:val="FootnoteReference"/>
          <w:sz w:val="24"/>
          <w:szCs w:val="24"/>
          <w:lang w:val="sl-SI"/>
        </w:rPr>
        <w:footnoteRef/>
      </w:r>
      <w:r w:rsidRPr="00BD1738">
        <w:rPr>
          <w:sz w:val="24"/>
          <w:szCs w:val="24"/>
          <w:lang w:val="sl-SI"/>
        </w:rPr>
        <w:tab/>
      </w:r>
      <w:r w:rsidRPr="00BD1738">
        <w:rPr>
          <w:sz w:val="24"/>
          <w:szCs w:val="24"/>
          <w:lang w:val="sl-SI"/>
        </w:rPr>
        <w:t>UL C 290, 18.8.2023, str.</w:t>
      </w:r>
      <w:r w:rsidR="00BD1738" w:rsidRPr="00BD1738">
        <w:rPr>
          <w:sz w:val="24"/>
          <w:szCs w:val="24"/>
          <w:lang w:val="sl-SI"/>
        </w:rPr>
        <w:t xml:space="preserve"> </w:t>
      </w:r>
      <w:r w:rsidRPr="00BD1738">
        <w:rPr>
          <w:sz w:val="24"/>
          <w:szCs w:val="24"/>
          <w:lang w:val="sl-SI"/>
        </w:rPr>
        <w:t>17.</w:t>
      </w:r>
    </w:p>
  </w:footnote>
  <w:footnote w:id="3">
    <w:p w:rsidR="00C714FC" w:rsidRPr="00BD1738" w:rsidRDefault="00C714FC" w:rsidP="00C714FC">
      <w:pPr>
        <w:pStyle w:val="FootnoteText"/>
        <w:ind w:left="851" w:hanging="851"/>
        <w:rPr>
          <w:sz w:val="24"/>
          <w:szCs w:val="24"/>
          <w:lang w:val="sl-SI"/>
        </w:rPr>
      </w:pPr>
      <w:r w:rsidRPr="00BD1738">
        <w:rPr>
          <w:rStyle w:val="FootnoteReference"/>
          <w:sz w:val="24"/>
          <w:szCs w:val="24"/>
          <w:lang w:val="sl-SI"/>
        </w:rPr>
        <w:footnoteRef/>
      </w:r>
      <w:r w:rsidRPr="00BD1738">
        <w:rPr>
          <w:sz w:val="24"/>
          <w:szCs w:val="24"/>
          <w:lang w:val="sl-SI"/>
        </w:rPr>
        <w:tab/>
      </w:r>
      <w:r w:rsidRPr="00BD1738">
        <w:rPr>
          <w:sz w:val="24"/>
          <w:szCs w:val="24"/>
          <w:lang w:val="sl-SI"/>
        </w:rPr>
        <w:t>Direktiva Sveta 2011/85/EU z dne 8. novembra 2011 o zahtevah v zvezi s proračunskimi okviri držav članic (UL L 306, 23.11.2011, str. 41).</w:t>
      </w:r>
    </w:p>
  </w:footnote>
  <w:footnote w:id="4">
    <w:p w:rsidR="00C714FC" w:rsidRPr="00BD1738" w:rsidRDefault="00C714FC" w:rsidP="00C714FC">
      <w:pPr>
        <w:pStyle w:val="FootnoteText"/>
        <w:ind w:left="851" w:hanging="851"/>
        <w:rPr>
          <w:sz w:val="24"/>
          <w:szCs w:val="24"/>
          <w:lang w:val="sl-SI"/>
        </w:rPr>
      </w:pPr>
      <w:r w:rsidRPr="00BD1738">
        <w:rPr>
          <w:rStyle w:val="FootnoteReference"/>
          <w:sz w:val="24"/>
          <w:szCs w:val="24"/>
          <w:lang w:val="sl-SI"/>
        </w:rPr>
        <w:footnoteRef/>
      </w:r>
      <w:r w:rsidRPr="00BD1738">
        <w:rPr>
          <w:sz w:val="24"/>
          <w:szCs w:val="24"/>
          <w:lang w:val="sl-SI"/>
        </w:rPr>
        <w:tab/>
      </w:r>
      <w:r w:rsidRPr="00BD1738">
        <w:rPr>
          <w:sz w:val="24"/>
          <w:szCs w:val="24"/>
          <w:lang w:val="sl-SI"/>
        </w:rPr>
        <w:t>Posebno poročilo Evropskega računskega sodišča iz leta 2019 z naslovom Zahteve EU za nacionalne proračunske okvire je treba dodatno okrepiti, njihovo uporabo pa bolje spremljati.</w:t>
      </w:r>
    </w:p>
  </w:footnote>
  <w:footnote w:id="5">
    <w:p w:rsidR="00C714FC" w:rsidRPr="00BD1738" w:rsidRDefault="00C714FC" w:rsidP="00C714FC">
      <w:pPr>
        <w:pStyle w:val="FootnoteText"/>
        <w:ind w:left="851" w:hanging="851"/>
        <w:rPr>
          <w:sz w:val="24"/>
          <w:szCs w:val="24"/>
          <w:lang w:val="sl-SI"/>
        </w:rPr>
      </w:pPr>
      <w:r w:rsidRPr="00BD1738">
        <w:rPr>
          <w:rStyle w:val="FootnoteReference"/>
          <w:sz w:val="24"/>
          <w:szCs w:val="24"/>
          <w:lang w:val="sl-SI"/>
        </w:rPr>
        <w:footnoteRef/>
      </w:r>
      <w:r w:rsidRPr="00BD1738">
        <w:rPr>
          <w:sz w:val="24"/>
          <w:szCs w:val="24"/>
          <w:lang w:val="sl-SI"/>
        </w:rPr>
        <w:tab/>
      </w:r>
      <w:r w:rsidRPr="00BD1738">
        <w:rPr>
          <w:sz w:val="24"/>
          <w:szCs w:val="24"/>
          <w:lang w:val="sl-SI"/>
        </w:rPr>
        <w:t>Sporočilo Komisije COM(2020)0055 z dne 5. februarja 2020 z naslovom Pregled ekonomskega upravljanja, Poročilo o uporabi uredb (EU) št. 1173/2011, 1174/2011, 1175/2011, 1176/2011, 1177/2011, 472/2013 in 473/2013 ter o primernosti Direktive Sveta 2011/85/EU.</w:t>
      </w:r>
    </w:p>
  </w:footnote>
  <w:footnote w:id="6">
    <w:p w:rsidR="00C714FC" w:rsidRPr="00BD1738" w:rsidRDefault="00C714FC" w:rsidP="00C714FC">
      <w:pPr>
        <w:pStyle w:val="FootnoteText"/>
        <w:ind w:left="851" w:hanging="851"/>
        <w:rPr>
          <w:sz w:val="24"/>
          <w:szCs w:val="24"/>
          <w:lang w:val="sl-SI"/>
        </w:rPr>
      </w:pPr>
      <w:r w:rsidRPr="00BD1738">
        <w:rPr>
          <w:rStyle w:val="FootnoteReference"/>
          <w:sz w:val="24"/>
          <w:szCs w:val="24"/>
          <w:lang w:val="sl-SI"/>
        </w:rPr>
        <w:footnoteRef/>
      </w:r>
      <w:r w:rsidRPr="00BD1738">
        <w:rPr>
          <w:sz w:val="24"/>
          <w:szCs w:val="24"/>
          <w:lang w:val="sl-SI"/>
        </w:rPr>
        <w:tab/>
      </w:r>
      <w:r w:rsidRPr="00BD1738">
        <w:rPr>
          <w:sz w:val="24"/>
          <w:szCs w:val="24"/>
          <w:lang w:val="sl-SI"/>
        </w:rPr>
        <w:t>Sporočilo Komisije COM(2019)0640 z naslovom Evropski zeleni dogovor.</w:t>
      </w:r>
    </w:p>
  </w:footnote>
  <w:footnote w:id="7">
    <w:p w:rsidR="00C714FC" w:rsidRPr="00BD1738" w:rsidRDefault="00C714FC" w:rsidP="00C714FC">
      <w:pPr>
        <w:pStyle w:val="FootnoteText"/>
        <w:ind w:left="851" w:hanging="851"/>
        <w:rPr>
          <w:sz w:val="24"/>
          <w:szCs w:val="24"/>
          <w:lang w:val="sl-SI"/>
        </w:rPr>
      </w:pPr>
      <w:r w:rsidRPr="00BD1738">
        <w:rPr>
          <w:rStyle w:val="FootnoteReference"/>
          <w:sz w:val="24"/>
          <w:szCs w:val="24"/>
          <w:lang w:val="sl-SI"/>
        </w:rPr>
        <w:footnoteRef/>
      </w:r>
      <w:r w:rsidRPr="00BD1738">
        <w:rPr>
          <w:sz w:val="24"/>
          <w:szCs w:val="24"/>
          <w:lang w:val="sl-SI"/>
        </w:rPr>
        <w:tab/>
      </w:r>
      <w:r w:rsidRPr="00BD1738">
        <w:rPr>
          <w:sz w:val="24"/>
          <w:szCs w:val="24"/>
          <w:lang w:val="sl-SI"/>
        </w:rPr>
        <w:t>Sporočilo Komisije COM(2021)0082 z naslovom Oblikovanje Evrope, odporne proti podnebnim spremembam – nova strategija EU za prilagajanje podnebnim spremembam.</w:t>
      </w:r>
    </w:p>
  </w:footnote>
  <w:footnote w:id="8">
    <w:p w:rsidR="00C714FC" w:rsidRPr="00BD1738" w:rsidRDefault="00C714FC" w:rsidP="00C714FC">
      <w:pPr>
        <w:pStyle w:val="FootnoteText"/>
        <w:ind w:left="851" w:hanging="851"/>
        <w:rPr>
          <w:sz w:val="24"/>
          <w:szCs w:val="24"/>
          <w:lang w:val="sl-SI"/>
        </w:rPr>
      </w:pPr>
      <w:r w:rsidRPr="00BD1738">
        <w:rPr>
          <w:rStyle w:val="FootnoteReference"/>
          <w:sz w:val="24"/>
          <w:szCs w:val="24"/>
          <w:lang w:val="sl-SI"/>
        </w:rPr>
        <w:footnoteRef/>
      </w:r>
      <w:r w:rsidRPr="00BD1738">
        <w:rPr>
          <w:sz w:val="24"/>
          <w:szCs w:val="24"/>
          <w:lang w:val="sl-SI"/>
        </w:rPr>
        <w:tab/>
      </w:r>
      <w:r w:rsidRPr="00BD1738">
        <w:rPr>
          <w:sz w:val="24"/>
          <w:szCs w:val="24"/>
          <w:lang w:val="sl-SI"/>
        </w:rPr>
        <w:t>Sporočilo Komisije COM(2022)0583 z naslovom Sporočilo o usmeritvah za reformo okvira ekonomskega upravljanja EU.</w:t>
      </w:r>
    </w:p>
  </w:footnote>
  <w:footnote w:id="9">
    <w:p w:rsidR="00C714FC" w:rsidRPr="00BD1738" w:rsidRDefault="00C714FC" w:rsidP="00C714FC">
      <w:pPr>
        <w:pStyle w:val="FootnoteText"/>
        <w:ind w:left="851" w:hanging="851"/>
        <w:rPr>
          <w:i/>
          <w:sz w:val="24"/>
          <w:szCs w:val="24"/>
          <w:lang w:val="sl-SI"/>
        </w:rPr>
      </w:pPr>
      <w:r w:rsidRPr="00BD1738">
        <w:rPr>
          <w:rStyle w:val="FootnoteReference"/>
          <w:sz w:val="24"/>
          <w:szCs w:val="24"/>
          <w:lang w:val="sl-SI"/>
        </w:rPr>
        <w:footnoteRef/>
      </w:r>
      <w:r w:rsidRPr="00BD1738">
        <w:rPr>
          <w:sz w:val="24"/>
          <w:szCs w:val="24"/>
          <w:lang w:val="sl-SI"/>
        </w:rPr>
        <w:tab/>
      </w:r>
      <w:r w:rsidRPr="00BD1738">
        <w:rPr>
          <w:sz w:val="24"/>
          <w:szCs w:val="24"/>
          <w:lang w:val="sl-SI"/>
        </w:rPr>
        <w:t>Uredba (EU) Evropskega parlamenta in Sveta z dne [</w:t>
      </w:r>
      <w:r w:rsidRPr="00BD1738">
        <w:rPr>
          <w:i/>
          <w:iCs/>
          <w:sz w:val="24"/>
          <w:szCs w:val="24"/>
          <w:lang w:val="sl-SI"/>
        </w:rPr>
        <w:t>vstaviti datum</w:t>
      </w:r>
      <w:r w:rsidRPr="00BD1738">
        <w:rPr>
          <w:sz w:val="24"/>
          <w:szCs w:val="24"/>
          <w:lang w:val="sl-SI"/>
        </w:rPr>
        <w:t>] [</w:t>
      </w:r>
      <w:r w:rsidRPr="00BD1738">
        <w:rPr>
          <w:i/>
          <w:iCs/>
          <w:sz w:val="24"/>
          <w:szCs w:val="24"/>
          <w:lang w:val="sl-SI"/>
        </w:rPr>
        <w:t>vstaviti naslov v celoti</w:t>
      </w:r>
      <w:r w:rsidRPr="00BD1738">
        <w:rPr>
          <w:sz w:val="24"/>
          <w:szCs w:val="24"/>
          <w:lang w:val="sl-SI"/>
        </w:rPr>
        <w:t>] (UL L ..).</w:t>
      </w:r>
    </w:p>
  </w:footnote>
  <w:footnote w:id="10">
    <w:p w:rsidR="00C714FC" w:rsidRPr="00BD1738" w:rsidRDefault="00C714FC" w:rsidP="00C714FC">
      <w:pPr>
        <w:pStyle w:val="FootnoteText"/>
        <w:ind w:left="851" w:hanging="851"/>
        <w:rPr>
          <w:sz w:val="24"/>
          <w:szCs w:val="24"/>
          <w:lang w:val="sl-SI"/>
        </w:rPr>
      </w:pPr>
      <w:r w:rsidRPr="00BD1738">
        <w:rPr>
          <w:rStyle w:val="FootnoteReference"/>
          <w:sz w:val="24"/>
          <w:szCs w:val="24"/>
          <w:lang w:val="sl-SI"/>
        </w:rPr>
        <w:footnoteRef/>
      </w:r>
      <w:r w:rsidRPr="00BD1738">
        <w:rPr>
          <w:sz w:val="24"/>
          <w:szCs w:val="24"/>
          <w:lang w:val="sl-SI"/>
        </w:rPr>
        <w:tab/>
      </w:r>
      <w:r w:rsidRPr="00BD1738">
        <w:rPr>
          <w:sz w:val="24"/>
          <w:szCs w:val="24"/>
          <w:lang w:val="sl-SI"/>
        </w:rPr>
        <w:t>Uredba Sveta (ES) št. 1466/97 z dne 7. julija 1997 o okrepitvi nadzora nad proračunskim stanjem ter o nadzoru in usklajevanju gospodarskih politik (UL L 209, 2.8.1997, str. 1).</w:t>
      </w:r>
    </w:p>
  </w:footnote>
  <w:footnote w:id="11">
    <w:p w:rsidR="00C714FC" w:rsidRPr="00BD1738" w:rsidRDefault="00C714FC" w:rsidP="00C714FC">
      <w:pPr>
        <w:pStyle w:val="FootnoteText"/>
        <w:ind w:left="851" w:hanging="851"/>
        <w:rPr>
          <w:sz w:val="24"/>
          <w:szCs w:val="24"/>
          <w:lang w:val="sl-SI"/>
        </w:rPr>
      </w:pPr>
      <w:r w:rsidRPr="00BD1738">
        <w:rPr>
          <w:rStyle w:val="FootnoteReference"/>
          <w:sz w:val="24"/>
          <w:szCs w:val="24"/>
          <w:lang w:val="sl-SI"/>
        </w:rPr>
        <w:footnoteRef/>
      </w:r>
      <w:r w:rsidRPr="00BD1738">
        <w:rPr>
          <w:sz w:val="24"/>
          <w:szCs w:val="24"/>
          <w:lang w:val="sl-SI"/>
        </w:rPr>
        <w:tab/>
      </w:r>
      <w:r w:rsidRPr="00BD1738">
        <w:rPr>
          <w:sz w:val="24"/>
          <w:szCs w:val="24"/>
          <w:lang w:val="sl-SI"/>
        </w:rPr>
        <w:t>Uredba (EU) Sveta z dne [</w:t>
      </w:r>
      <w:r w:rsidRPr="00BD1738">
        <w:rPr>
          <w:i/>
          <w:iCs/>
          <w:sz w:val="24"/>
          <w:szCs w:val="24"/>
          <w:lang w:val="sl-SI"/>
        </w:rPr>
        <w:t>vstaviti datum</w:t>
      </w:r>
      <w:r w:rsidRPr="00BD1738">
        <w:rPr>
          <w:sz w:val="24"/>
          <w:szCs w:val="24"/>
          <w:lang w:val="sl-SI"/>
        </w:rPr>
        <w:t>] [</w:t>
      </w:r>
      <w:r w:rsidRPr="00BD1738">
        <w:rPr>
          <w:i/>
          <w:iCs/>
          <w:sz w:val="24"/>
          <w:szCs w:val="24"/>
          <w:lang w:val="sl-SI"/>
        </w:rPr>
        <w:t>vstaviti naslov v celoti</w:t>
      </w:r>
      <w:r w:rsidRPr="00BD1738">
        <w:rPr>
          <w:sz w:val="24"/>
          <w:szCs w:val="24"/>
          <w:lang w:val="sl-SI"/>
        </w:rPr>
        <w:t>] (UL L ..).</w:t>
      </w:r>
    </w:p>
  </w:footnote>
  <w:footnote w:id="12">
    <w:p w:rsidR="00C714FC" w:rsidRPr="00BD1738" w:rsidRDefault="00C714FC" w:rsidP="00C714FC">
      <w:pPr>
        <w:pStyle w:val="FootnoteText"/>
        <w:ind w:left="851" w:hanging="851"/>
        <w:rPr>
          <w:sz w:val="24"/>
          <w:szCs w:val="24"/>
          <w:lang w:val="sl-SI"/>
        </w:rPr>
      </w:pPr>
      <w:r w:rsidRPr="00BD1738">
        <w:rPr>
          <w:rStyle w:val="FootnoteReference"/>
          <w:sz w:val="24"/>
          <w:szCs w:val="24"/>
          <w:lang w:val="sl-SI"/>
        </w:rPr>
        <w:footnoteRef/>
      </w:r>
      <w:r w:rsidRPr="00BD1738">
        <w:rPr>
          <w:sz w:val="24"/>
          <w:szCs w:val="24"/>
          <w:lang w:val="sl-SI"/>
        </w:rPr>
        <w:tab/>
      </w:r>
      <w:r w:rsidRPr="00BD1738">
        <w:rPr>
          <w:sz w:val="24"/>
          <w:szCs w:val="24"/>
          <w:lang w:val="sl-SI"/>
        </w:rPr>
        <w:t>Uredba Sveta (ES) št. 1467/97 z dne 7. julija 1997 o pospešitvi in razjasnitvi izvajanja postopka v zvezi s čezmernim primanjkljajem (UL L 209, 2.8.1997, str. 6).</w:t>
      </w:r>
    </w:p>
  </w:footnote>
  <w:footnote w:id="13">
    <w:p w:rsidR="00C714FC" w:rsidRPr="00BD1738" w:rsidRDefault="00C714FC" w:rsidP="00C714FC">
      <w:pPr>
        <w:pStyle w:val="FootnoteText"/>
        <w:ind w:left="851" w:hanging="851"/>
        <w:contextualSpacing/>
        <w:rPr>
          <w:sz w:val="24"/>
          <w:szCs w:val="24"/>
          <w:lang w:val="sl-SI"/>
        </w:rPr>
      </w:pPr>
      <w:r w:rsidRPr="00BD1738">
        <w:rPr>
          <w:rStyle w:val="FootnoteReference"/>
          <w:sz w:val="24"/>
          <w:szCs w:val="24"/>
          <w:lang w:val="sl-SI"/>
        </w:rPr>
        <w:footnoteRef/>
      </w:r>
      <w:r w:rsidRPr="00BD1738">
        <w:rPr>
          <w:sz w:val="24"/>
          <w:szCs w:val="24"/>
          <w:lang w:val="sl-SI"/>
        </w:rPr>
        <w:tab/>
      </w:r>
      <w:r w:rsidRPr="00BD1738">
        <w:rPr>
          <w:sz w:val="24"/>
          <w:szCs w:val="24"/>
          <w:lang w:val="sl-SI"/>
        </w:rPr>
        <w:t>Pogodba o stabilnosti, usklajevanju in upravljanju v ekonomski in monetarni uniji z dne 2. marca 2012.</w:t>
      </w:r>
    </w:p>
  </w:footnote>
  <w:footnote w:id="14">
    <w:p w:rsidR="00C714FC" w:rsidRPr="00BD1738" w:rsidRDefault="00C714FC" w:rsidP="00C714FC">
      <w:pPr>
        <w:pStyle w:val="FootnoteText"/>
        <w:ind w:left="851" w:hanging="851"/>
        <w:rPr>
          <w:sz w:val="24"/>
          <w:szCs w:val="24"/>
          <w:lang w:val="sl-SI"/>
        </w:rPr>
      </w:pPr>
      <w:r w:rsidRPr="00BD1738">
        <w:rPr>
          <w:rStyle w:val="FootnoteReference"/>
          <w:sz w:val="24"/>
          <w:szCs w:val="24"/>
          <w:lang w:val="sl-SI"/>
        </w:rPr>
        <w:footnoteRef/>
      </w:r>
      <w:r w:rsidRPr="00BD1738">
        <w:rPr>
          <w:sz w:val="24"/>
          <w:szCs w:val="24"/>
          <w:lang w:val="sl-SI"/>
        </w:rPr>
        <w:tab/>
      </w:r>
      <w:r w:rsidRPr="00BD1738">
        <w:rPr>
          <w:sz w:val="24"/>
          <w:szCs w:val="24"/>
          <w:lang w:val="sl-SI"/>
        </w:rPr>
        <w:t>Sporočilo Komisije COM(2012)0342 z dne 20. junija 2012 z naslovom Skupna načela za nacionalne fiskalne popravljalne mehanizme.</w:t>
      </w:r>
    </w:p>
  </w:footnote>
  <w:footnote w:id="15">
    <w:p w:rsidR="00C714FC" w:rsidRPr="00BD1738" w:rsidRDefault="00C714FC" w:rsidP="00C714FC">
      <w:pPr>
        <w:pStyle w:val="FootnoteText"/>
        <w:ind w:left="851" w:hanging="851"/>
        <w:rPr>
          <w:sz w:val="24"/>
          <w:szCs w:val="24"/>
          <w:lang w:val="sl-SI"/>
        </w:rPr>
      </w:pPr>
      <w:r w:rsidRPr="00BD1738">
        <w:rPr>
          <w:rStyle w:val="FootnoteReference"/>
          <w:sz w:val="24"/>
          <w:szCs w:val="24"/>
          <w:lang w:val="sl-SI"/>
        </w:rPr>
        <w:footnoteRef/>
      </w:r>
      <w:r w:rsidRPr="00BD1738">
        <w:rPr>
          <w:sz w:val="24"/>
          <w:szCs w:val="24"/>
          <w:lang w:val="sl-SI"/>
        </w:rPr>
        <w:tab/>
      </w:r>
      <w:r w:rsidRPr="00BD1738">
        <w:rPr>
          <w:sz w:val="24"/>
          <w:szCs w:val="24"/>
          <w:lang w:val="sl-SI"/>
        </w:rPr>
        <w:t>Uredba (EU) št. 473/2013 Evropskega parlamenta in Sveta z dne 21. maja 2013 o skupnih določbah za spremljanje in ocenjevanje osnutkov proračunskih načrtov ter zagotavljanje zmanjšanja čezmernega primanjkljaja držav članic v euroobmočju (UL L 140, 27.5.2013, str. 11).</w:t>
      </w:r>
    </w:p>
    <w:p w:rsidR="00C714FC" w:rsidRPr="00BD1738" w:rsidRDefault="00C714FC" w:rsidP="00C714FC">
      <w:pPr>
        <w:pStyle w:val="FootnoteText"/>
        <w:ind w:left="851" w:hanging="851"/>
        <w:rPr>
          <w:sz w:val="24"/>
          <w:szCs w:val="24"/>
          <w:lang w:val="sl-SI"/>
        </w:rPr>
      </w:pPr>
    </w:p>
  </w:footnote>
  <w:footnote w:id="16">
    <w:p w:rsidR="00C714FC" w:rsidRPr="00BD1738" w:rsidRDefault="00C714FC" w:rsidP="00C714FC">
      <w:pPr>
        <w:pStyle w:val="FootnoteText"/>
        <w:ind w:left="851" w:hanging="851"/>
        <w:rPr>
          <w:sz w:val="24"/>
          <w:szCs w:val="24"/>
          <w:lang w:val="sl-SI"/>
        </w:rPr>
      </w:pPr>
      <w:r w:rsidRPr="00BD1738">
        <w:rPr>
          <w:rStyle w:val="FootnoteReference"/>
          <w:sz w:val="24"/>
          <w:szCs w:val="24"/>
          <w:lang w:val="sl-SI"/>
        </w:rPr>
        <w:footnoteRef/>
      </w:r>
      <w:r w:rsidRPr="00BD1738">
        <w:rPr>
          <w:sz w:val="24"/>
          <w:szCs w:val="24"/>
          <w:lang w:val="sl-SI"/>
        </w:rPr>
        <w:tab/>
      </w:r>
      <w:r w:rsidRPr="00BD1738">
        <w:rPr>
          <w:sz w:val="24"/>
          <w:szCs w:val="24"/>
          <w:lang w:val="sl-SI"/>
        </w:rPr>
        <w:t>Sporočilo Komisije COM(2022)0494 z dne 28. septembra 2022 z naslovom Boljše ocenjevanje porazdelitvenega učinka politik držav članic in člen 6(3), točka (d), Uredbe (EU) št. 473/2013 Evropskega parlamenta in Sveta z dne 21. maja 2013 o skupnih določbah za spremljanje in ocenjevanje osnutkov proračunskih načrtov ter zagotavljanje zmanjšanja čezmernega primanjkljaja držav članic v euroobmočju (UL L 140, 27.5.2013, str.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A9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A9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50A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SL"/>
    <w:docVar w:name="dvnumam" w:val="0"/>
    <w:docVar w:name="dvpe" w:val="757.278"/>
    <w:docVar w:name="dvrapporteur" w:val="Poročevalki: "/>
    <w:docVar w:name="dvstar" w:val="*"/>
    <w:docVar w:name="dvtitre" w:val="Zakonodajna resolucija Evropskega parlamenta z dne … 2024 o predlogu direktive Sveta o spremembi Direktive 2011/85/EU o zahtevah v zvezi s proračunskimi okviri držav članic(COM(2023)0242 – C9-0171/2023 – 2023/0136(NLE))"/>
  </w:docVars>
  <w:rsids>
    <w:rsidRoot w:val="006B243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24AE"/>
    <w:rsid w:val="00560270"/>
    <w:rsid w:val="005C2568"/>
    <w:rsid w:val="005D7F40"/>
    <w:rsid w:val="006037C0"/>
    <w:rsid w:val="006631B6"/>
    <w:rsid w:val="00680577"/>
    <w:rsid w:val="00687F97"/>
    <w:rsid w:val="006B243D"/>
    <w:rsid w:val="006F74FA"/>
    <w:rsid w:val="00721A19"/>
    <w:rsid w:val="00731ADD"/>
    <w:rsid w:val="00734777"/>
    <w:rsid w:val="00747932"/>
    <w:rsid w:val="00751A4A"/>
    <w:rsid w:val="00756632"/>
    <w:rsid w:val="00762C74"/>
    <w:rsid w:val="00786EC0"/>
    <w:rsid w:val="007D1690"/>
    <w:rsid w:val="007E22AD"/>
    <w:rsid w:val="007F3F9C"/>
    <w:rsid w:val="00817416"/>
    <w:rsid w:val="00842779"/>
    <w:rsid w:val="00854349"/>
    <w:rsid w:val="00865F67"/>
    <w:rsid w:val="00881A7B"/>
    <w:rsid w:val="008840E5"/>
    <w:rsid w:val="00887B3E"/>
    <w:rsid w:val="008C2AC6"/>
    <w:rsid w:val="00930C23"/>
    <w:rsid w:val="0093193B"/>
    <w:rsid w:val="009509D8"/>
    <w:rsid w:val="00950B64"/>
    <w:rsid w:val="00981893"/>
    <w:rsid w:val="00A03833"/>
    <w:rsid w:val="00A1687D"/>
    <w:rsid w:val="00A43E52"/>
    <w:rsid w:val="00A4678D"/>
    <w:rsid w:val="00A76E95"/>
    <w:rsid w:val="00A778C7"/>
    <w:rsid w:val="00AB441E"/>
    <w:rsid w:val="00AB6293"/>
    <w:rsid w:val="00AC486D"/>
    <w:rsid w:val="00AC7CB3"/>
    <w:rsid w:val="00AE0928"/>
    <w:rsid w:val="00AF3B82"/>
    <w:rsid w:val="00B12E95"/>
    <w:rsid w:val="00B22876"/>
    <w:rsid w:val="00B558F0"/>
    <w:rsid w:val="00BD1738"/>
    <w:rsid w:val="00BD48FE"/>
    <w:rsid w:val="00BD7BD8"/>
    <w:rsid w:val="00BE6ADC"/>
    <w:rsid w:val="00C05BFE"/>
    <w:rsid w:val="00C23CD4"/>
    <w:rsid w:val="00C50A90"/>
    <w:rsid w:val="00C61C0C"/>
    <w:rsid w:val="00C714F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729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332395"/>
  <w15:chartTrackingRefBased/>
  <w15:docId w15:val="{9A097E2C-CFFC-4271-8C3C-AAC333D7C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AC7CB3"/>
    <w:pPr>
      <w:keepNext/>
      <w:spacing w:after="480"/>
      <w:jc w:val="center"/>
    </w:pPr>
    <w:rPr>
      <w:rFonts w:ascii="Arial" w:hAnsi="Arial" w:cs="Arial"/>
      <w:b/>
    </w:rPr>
  </w:style>
  <w:style w:type="paragraph" w:customStyle="1" w:styleId="NormalBold">
    <w:name w:val="NormalBold"/>
    <w:basedOn w:val="Normal"/>
    <w:rsid w:val="00AC7CB3"/>
    <w:rPr>
      <w:b/>
    </w:rPr>
  </w:style>
  <w:style w:type="paragraph" w:customStyle="1" w:styleId="NormalHanging12a">
    <w:name w:val="NormalHanging12a"/>
    <w:basedOn w:val="Normal"/>
    <w:rsid w:val="00AC7CB3"/>
    <w:pPr>
      <w:spacing w:after="240"/>
      <w:ind w:left="567" w:hanging="567"/>
    </w:pPr>
  </w:style>
  <w:style w:type="paragraph" w:customStyle="1" w:styleId="AmNumberTabs">
    <w:name w:val="AmNumberTabs"/>
    <w:basedOn w:val="Normal"/>
    <w:rsid w:val="00AC7CB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AC7CB3"/>
    <w:pPr>
      <w:spacing w:before="480" w:after="240"/>
    </w:pPr>
  </w:style>
  <w:style w:type="paragraph" w:customStyle="1" w:styleId="NormalCenter12a">
    <w:name w:val="NormalCenter12a"/>
    <w:basedOn w:val="Normal"/>
    <w:rsid w:val="00AC7CB3"/>
    <w:pPr>
      <w:spacing w:after="240"/>
      <w:jc w:val="center"/>
    </w:pPr>
  </w:style>
  <w:style w:type="paragraph" w:customStyle="1" w:styleId="AmHeadingConsam">
    <w:name w:val="AmHeadingConsam"/>
    <w:basedOn w:val="Normal"/>
    <w:next w:val="NormalCenter12a"/>
    <w:rsid w:val="00AC7CB3"/>
    <w:pPr>
      <w:spacing w:before="720" w:after="240"/>
      <w:jc w:val="center"/>
    </w:pPr>
  </w:style>
  <w:style w:type="paragraph" w:styleId="ListParagraph">
    <w:name w:val="List Paragraph"/>
    <w:basedOn w:val="Normal"/>
    <w:uiPriority w:val="34"/>
    <w:qFormat/>
    <w:rsid w:val="00AC7CB3"/>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AC7CB3"/>
    <w:pPr>
      <w:widowControl/>
      <w:spacing w:before="120" w:after="120"/>
      <w:ind w:left="850"/>
      <w:jc w:val="both"/>
    </w:pPr>
    <w:rPr>
      <w:rFonts w:eastAsiaTheme="minorHAnsi"/>
      <w:szCs w:val="22"/>
      <w:lang w:eastAsia="en-US"/>
    </w:rPr>
  </w:style>
  <w:style w:type="paragraph" w:customStyle="1" w:styleId="Text2">
    <w:name w:val="Text 2"/>
    <w:basedOn w:val="Normal"/>
    <w:rsid w:val="00AC7CB3"/>
    <w:pPr>
      <w:widowControl/>
      <w:spacing w:before="120" w:after="120"/>
      <w:ind w:left="1417"/>
      <w:jc w:val="both"/>
    </w:pPr>
    <w:rPr>
      <w:rFonts w:eastAsiaTheme="minorHAnsi"/>
      <w:szCs w:val="22"/>
      <w:lang w:eastAsia="en-US"/>
    </w:rPr>
  </w:style>
  <w:style w:type="paragraph" w:customStyle="1" w:styleId="Text3">
    <w:name w:val="Text 3"/>
    <w:basedOn w:val="Normal"/>
    <w:rsid w:val="00AC7CB3"/>
    <w:pPr>
      <w:widowControl/>
      <w:spacing w:before="120" w:after="120"/>
      <w:ind w:left="1984"/>
      <w:jc w:val="both"/>
    </w:pPr>
    <w:rPr>
      <w:rFonts w:eastAsiaTheme="minorHAnsi"/>
      <w:szCs w:val="22"/>
      <w:lang w:eastAsia="en-US"/>
    </w:rPr>
  </w:style>
  <w:style w:type="paragraph" w:customStyle="1" w:styleId="Point3">
    <w:name w:val="Point 3"/>
    <w:basedOn w:val="Normal"/>
    <w:rsid w:val="00AC7CB3"/>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AC7CB3"/>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AC7CB3"/>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AC7CB3"/>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AC7CB3"/>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AC7CB3"/>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AC7CB3"/>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AC7CB3"/>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AC7CB3"/>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AC7CB3"/>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AC7CB3"/>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Normal"/>
    <w:rsid w:val="00AC7CB3"/>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AC7CB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C7CB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C7CB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C7CB3"/>
    <w:pPr>
      <w:keepNext/>
      <w:widowControl/>
      <w:spacing w:before="600" w:after="120"/>
      <w:jc w:val="both"/>
    </w:pPr>
    <w:rPr>
      <w:rFonts w:eastAsiaTheme="minorHAnsi"/>
      <w:szCs w:val="22"/>
      <w:lang w:eastAsia="en-US"/>
    </w:rPr>
  </w:style>
  <w:style w:type="paragraph" w:customStyle="1" w:styleId="Typedudocument">
    <w:name w:val="Type du document"/>
    <w:basedOn w:val="Normal"/>
    <w:next w:val="Titreobjet"/>
    <w:rsid w:val="00AC7CB3"/>
    <w:pPr>
      <w:widowControl/>
      <w:spacing w:before="360"/>
      <w:jc w:val="center"/>
    </w:pPr>
    <w:rPr>
      <w:rFonts w:eastAsiaTheme="minorHAnsi"/>
      <w:b/>
      <w:szCs w:val="22"/>
      <w:lang w:eastAsia="en-US"/>
    </w:rPr>
  </w:style>
  <w:style w:type="paragraph" w:customStyle="1" w:styleId="Titreobjet">
    <w:name w:val="Titre objet"/>
    <w:basedOn w:val="Normal"/>
    <w:next w:val="Normal"/>
    <w:rsid w:val="00AC7CB3"/>
    <w:pPr>
      <w:widowControl/>
      <w:spacing w:before="360" w:after="360"/>
      <w:jc w:val="center"/>
    </w:pPr>
    <w:rPr>
      <w:rFonts w:eastAsiaTheme="minorHAnsi"/>
      <w:b/>
      <w:szCs w:val="22"/>
      <w:lang w:eastAsia="en-US"/>
    </w:rPr>
  </w:style>
  <w:style w:type="character" w:customStyle="1" w:styleId="Added">
    <w:name w:val="Added"/>
    <w:basedOn w:val="DefaultParagraphFont"/>
    <w:rsid w:val="00AC7CB3"/>
    <w:rPr>
      <w:b/>
      <w:bCs w:val="0"/>
      <w:u w:val="single"/>
    </w:rPr>
  </w:style>
  <w:style w:type="paragraph" w:styleId="BalloonText">
    <w:name w:val="Balloon Text"/>
    <w:basedOn w:val="Normal"/>
    <w:link w:val="BalloonTextChar"/>
    <w:rsid w:val="00854349"/>
    <w:rPr>
      <w:rFonts w:ascii="Segoe UI" w:hAnsi="Segoe UI" w:cs="Segoe UI"/>
      <w:sz w:val="18"/>
      <w:szCs w:val="18"/>
    </w:rPr>
  </w:style>
  <w:style w:type="character" w:customStyle="1" w:styleId="BalloonTextChar">
    <w:name w:val="Balloon Text Char"/>
    <w:basedOn w:val="DefaultParagraphFont"/>
    <w:link w:val="BalloonText"/>
    <w:rsid w:val="00854349"/>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0F59B-73EE-4944-B5A0-3675CE8C9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4160</Words>
  <Characters>25931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3</cp:revision>
  <cp:lastPrinted>2004-11-19T15:42:00Z</cp:lastPrinted>
  <dcterms:created xsi:type="dcterms:W3CDTF">2024-04-23T11:59:00Z</dcterms:created>
  <dcterms:modified xsi:type="dcterms:W3CDTF">2024-09-10T12:50:00Z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A9-0440/2023</vt:lpwstr>
  </property>
  <property fmtid="{D5CDD505-2E9C-101B-9397-08002B2CF9AE}" pid="4" name="&lt;Type&gt;">
    <vt:lpwstr>RR</vt:lpwstr>
  </property>
</Properties>
</file>