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02DC" w14:paraId="166882E6" w14:textId="77777777" w:rsidTr="0010095E">
        <w:trPr>
          <w:trHeight w:hRule="exact" w:val="1418"/>
        </w:trPr>
        <w:tc>
          <w:tcPr>
            <w:tcW w:w="6804" w:type="dxa"/>
            <w:shd w:val="clear" w:color="auto" w:fill="auto"/>
            <w:vAlign w:val="center"/>
          </w:tcPr>
          <w:p w14:paraId="6613BF56" w14:textId="77777777" w:rsidR="00751A4A" w:rsidRPr="00A502DC" w:rsidRDefault="002A2643" w:rsidP="0010095E">
            <w:pPr>
              <w:pStyle w:val="EPName"/>
              <w:rPr>
                <w:sz w:val="24"/>
                <w:szCs w:val="24"/>
              </w:rPr>
            </w:pPr>
            <w:r w:rsidRPr="00A502DC">
              <w:rPr>
                <w:sz w:val="24"/>
                <w:szCs w:val="24"/>
              </w:rPr>
              <w:t>Europaparlamentet</w:t>
            </w:r>
          </w:p>
          <w:p w14:paraId="1EA044B9" w14:textId="77777777" w:rsidR="00751A4A" w:rsidRPr="00A502DC" w:rsidRDefault="00817416" w:rsidP="00756632">
            <w:pPr>
              <w:pStyle w:val="EPTerm"/>
              <w:rPr>
                <w:rStyle w:val="HideTWBExt"/>
                <w:noProof w:val="0"/>
                <w:vanish w:val="0"/>
                <w:color w:val="auto"/>
                <w:sz w:val="24"/>
                <w:szCs w:val="24"/>
              </w:rPr>
            </w:pPr>
            <w:r w:rsidRPr="00A502DC">
              <w:rPr>
                <w:sz w:val="24"/>
                <w:szCs w:val="24"/>
              </w:rPr>
              <w:t>2019-2024</w:t>
            </w:r>
          </w:p>
        </w:tc>
        <w:tc>
          <w:tcPr>
            <w:tcW w:w="2268" w:type="dxa"/>
            <w:shd w:val="clear" w:color="auto" w:fill="auto"/>
          </w:tcPr>
          <w:p w14:paraId="05793810" w14:textId="77777777" w:rsidR="00751A4A" w:rsidRPr="00A502DC" w:rsidRDefault="00187494" w:rsidP="0010095E">
            <w:pPr>
              <w:pStyle w:val="EPLogo"/>
              <w:rPr>
                <w:szCs w:val="24"/>
              </w:rPr>
            </w:pPr>
            <w:r w:rsidRPr="00A502DC">
              <w:rPr>
                <w:noProof/>
                <w:szCs w:val="24"/>
                <w:lang w:val="en-GB"/>
              </w:rPr>
              <w:drawing>
                <wp:inline distT="0" distB="0" distL="0" distR="0" wp14:anchorId="23AF299F" wp14:editId="11DC6D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72772A" w14:textId="77777777" w:rsidR="00D058B8" w:rsidRPr="00A502DC" w:rsidRDefault="00D058B8" w:rsidP="004C5D52">
      <w:pPr>
        <w:pStyle w:val="LineTop"/>
        <w:rPr>
          <w:sz w:val="24"/>
          <w:szCs w:val="24"/>
        </w:rPr>
      </w:pPr>
    </w:p>
    <w:p w14:paraId="3C525648" w14:textId="77777777" w:rsidR="00680577" w:rsidRPr="00A502DC" w:rsidRDefault="002A2643" w:rsidP="00680577">
      <w:pPr>
        <w:pStyle w:val="EPBodyTA1"/>
        <w:rPr>
          <w:sz w:val="24"/>
          <w:szCs w:val="24"/>
        </w:rPr>
      </w:pPr>
      <w:r w:rsidRPr="00A502DC">
        <w:rPr>
          <w:sz w:val="24"/>
          <w:szCs w:val="24"/>
        </w:rPr>
        <w:t>ANTAGNA TEXTER</w:t>
      </w:r>
    </w:p>
    <w:p w14:paraId="3DC4E1B2" w14:textId="77777777" w:rsidR="00D058B8" w:rsidRPr="00A502DC" w:rsidRDefault="00D058B8" w:rsidP="00D058B8">
      <w:pPr>
        <w:pStyle w:val="LineBottom"/>
        <w:rPr>
          <w:sz w:val="24"/>
          <w:szCs w:val="24"/>
        </w:rPr>
      </w:pPr>
    </w:p>
    <w:p w14:paraId="451345D3" w14:textId="2D522069" w:rsidR="002A2643" w:rsidRPr="00A502DC" w:rsidRDefault="002A2643" w:rsidP="00A502DC">
      <w:pPr>
        <w:pStyle w:val="ATHeading1"/>
      </w:pPr>
      <w:bookmarkStart w:id="0" w:name="TANumber"/>
      <w:r w:rsidRPr="00A502DC">
        <w:t>P9_TA(2024)0</w:t>
      </w:r>
      <w:bookmarkEnd w:id="0"/>
      <w:r w:rsidR="00A502DC" w:rsidRPr="00A502DC">
        <w:t>313</w:t>
      </w:r>
    </w:p>
    <w:p w14:paraId="0F6A9988" w14:textId="7C4611E4" w:rsidR="002A2643" w:rsidRPr="00A502DC" w:rsidRDefault="00E536BC" w:rsidP="00A502DC">
      <w:pPr>
        <w:pStyle w:val="ATHeading2"/>
      </w:pPr>
      <w:bookmarkStart w:id="1" w:name="title"/>
      <w:r w:rsidRPr="00A502DC">
        <w:t>Krav på medlemsstaternas budgetramverk – ändring av direktiv</w:t>
      </w:r>
      <w:bookmarkEnd w:id="1"/>
    </w:p>
    <w:p w14:paraId="07909CC6" w14:textId="22E6A608" w:rsidR="002A2643" w:rsidRPr="00A502DC" w:rsidRDefault="002A2643" w:rsidP="002A2643">
      <w:pPr>
        <w:rPr>
          <w:i/>
          <w:vanish/>
          <w:szCs w:val="24"/>
        </w:rPr>
      </w:pPr>
      <w:r w:rsidRPr="00A502DC">
        <w:rPr>
          <w:i/>
          <w:szCs w:val="24"/>
        </w:rPr>
        <w:fldChar w:fldCharType="begin"/>
      </w:r>
      <w:r w:rsidRPr="00A502DC">
        <w:rPr>
          <w:i/>
          <w:szCs w:val="24"/>
        </w:rPr>
        <w:instrText xml:space="preserve"> TC"(</w:instrText>
      </w:r>
      <w:bookmarkStart w:id="2" w:name="DocNumber"/>
      <w:r w:rsidRPr="00A502DC">
        <w:rPr>
          <w:i/>
          <w:szCs w:val="24"/>
        </w:rPr>
        <w:instrText>A9-0440/2023</w:instrText>
      </w:r>
      <w:bookmarkEnd w:id="2"/>
      <w:r w:rsidRPr="00A502DC">
        <w:rPr>
          <w:i/>
          <w:szCs w:val="24"/>
        </w:rPr>
        <w:instrText xml:space="preserve"> - Föredragande: </w:instrText>
      </w:r>
      <w:r w:rsidR="00F2460B" w:rsidRPr="00A502DC">
        <w:rPr>
          <w:i/>
          <w:szCs w:val="24"/>
        </w:rPr>
        <w:instrText xml:space="preserve">Markus </w:instrText>
      </w:r>
      <w:proofErr w:type="spellStart"/>
      <w:r w:rsidR="00F2460B" w:rsidRPr="00A502DC">
        <w:rPr>
          <w:i/>
          <w:szCs w:val="24"/>
        </w:rPr>
        <w:instrText>Ferber</w:instrText>
      </w:r>
      <w:proofErr w:type="spellEnd"/>
      <w:r w:rsidRPr="00A502DC">
        <w:rPr>
          <w:i/>
          <w:szCs w:val="24"/>
        </w:rPr>
        <w:instrText xml:space="preserve">, </w:instrText>
      </w:r>
      <w:proofErr w:type="spellStart"/>
      <w:r w:rsidRPr="00A502DC">
        <w:rPr>
          <w:i/>
          <w:szCs w:val="24"/>
        </w:rPr>
        <w:instrText>Margarida</w:instrText>
      </w:r>
      <w:proofErr w:type="spellEnd"/>
      <w:r w:rsidRPr="00A502DC">
        <w:rPr>
          <w:i/>
          <w:szCs w:val="24"/>
        </w:rPr>
        <w:instrText xml:space="preserve"> </w:instrText>
      </w:r>
      <w:proofErr w:type="spellStart"/>
      <w:r w:rsidRPr="00A502DC">
        <w:rPr>
          <w:i/>
          <w:szCs w:val="24"/>
        </w:rPr>
        <w:instrText>Marques</w:instrText>
      </w:r>
      <w:proofErr w:type="spellEnd"/>
      <w:r w:rsidRPr="00A502DC">
        <w:rPr>
          <w:i/>
          <w:szCs w:val="24"/>
        </w:rPr>
        <w:instrText xml:space="preserve">)"\l3 \n&gt; \* MERGEFORMAT </w:instrText>
      </w:r>
      <w:r w:rsidRPr="00A502DC">
        <w:rPr>
          <w:i/>
          <w:szCs w:val="24"/>
        </w:rPr>
        <w:fldChar w:fldCharType="end"/>
      </w:r>
    </w:p>
    <w:p w14:paraId="51DB0B68" w14:textId="77777777" w:rsidR="002A2643" w:rsidRPr="00A502DC" w:rsidRDefault="002A2643" w:rsidP="002A2643">
      <w:pPr>
        <w:rPr>
          <w:vanish/>
          <w:szCs w:val="24"/>
        </w:rPr>
      </w:pPr>
      <w:bookmarkStart w:id="3" w:name="Commission"/>
      <w:r w:rsidRPr="00A502DC">
        <w:rPr>
          <w:vanish/>
          <w:szCs w:val="24"/>
        </w:rPr>
        <w:t>Utskottet för ekonomi och valutafrågor</w:t>
      </w:r>
      <w:bookmarkEnd w:id="3"/>
    </w:p>
    <w:p w14:paraId="5B516674" w14:textId="77777777" w:rsidR="002A2643" w:rsidRPr="00A502DC" w:rsidRDefault="002A2643" w:rsidP="002A2643">
      <w:pPr>
        <w:rPr>
          <w:vanish/>
          <w:szCs w:val="24"/>
        </w:rPr>
      </w:pPr>
      <w:bookmarkStart w:id="4" w:name="PE"/>
      <w:r w:rsidRPr="00A502DC">
        <w:rPr>
          <w:vanish/>
          <w:szCs w:val="24"/>
        </w:rPr>
        <w:t>PE757.278</w:t>
      </w:r>
      <w:bookmarkEnd w:id="4"/>
    </w:p>
    <w:p w14:paraId="5CD44987" w14:textId="436F445E" w:rsidR="002A2643" w:rsidRPr="00A502DC" w:rsidRDefault="002A2643" w:rsidP="002A2643">
      <w:pPr>
        <w:pStyle w:val="ATHeading3"/>
        <w:rPr>
          <w:szCs w:val="24"/>
        </w:rPr>
      </w:pPr>
      <w:bookmarkStart w:id="5" w:name="Sujet"/>
      <w:r w:rsidRPr="00A502DC">
        <w:rPr>
          <w:szCs w:val="24"/>
        </w:rPr>
        <w:t>Europaparlamentets lags</w:t>
      </w:r>
      <w:r w:rsidR="00012BE5" w:rsidRPr="00A502DC">
        <w:rPr>
          <w:szCs w:val="24"/>
        </w:rPr>
        <w:t xml:space="preserve">tiftningsresolution av den </w:t>
      </w:r>
      <w:r w:rsidR="00116008" w:rsidRPr="00A502DC">
        <w:rPr>
          <w:szCs w:val="24"/>
        </w:rPr>
        <w:t>23</w:t>
      </w:r>
      <w:r w:rsidR="00012BE5" w:rsidRPr="00A502DC">
        <w:rPr>
          <w:szCs w:val="24"/>
        </w:rPr>
        <w:t xml:space="preserve"> april</w:t>
      </w:r>
      <w:r w:rsidRPr="00A502DC">
        <w:rPr>
          <w:szCs w:val="24"/>
        </w:rPr>
        <w:t xml:space="preserve"> 2024 om förslaget till rådets direktiv om ändring av direktiv 2011/85/EU om krav på medlemsstaternas budgetramverk</w:t>
      </w:r>
      <w:bookmarkEnd w:id="5"/>
      <w:r w:rsidRPr="00A502DC">
        <w:rPr>
          <w:szCs w:val="24"/>
        </w:rPr>
        <w:t xml:space="preserve"> </w:t>
      </w:r>
      <w:bookmarkStart w:id="6" w:name="References"/>
      <w:r w:rsidRPr="00A502DC">
        <w:rPr>
          <w:szCs w:val="24"/>
        </w:rPr>
        <w:t>(</w:t>
      </w:r>
      <w:r w:rsidR="001840C3" w:rsidRPr="00A502DC">
        <w:rPr>
          <w:szCs w:val="24"/>
        </w:rPr>
        <w:t>1</w:t>
      </w:r>
      <w:r w:rsidR="00012BE5" w:rsidRPr="00A502DC">
        <w:rPr>
          <w:szCs w:val="24"/>
        </w:rPr>
        <w:t>5396/2023</w:t>
      </w:r>
      <w:r w:rsidRPr="00A502DC">
        <w:rPr>
          <w:szCs w:val="24"/>
        </w:rPr>
        <w:t xml:space="preserve"> – C9-0</w:t>
      </w:r>
      <w:r w:rsidR="00012BE5" w:rsidRPr="00A502DC">
        <w:rPr>
          <w:szCs w:val="24"/>
        </w:rPr>
        <w:t>006</w:t>
      </w:r>
      <w:r w:rsidRPr="00A502DC">
        <w:rPr>
          <w:szCs w:val="24"/>
        </w:rPr>
        <w:t>/202</w:t>
      </w:r>
      <w:r w:rsidR="00012BE5" w:rsidRPr="00A502DC">
        <w:rPr>
          <w:szCs w:val="24"/>
        </w:rPr>
        <w:t>4</w:t>
      </w:r>
      <w:r w:rsidRPr="00A502DC">
        <w:rPr>
          <w:szCs w:val="24"/>
        </w:rPr>
        <w:t xml:space="preserve"> – 2023/0136(NLE))</w:t>
      </w:r>
      <w:bookmarkEnd w:id="6"/>
    </w:p>
    <w:p w14:paraId="5715B4A1" w14:textId="77777777" w:rsidR="002A2643" w:rsidRPr="00A502DC" w:rsidRDefault="002A2643" w:rsidP="002A2643">
      <w:pPr>
        <w:rPr>
          <w:szCs w:val="24"/>
        </w:rPr>
      </w:pPr>
    </w:p>
    <w:p w14:paraId="76BF769A" w14:textId="77777777" w:rsidR="00F8774C" w:rsidRPr="00A502DC" w:rsidRDefault="00F8774C" w:rsidP="00F8774C">
      <w:pPr>
        <w:pStyle w:val="NormalBold"/>
        <w:rPr>
          <w:szCs w:val="24"/>
        </w:rPr>
      </w:pPr>
      <w:bookmarkStart w:id="7" w:name="TextBodyBegin"/>
      <w:bookmarkEnd w:id="7"/>
      <w:r w:rsidRPr="00A502DC">
        <w:rPr>
          <w:szCs w:val="24"/>
        </w:rPr>
        <w:t>(Samråd)</w:t>
      </w:r>
    </w:p>
    <w:p w14:paraId="2A35E44A" w14:textId="77777777" w:rsidR="00F8774C" w:rsidRPr="00A502DC" w:rsidRDefault="00F8774C" w:rsidP="00F8774C">
      <w:pPr>
        <w:pStyle w:val="EPComma"/>
        <w:rPr>
          <w:szCs w:val="24"/>
        </w:rPr>
      </w:pPr>
      <w:r w:rsidRPr="00A502DC">
        <w:rPr>
          <w:i/>
          <w:iCs/>
          <w:szCs w:val="24"/>
        </w:rPr>
        <w:t>Europaparlamentet utfärdar denna resolution</w:t>
      </w:r>
    </w:p>
    <w:p w14:paraId="7083A58D" w14:textId="6B534B6C" w:rsidR="00F8774C" w:rsidRPr="00A502DC" w:rsidRDefault="00F8774C" w:rsidP="00F8774C">
      <w:pPr>
        <w:pStyle w:val="NormalHanging12a"/>
        <w:rPr>
          <w:szCs w:val="24"/>
        </w:rPr>
      </w:pPr>
      <w:r w:rsidRPr="00A502DC">
        <w:rPr>
          <w:szCs w:val="24"/>
        </w:rPr>
        <w:t>–</w:t>
      </w:r>
      <w:r w:rsidRPr="00A502DC">
        <w:rPr>
          <w:szCs w:val="24"/>
        </w:rPr>
        <w:tab/>
        <w:t xml:space="preserve">med beaktande av </w:t>
      </w:r>
      <w:r w:rsidR="00012BE5" w:rsidRPr="00A502DC">
        <w:rPr>
          <w:szCs w:val="24"/>
        </w:rPr>
        <w:t>rådets utkast (</w:t>
      </w:r>
      <w:r w:rsidR="001840C3" w:rsidRPr="00A502DC">
        <w:rPr>
          <w:szCs w:val="24"/>
        </w:rPr>
        <w:t>1</w:t>
      </w:r>
      <w:r w:rsidR="00012BE5" w:rsidRPr="00A502DC">
        <w:rPr>
          <w:szCs w:val="24"/>
        </w:rPr>
        <w:t>5396/2023)</w:t>
      </w:r>
      <w:r w:rsidRPr="00A502DC">
        <w:rPr>
          <w:szCs w:val="24"/>
        </w:rPr>
        <w:t>,</w:t>
      </w:r>
    </w:p>
    <w:p w14:paraId="0572F4AF" w14:textId="014E5240" w:rsidR="00F8774C" w:rsidRPr="00A502DC" w:rsidRDefault="00F8774C" w:rsidP="00F8774C">
      <w:pPr>
        <w:pStyle w:val="NormalHanging12a"/>
        <w:rPr>
          <w:szCs w:val="24"/>
        </w:rPr>
      </w:pPr>
      <w:r w:rsidRPr="00A502DC">
        <w:rPr>
          <w:szCs w:val="24"/>
        </w:rPr>
        <w:t>–</w:t>
      </w:r>
      <w:r w:rsidRPr="00A502DC">
        <w:rPr>
          <w:szCs w:val="24"/>
        </w:rPr>
        <w:tab/>
        <w:t>med beaktande av artikel 126.14 tredje stycket i fördraget om Europeiska unionens funktionssätt, i enlighet med vilken rådet har hört parlamentet (C9</w:t>
      </w:r>
      <w:r w:rsidRPr="00A502DC">
        <w:rPr>
          <w:szCs w:val="24"/>
        </w:rPr>
        <w:noBreakHyphen/>
      </w:r>
      <w:r w:rsidR="00012BE5" w:rsidRPr="00A502DC">
        <w:rPr>
          <w:szCs w:val="24"/>
        </w:rPr>
        <w:t>0006</w:t>
      </w:r>
      <w:r w:rsidRPr="00A502DC">
        <w:rPr>
          <w:szCs w:val="24"/>
        </w:rPr>
        <w:t>/202</w:t>
      </w:r>
      <w:r w:rsidR="00012BE5" w:rsidRPr="00A502DC">
        <w:rPr>
          <w:szCs w:val="24"/>
        </w:rPr>
        <w:t>4</w:t>
      </w:r>
      <w:r w:rsidRPr="00A502DC">
        <w:rPr>
          <w:szCs w:val="24"/>
        </w:rPr>
        <w:t>),</w:t>
      </w:r>
    </w:p>
    <w:p w14:paraId="262184C3" w14:textId="77777777" w:rsidR="00F8774C" w:rsidRPr="00A502DC" w:rsidRDefault="00F8774C" w:rsidP="00F8774C">
      <w:pPr>
        <w:pStyle w:val="NormalHanging12a"/>
        <w:rPr>
          <w:szCs w:val="24"/>
        </w:rPr>
      </w:pPr>
      <w:r w:rsidRPr="00A502DC">
        <w:rPr>
          <w:szCs w:val="24"/>
        </w:rPr>
        <w:t>–</w:t>
      </w:r>
      <w:r w:rsidRPr="00A502DC">
        <w:rPr>
          <w:szCs w:val="24"/>
        </w:rPr>
        <w:tab/>
        <w:t>med beaktande av artikel 82 i arbetsordningen,</w:t>
      </w:r>
    </w:p>
    <w:p w14:paraId="6EEF069A" w14:textId="77777777" w:rsidR="00F8774C" w:rsidRPr="00A502DC" w:rsidRDefault="00F8774C" w:rsidP="00F8774C">
      <w:pPr>
        <w:pStyle w:val="NormalHanging12a"/>
        <w:rPr>
          <w:szCs w:val="24"/>
        </w:rPr>
      </w:pPr>
      <w:r w:rsidRPr="00A502DC">
        <w:rPr>
          <w:szCs w:val="24"/>
        </w:rPr>
        <w:t>–</w:t>
      </w:r>
      <w:r w:rsidRPr="00A502DC">
        <w:rPr>
          <w:szCs w:val="24"/>
        </w:rPr>
        <w:tab/>
        <w:t>med beaktande av betänkandet från utskottet för ekonomi och valutafrågor (A9-0440/2023).</w:t>
      </w:r>
    </w:p>
    <w:p w14:paraId="62DD3303" w14:textId="34B6084A" w:rsidR="00F8774C" w:rsidRPr="00A502DC" w:rsidRDefault="00F8774C" w:rsidP="00F8774C">
      <w:pPr>
        <w:pStyle w:val="NormalHanging12a"/>
        <w:rPr>
          <w:szCs w:val="24"/>
        </w:rPr>
      </w:pPr>
      <w:r w:rsidRPr="00A502DC">
        <w:rPr>
          <w:szCs w:val="24"/>
        </w:rPr>
        <w:t>1.</w:t>
      </w:r>
      <w:r w:rsidRPr="00A502DC">
        <w:rPr>
          <w:szCs w:val="24"/>
        </w:rPr>
        <w:tab/>
        <w:t xml:space="preserve">Europaparlamentet godkänner </w:t>
      </w:r>
      <w:r w:rsidR="00012BE5" w:rsidRPr="00A502DC">
        <w:rPr>
          <w:szCs w:val="24"/>
        </w:rPr>
        <w:t xml:space="preserve">rådets utkast </w:t>
      </w:r>
      <w:r w:rsidRPr="00A502DC">
        <w:rPr>
          <w:szCs w:val="24"/>
        </w:rPr>
        <w:t>såsom ändrat av parlamentet.</w:t>
      </w:r>
    </w:p>
    <w:p w14:paraId="6430DCAA" w14:textId="49782DC2" w:rsidR="00F8774C" w:rsidRPr="00A502DC" w:rsidRDefault="00012BE5" w:rsidP="00F8774C">
      <w:pPr>
        <w:pStyle w:val="NormalHanging12a"/>
        <w:rPr>
          <w:szCs w:val="24"/>
        </w:rPr>
      </w:pPr>
      <w:r w:rsidRPr="00A502DC">
        <w:rPr>
          <w:szCs w:val="24"/>
        </w:rPr>
        <w:t>2</w:t>
      </w:r>
      <w:r w:rsidR="00F8774C" w:rsidRPr="00A502DC">
        <w:rPr>
          <w:szCs w:val="24"/>
        </w:rPr>
        <w:t>.</w:t>
      </w:r>
      <w:r w:rsidR="00F8774C" w:rsidRPr="00A502DC">
        <w:rPr>
          <w:szCs w:val="24"/>
        </w:rPr>
        <w:tab/>
        <w:t>Rådet uppmanas att underrätta Europaparlamentet om rådet har för avsikt att avvika från den text som parlamentet har godkänt.</w:t>
      </w:r>
    </w:p>
    <w:p w14:paraId="418E5746" w14:textId="30A7A6CD" w:rsidR="00F8774C" w:rsidRPr="00A502DC" w:rsidRDefault="00012BE5" w:rsidP="00F8774C">
      <w:pPr>
        <w:pStyle w:val="NormalHanging12a"/>
        <w:rPr>
          <w:szCs w:val="24"/>
        </w:rPr>
      </w:pPr>
      <w:r w:rsidRPr="00A502DC">
        <w:rPr>
          <w:szCs w:val="24"/>
        </w:rPr>
        <w:t>3</w:t>
      </w:r>
      <w:r w:rsidR="00F8774C" w:rsidRPr="00A502DC">
        <w:rPr>
          <w:szCs w:val="24"/>
        </w:rPr>
        <w:t>.</w:t>
      </w:r>
      <w:r w:rsidR="00F8774C" w:rsidRPr="00A502DC">
        <w:rPr>
          <w:szCs w:val="24"/>
        </w:rPr>
        <w:tab/>
        <w:t xml:space="preserve">Rådet uppmanas att på nytt höra Europaparlamentet om rådet har för avsikt att väsentligt ändra </w:t>
      </w:r>
      <w:r w:rsidRPr="00A502DC">
        <w:rPr>
          <w:szCs w:val="24"/>
        </w:rPr>
        <w:t>sitt utkast</w:t>
      </w:r>
      <w:r w:rsidR="00F8774C" w:rsidRPr="00A502DC">
        <w:rPr>
          <w:szCs w:val="24"/>
        </w:rPr>
        <w:t>.</w:t>
      </w:r>
    </w:p>
    <w:p w14:paraId="0CB6F964" w14:textId="2AB6E003" w:rsidR="00F8774C" w:rsidRPr="00A502DC" w:rsidRDefault="00012BE5" w:rsidP="00F8774C">
      <w:pPr>
        <w:pStyle w:val="NormalHanging12a"/>
        <w:rPr>
          <w:szCs w:val="24"/>
        </w:rPr>
      </w:pPr>
      <w:r w:rsidRPr="00A502DC">
        <w:rPr>
          <w:szCs w:val="24"/>
        </w:rPr>
        <w:t>4</w:t>
      </w:r>
      <w:r w:rsidR="00F8774C" w:rsidRPr="00A502DC">
        <w:rPr>
          <w:szCs w:val="24"/>
        </w:rPr>
        <w:t>.</w:t>
      </w:r>
      <w:r w:rsidR="00F8774C" w:rsidRPr="00A502DC">
        <w:rPr>
          <w:szCs w:val="24"/>
        </w:rPr>
        <w:tab/>
        <w:t>Europaparlamentet uppdrar åt talmannen att översända parlamentets ståndpunkt till rådet och kommissionen.</w:t>
      </w:r>
    </w:p>
    <w:p w14:paraId="628A2673" w14:textId="77777777" w:rsidR="00F8774C" w:rsidRPr="00A502DC" w:rsidRDefault="00F8774C" w:rsidP="00F8774C">
      <w:pPr>
        <w:widowControl/>
        <w:rPr>
          <w:szCs w:val="24"/>
        </w:rPr>
      </w:pPr>
      <w:r w:rsidRPr="00A502DC">
        <w:rPr>
          <w:szCs w:val="24"/>
        </w:rPr>
        <w:br w:type="page"/>
      </w:r>
    </w:p>
    <w:p w14:paraId="68F201A9" w14:textId="77777777" w:rsidR="00F8774C" w:rsidRPr="00A502DC" w:rsidRDefault="00F8774C" w:rsidP="00F8774C">
      <w:pPr>
        <w:rPr>
          <w:szCs w:val="24"/>
        </w:rPr>
      </w:pPr>
    </w:p>
    <w:p w14:paraId="2736A236" w14:textId="159C1420" w:rsidR="00F8774C" w:rsidRPr="00A502DC" w:rsidRDefault="00F8774C" w:rsidP="00F8774C">
      <w:pPr>
        <w:pStyle w:val="AmNumberTabs"/>
        <w:keepNext/>
        <w:rPr>
          <w:szCs w:val="24"/>
        </w:rPr>
      </w:pPr>
      <w:r w:rsidRPr="00A502DC">
        <w:rPr>
          <w:szCs w:val="24"/>
        </w:rPr>
        <w:t>Ändring</w:t>
      </w:r>
      <w:r w:rsidRPr="00A502DC">
        <w:rPr>
          <w:szCs w:val="24"/>
        </w:rPr>
        <w:tab/>
      </w:r>
      <w:r w:rsidRPr="00A502DC">
        <w:rPr>
          <w:szCs w:val="24"/>
        </w:rPr>
        <w:tab/>
      </w:r>
      <w:r w:rsidR="00116008" w:rsidRPr="00A502DC">
        <w:rPr>
          <w:szCs w:val="24"/>
        </w:rPr>
        <w:t>2</w:t>
      </w:r>
    </w:p>
    <w:p w14:paraId="75F9C815" w14:textId="77777777" w:rsidR="00F8774C" w:rsidRPr="00A502DC" w:rsidRDefault="00F8774C" w:rsidP="00F8774C">
      <w:pPr>
        <w:pStyle w:val="AmHeadingConsam"/>
        <w:rPr>
          <w:szCs w:val="24"/>
        </w:rPr>
      </w:pPr>
      <w:r w:rsidRPr="00A502DC">
        <w:rPr>
          <w:szCs w:val="24"/>
        </w:rPr>
        <w:t>EUROPAPARLAMENTETS ÄNDRINGSFÖRSLAG</w:t>
      </w:r>
      <w:r w:rsidRPr="00A502DC">
        <w:rPr>
          <w:rStyle w:val="FootnoteReference"/>
          <w:szCs w:val="24"/>
        </w:rPr>
        <w:footnoteReference w:customMarkFollows="1" w:id="1"/>
        <w:t>*</w:t>
      </w:r>
    </w:p>
    <w:p w14:paraId="0A7DBF00" w14:textId="2B5E4289" w:rsidR="00F8774C" w:rsidRPr="00A502DC" w:rsidRDefault="00F8774C" w:rsidP="00F8774C">
      <w:pPr>
        <w:pStyle w:val="NormalCenter12a"/>
        <w:rPr>
          <w:szCs w:val="24"/>
        </w:rPr>
      </w:pPr>
      <w:r w:rsidRPr="00A502DC">
        <w:rPr>
          <w:szCs w:val="24"/>
        </w:rPr>
        <w:t xml:space="preserve">till </w:t>
      </w:r>
      <w:r w:rsidR="00116008" w:rsidRPr="00A502DC">
        <w:rPr>
          <w:szCs w:val="24"/>
        </w:rPr>
        <w:t>rådets utkast</w:t>
      </w:r>
    </w:p>
    <w:p w14:paraId="15150FBC" w14:textId="77777777" w:rsidR="00F8774C" w:rsidRPr="00A502DC" w:rsidRDefault="00F8774C" w:rsidP="00F8774C">
      <w:pPr>
        <w:pStyle w:val="NormalCenter12a"/>
        <w:rPr>
          <w:szCs w:val="24"/>
        </w:rPr>
      </w:pPr>
      <w:r w:rsidRPr="00A502DC">
        <w:rPr>
          <w:szCs w:val="24"/>
        </w:rPr>
        <w:t>---------------------------------------------------------</w:t>
      </w:r>
    </w:p>
    <w:p w14:paraId="5DC09CA1" w14:textId="77777777" w:rsidR="00B42845" w:rsidRPr="00A502DC" w:rsidRDefault="00B42845" w:rsidP="00B42845">
      <w:pPr>
        <w:widowControl/>
        <w:spacing w:before="360" w:line="360" w:lineRule="auto"/>
        <w:jc w:val="center"/>
        <w:rPr>
          <w:rFonts w:eastAsia="Calibri"/>
          <w:b/>
          <w:szCs w:val="22"/>
          <w:lang w:eastAsia="en-US"/>
        </w:rPr>
      </w:pPr>
      <w:r w:rsidRPr="00A502DC">
        <w:rPr>
          <w:rFonts w:eastAsia="Calibri"/>
          <w:b/>
          <w:szCs w:val="22"/>
          <w:lang w:eastAsia="en-US"/>
        </w:rPr>
        <w:t>RÅDETS DIREKTIV</w:t>
      </w:r>
    </w:p>
    <w:p w14:paraId="4145B683" w14:textId="77777777" w:rsidR="00B42845" w:rsidRPr="00A502DC" w:rsidRDefault="00B42845" w:rsidP="00B42845">
      <w:pPr>
        <w:widowControl/>
        <w:spacing w:before="360" w:after="360" w:line="360" w:lineRule="auto"/>
        <w:jc w:val="center"/>
        <w:rPr>
          <w:rFonts w:eastAsia="Calibri"/>
          <w:b/>
          <w:szCs w:val="22"/>
          <w:lang w:eastAsia="en-US"/>
        </w:rPr>
      </w:pPr>
      <w:r w:rsidRPr="00A502DC">
        <w:rPr>
          <w:rFonts w:eastAsia="Calibri"/>
          <w:b/>
          <w:szCs w:val="22"/>
          <w:lang w:eastAsia="en-US"/>
        </w:rPr>
        <w:t>om ändring av direktiv 2011/85/EU om krav på medlemsstaternas budgetramverk</w:t>
      </w:r>
      <w:r w:rsidRPr="00A502DC">
        <w:rPr>
          <w:rFonts w:eastAsia="Calibri"/>
          <w:b/>
          <w:szCs w:val="22"/>
          <w:lang w:eastAsia="en-US"/>
        </w:rPr>
        <w:br/>
      </w:r>
    </w:p>
    <w:p w14:paraId="2A779A41" w14:textId="77777777" w:rsidR="00B42845" w:rsidRPr="00A502DC" w:rsidRDefault="00B42845" w:rsidP="00B42845">
      <w:pPr>
        <w:keepNext/>
        <w:widowControl/>
        <w:spacing w:before="600" w:after="120" w:line="360" w:lineRule="auto"/>
        <w:jc w:val="both"/>
        <w:rPr>
          <w:rFonts w:eastAsia="Calibri"/>
          <w:szCs w:val="22"/>
          <w:lang w:eastAsia="en-US"/>
        </w:rPr>
      </w:pPr>
      <w:r w:rsidRPr="00A502DC">
        <w:rPr>
          <w:rFonts w:eastAsia="Calibri"/>
          <w:szCs w:val="22"/>
          <w:lang w:eastAsia="en-US"/>
        </w:rPr>
        <w:t>EUROPEISKA UNIONENS RÅD HAR ANTAGIT DETTA DIREKTIV</w:t>
      </w:r>
    </w:p>
    <w:p w14:paraId="49658136" w14:textId="77777777" w:rsidR="00B42845" w:rsidRPr="00A502DC" w:rsidRDefault="00B42845" w:rsidP="00B42845">
      <w:pPr>
        <w:widowControl/>
        <w:spacing w:before="120" w:after="120" w:line="360" w:lineRule="auto"/>
        <w:rPr>
          <w:rFonts w:eastAsia="Calibri"/>
          <w:szCs w:val="22"/>
          <w:lang w:eastAsia="en-US"/>
        </w:rPr>
      </w:pPr>
      <w:r w:rsidRPr="00A502DC">
        <w:rPr>
          <w:rFonts w:eastAsia="Calibri"/>
          <w:szCs w:val="22"/>
          <w:lang w:eastAsia="en-US"/>
        </w:rPr>
        <w:t>med beaktande av fördraget om Europeiska unionens funktionssätt, särskilt artikel 126.14 tredje stycket,</w:t>
      </w:r>
    </w:p>
    <w:p w14:paraId="561AC70A" w14:textId="77777777" w:rsidR="00B42845" w:rsidRPr="00A502DC" w:rsidRDefault="00B42845" w:rsidP="00B42845">
      <w:pPr>
        <w:widowControl/>
        <w:spacing w:before="120" w:after="120" w:line="360" w:lineRule="auto"/>
        <w:rPr>
          <w:rFonts w:eastAsia="Calibri"/>
          <w:szCs w:val="22"/>
          <w:lang w:eastAsia="en-US"/>
        </w:rPr>
      </w:pPr>
      <w:r w:rsidRPr="00A502DC">
        <w:rPr>
          <w:rFonts w:eastAsia="Calibri"/>
          <w:szCs w:val="22"/>
          <w:lang w:eastAsia="en-US"/>
        </w:rPr>
        <w:t>med beaktande av Europeiska kommissionens förslag,</w:t>
      </w:r>
    </w:p>
    <w:p w14:paraId="5C529CFA" w14:textId="77777777" w:rsidR="00B42845" w:rsidRPr="00A502DC" w:rsidRDefault="00B42845" w:rsidP="00B42845">
      <w:pPr>
        <w:widowControl/>
        <w:spacing w:before="120" w:after="120" w:line="360" w:lineRule="auto"/>
        <w:rPr>
          <w:rFonts w:eastAsia="Calibri"/>
          <w:szCs w:val="22"/>
          <w:lang w:eastAsia="en-US"/>
        </w:rPr>
      </w:pPr>
      <w:r w:rsidRPr="00A502DC">
        <w:rPr>
          <w:rFonts w:eastAsia="Calibri"/>
          <w:szCs w:val="22"/>
          <w:lang w:eastAsia="en-US"/>
        </w:rPr>
        <w:t>med beaktande av Europaparlamentets yttrande,</w:t>
      </w:r>
    </w:p>
    <w:p w14:paraId="685D148F" w14:textId="77777777" w:rsidR="00B42845" w:rsidRPr="00A502DC" w:rsidRDefault="00B42845" w:rsidP="00B42845">
      <w:pPr>
        <w:widowControl/>
        <w:spacing w:before="120" w:after="120" w:line="360" w:lineRule="auto"/>
        <w:rPr>
          <w:rFonts w:eastAsia="Calibri"/>
          <w:szCs w:val="22"/>
          <w:lang w:eastAsia="en-US"/>
        </w:rPr>
      </w:pPr>
      <w:r w:rsidRPr="00A502DC">
        <w:rPr>
          <w:rFonts w:eastAsia="Calibri"/>
          <w:szCs w:val="22"/>
          <w:lang w:eastAsia="en-US"/>
        </w:rPr>
        <w:t>med beaktande av Europeiska centralbankens yttrande</w:t>
      </w:r>
      <w:r w:rsidRPr="00A502DC">
        <w:rPr>
          <w:rFonts w:eastAsia="Calibri"/>
          <w:b/>
          <w:bCs/>
          <w:szCs w:val="22"/>
          <w:vertAlign w:val="superscript"/>
          <w:lang w:eastAsia="en-US"/>
        </w:rPr>
        <w:footnoteReference w:id="2"/>
      </w:r>
      <w:r w:rsidRPr="00A502DC">
        <w:rPr>
          <w:rFonts w:eastAsia="Calibri"/>
          <w:szCs w:val="22"/>
          <w:lang w:eastAsia="en-US"/>
        </w:rPr>
        <w:t>, och</w:t>
      </w:r>
    </w:p>
    <w:p w14:paraId="55EAA7CF" w14:textId="77777777" w:rsidR="00B42845" w:rsidRPr="00A502DC" w:rsidRDefault="00B42845" w:rsidP="00B42845">
      <w:pPr>
        <w:widowControl/>
        <w:spacing w:before="120" w:after="120" w:line="360" w:lineRule="auto"/>
        <w:rPr>
          <w:rFonts w:eastAsia="Calibri"/>
          <w:szCs w:val="22"/>
          <w:lang w:eastAsia="en-US"/>
        </w:rPr>
      </w:pPr>
      <w:r w:rsidRPr="00A502DC">
        <w:rPr>
          <w:rFonts w:eastAsia="Calibri"/>
          <w:szCs w:val="22"/>
          <w:lang w:eastAsia="en-US"/>
        </w:rPr>
        <w:t>av följande skäl:</w:t>
      </w:r>
    </w:p>
    <w:p w14:paraId="2634A5B0" w14:textId="77777777" w:rsidR="00B42845" w:rsidRPr="00A502DC" w:rsidRDefault="00B42845" w:rsidP="00B42845">
      <w:pPr>
        <w:widowControl/>
        <w:spacing w:before="120" w:after="120" w:line="360" w:lineRule="auto"/>
        <w:rPr>
          <w:rFonts w:eastAsia="Calibri"/>
          <w:szCs w:val="22"/>
          <w:lang w:eastAsia="en-US"/>
        </w:rPr>
      </w:pPr>
    </w:p>
    <w:p w14:paraId="4CC52395"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(1)</w:t>
      </w:r>
      <w:r w:rsidRPr="00A502DC">
        <w:rPr>
          <w:rFonts w:eastAsia="Calibri"/>
          <w:szCs w:val="22"/>
          <w:lang w:eastAsia="en-US"/>
        </w:rPr>
        <w:tab/>
        <w:t>För att säkerställa att medlemsstaterna fullgör sina skyldigheter enligt fördraget om Europeiska unionens funktionssätt (EUF-fördraget) på budgetpolitikens område och i synnerhet undviker alltför stora offentliga underskott fastställs i rådets direktiv 2011/85/EU</w:t>
      </w:r>
      <w:r w:rsidRPr="00A502DC">
        <w:rPr>
          <w:rFonts w:eastAsia="Calibri"/>
          <w:b/>
          <w:bCs/>
          <w:szCs w:val="22"/>
          <w:vertAlign w:val="superscript"/>
          <w:lang w:eastAsia="en-US"/>
        </w:rPr>
        <w:footnoteReference w:id="3"/>
      </w:r>
      <w:r w:rsidRPr="00A502DC">
        <w:rPr>
          <w:rFonts w:eastAsia="Calibri"/>
          <w:szCs w:val="22"/>
          <w:lang w:eastAsia="en-US"/>
        </w:rPr>
        <w:t xml:space="preserve"> närmare regler för hur medlemsstaternas budgetramverk ska vara utformade.</w:t>
      </w:r>
    </w:p>
    <w:p w14:paraId="41F2F261"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lastRenderedPageBreak/>
        <w:t>(2)</w:t>
      </w:r>
      <w:r w:rsidRPr="00A502DC">
        <w:rPr>
          <w:rFonts w:eastAsia="Calibri"/>
          <w:szCs w:val="22"/>
          <w:lang w:eastAsia="en-US"/>
        </w:rPr>
        <w:tab/>
        <w:t>För att ta tillvara erfarenheterna av Ekonomiska och monetära unionen sedan direktiv 2011/85/EU trädde i kraft är det nödvändigt att ändra kraven i det direktivet vad gäller de regler och förfaranden som utgör medlemsstaternas budgetramverk.</w:t>
      </w:r>
    </w:p>
    <w:p w14:paraId="2049589E"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(3)</w:t>
      </w:r>
      <w:r w:rsidRPr="00A502DC">
        <w:rPr>
          <w:rFonts w:eastAsia="Calibri"/>
          <w:szCs w:val="22"/>
          <w:lang w:eastAsia="en-US"/>
        </w:rPr>
        <w:tab/>
        <w:t>År 2019 offentliggjorde Europeiska revisionsrätten en rapport i vilken man granskade unionens krav på nationella budgetramverk och rekommenderade kommissionen att se över kraven med beaktande av internationella standarder och internationell bästa praxis. Europeiska revisionsrätten föreslog särskilda åtgärder för att förbättra de nationella budgetramverkens omfattning och ändamålsenlighet, i synnerhet vad gäller budgetramverk på medellång sikt och oberoende finanspolitiska institutioner</w:t>
      </w:r>
      <w:r w:rsidRPr="00A502DC">
        <w:rPr>
          <w:rFonts w:eastAsia="Calibri"/>
          <w:b/>
          <w:bCs/>
          <w:szCs w:val="22"/>
          <w:vertAlign w:val="superscript"/>
          <w:lang w:eastAsia="en-US"/>
        </w:rPr>
        <w:footnoteReference w:id="4"/>
      </w:r>
      <w:r w:rsidRPr="00A502DC">
        <w:rPr>
          <w:rFonts w:eastAsia="Calibri"/>
          <w:szCs w:val="22"/>
          <w:lang w:eastAsia="en-US"/>
        </w:rPr>
        <w:t>.</w:t>
      </w:r>
    </w:p>
    <w:p w14:paraId="38D97606"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(4)</w:t>
      </w:r>
      <w:r w:rsidRPr="00A502DC">
        <w:rPr>
          <w:rFonts w:eastAsia="Calibri"/>
          <w:szCs w:val="22"/>
          <w:lang w:eastAsia="en-US"/>
        </w:rPr>
        <w:tab/>
        <w:t>I kommissionens meddelande av den 5 februari 2020</w:t>
      </w:r>
      <w:r w:rsidRPr="00A502DC">
        <w:rPr>
          <w:rFonts w:eastAsia="Calibri"/>
          <w:b/>
          <w:bCs/>
          <w:szCs w:val="22"/>
          <w:vertAlign w:val="superscript"/>
          <w:lang w:eastAsia="en-US"/>
        </w:rPr>
        <w:footnoteReference w:id="5"/>
      </w:r>
      <w:r w:rsidRPr="00A502DC">
        <w:rPr>
          <w:rFonts w:eastAsia="Calibri"/>
          <w:szCs w:val="22"/>
          <w:lang w:eastAsia="en-US"/>
        </w:rPr>
        <w:t xml:space="preserve"> framhölls att det skett betydande men ojämna framsteg i utvecklingen av nationella budgetramverk eftersom unionsrätten endast fastställer minimikrav samt att tillämpningen och efterlevnaden av nationella bestämmelser har varierat avsevärt. I meddelandet beaktades även i vilken utsträckning ramverket skulle kunna svara mot ekonomiska, miljömässiga och socialpolitiska behov i samband med omställningen till en klimatneutral, resurseffektiv och digital europeisk ekonomi och därmed utgöra ett komplement till den centrala roll som regelverk och strukturreformer har i detta sammanhang.</w:t>
      </w:r>
    </w:p>
    <w:p w14:paraId="099188BE"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(5)</w:t>
      </w:r>
      <w:r w:rsidRPr="00A502DC">
        <w:rPr>
          <w:rFonts w:eastAsia="Calibri"/>
          <w:szCs w:val="22"/>
          <w:lang w:eastAsia="en-US"/>
        </w:rPr>
        <w:tab/>
        <w:t xml:space="preserve">I kommissionens meddelande av den 11 december 2019 </w:t>
      </w:r>
      <w:r w:rsidRPr="00A502DC">
        <w:rPr>
          <w:rFonts w:eastAsia="Calibri"/>
          <w:i/>
          <w:iCs/>
          <w:szCs w:val="22"/>
          <w:lang w:eastAsia="en-US"/>
        </w:rPr>
        <w:t>Den europeiska gröna given</w:t>
      </w:r>
      <w:r w:rsidRPr="00A502DC">
        <w:rPr>
          <w:rFonts w:eastAsia="Calibri"/>
          <w:b/>
          <w:bCs/>
          <w:szCs w:val="22"/>
          <w:vertAlign w:val="superscript"/>
          <w:lang w:eastAsia="en-US"/>
        </w:rPr>
        <w:footnoteReference w:id="6"/>
      </w:r>
      <w:r w:rsidRPr="00A502DC">
        <w:rPr>
          <w:rFonts w:eastAsia="Calibri"/>
          <w:szCs w:val="22"/>
          <w:lang w:eastAsia="en-US"/>
        </w:rPr>
        <w:t xml:space="preserve"> efterlystes större användning av gröna budgeteringsverktyg för att styra om offentliga investeringar, konsumtion och beskattning till gröna prioriteringar och bort från skadliga subventioner. I den europeiska klimatlagen fastställs ett unionsomfattande mål om att uppnå klimatneutralitet senast 2050 och unionens institutioner och medlemsstaterna åläggs att öka sin anpassningsförmåga. Kommissionen åtog sig att samarbeta med medlemsstaterna för att granska och jämföra metoder för grön budgetering. I kommissionens meddelande av den 24 </w:t>
      </w:r>
      <w:r w:rsidRPr="00A502DC">
        <w:rPr>
          <w:rFonts w:eastAsia="Calibri"/>
          <w:szCs w:val="22"/>
          <w:lang w:eastAsia="en-US"/>
        </w:rPr>
        <w:lastRenderedPageBreak/>
        <w:t>februari 2021 om den nya EU-strategin för klimatanpassning</w:t>
      </w:r>
      <w:r w:rsidRPr="00A502DC">
        <w:rPr>
          <w:rFonts w:eastAsia="Calibri"/>
          <w:b/>
          <w:bCs/>
          <w:szCs w:val="22"/>
          <w:vertAlign w:val="superscript"/>
          <w:lang w:eastAsia="en-US"/>
        </w:rPr>
        <w:footnoteReference w:id="7"/>
      </w:r>
      <w:r w:rsidRPr="00A502DC">
        <w:rPr>
          <w:rFonts w:eastAsia="Calibri"/>
          <w:szCs w:val="22"/>
          <w:lang w:eastAsia="en-US"/>
        </w:rPr>
        <w:t xml:space="preserve"> framhålls klimatförändringarnas relevans ur ett makroekonomiskt perspektiv och behovet av att stärka unionens resiliens mot klimatförändringarnas konsekvenser. Den europeiska planeringsterminen utgör ytterligare ett ramverk för att stödja sådana insatser och praktiskt stöd för deras genomförande erbjuds genom instrumentet för tekniskt stöd.</w:t>
      </w:r>
    </w:p>
    <w:p w14:paraId="2F379C38"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(6)</w:t>
      </w:r>
      <w:r w:rsidRPr="00A502DC">
        <w:rPr>
          <w:rFonts w:eastAsia="Calibri"/>
          <w:szCs w:val="22"/>
          <w:lang w:eastAsia="en-US"/>
        </w:rPr>
        <w:tab/>
        <w:t>I kommissionens meddelande av den 9 november 2022 om riktlinjer för en reform av EU:s ramverk för ekonomisk styrning</w:t>
      </w:r>
      <w:r w:rsidRPr="00A502DC">
        <w:rPr>
          <w:rFonts w:eastAsia="Calibri"/>
          <w:b/>
          <w:bCs/>
          <w:szCs w:val="22"/>
          <w:vertAlign w:val="superscript"/>
          <w:lang w:eastAsia="en-US"/>
        </w:rPr>
        <w:footnoteReference w:id="8"/>
      </w:r>
      <w:r w:rsidRPr="00A502DC">
        <w:rPr>
          <w:rFonts w:eastAsia="Calibri"/>
          <w:szCs w:val="22"/>
          <w:lang w:eastAsia="en-US"/>
        </w:rPr>
        <w:t xml:space="preserve"> framhålls vikten av att stärka skuldhållbarheten, minska höga offentliga skuldkvoter och främja en hållbar och inkluderande tillväxt i samtliga medlemsstater. Huvudsyftena med riktlinjerna är att stärka det nationella ägarskapet, förenkla ramverket och i större utsträckning anlägga en medelfristig inriktning, tillsammans med ett skärpt och mer enhetligt genomdrivande av efterlevnad.</w:t>
      </w:r>
    </w:p>
    <w:p w14:paraId="0370D6DB" w14:textId="77777777" w:rsidR="00B42845" w:rsidRPr="00A502DC" w:rsidRDefault="00B42845" w:rsidP="007D5957">
      <w:pPr>
        <w:widowControl/>
        <w:spacing w:after="200" w:line="360" w:lineRule="auto"/>
        <w:ind w:left="851" w:hanging="851"/>
        <w:rPr>
          <w:rFonts w:eastAsia="Calibri"/>
          <w:szCs w:val="22"/>
          <w:lang w:eastAsia="en-US"/>
        </w:rPr>
      </w:pPr>
      <w:r w:rsidRPr="00A502DC">
        <w:rPr>
          <w:rFonts w:eastAsia="Calibri"/>
          <w:szCs w:val="22"/>
          <w:lang w:eastAsia="en-US"/>
        </w:rPr>
        <w:t>(7)</w:t>
      </w:r>
      <w:r w:rsidRPr="00A502DC">
        <w:rPr>
          <w:rFonts w:eastAsia="Calibri"/>
          <w:szCs w:val="22"/>
          <w:lang w:eastAsia="en-US"/>
        </w:rPr>
        <w:tab/>
        <w:t>För att förbättra efterlevnaden av bestämmelserna i EUF-fördraget, och i synnerhet förebygga uppkomsten av alltför stora underskott i den offentliga sektorns finanser i den mening som avses i artikel 126 i EUF-fördraget, bör det i enlighet med kommissionens meddelande av den 9 november 2022 om riktlinjer för en reform av EU:s ramverk för ekonomisk styrning finnas särskilda bestämmelser i medlemsstaternas lagstiftning för att stärka det nationella ägarskapet, utöver de bestämmelser som för närvarande krävs enligt direktiv 2011/85/EU. På grundval av uppgifter om genomförandet av det direktivet bör ändringarna även omfatta bestämmelser om transparens, statistik, prognoser och medelfristig budgetering för att åtgärda brister som konstaterats under genomförandet.</w:t>
      </w:r>
    </w:p>
    <w:p w14:paraId="677B66FC" w14:textId="1CF24574" w:rsidR="00B42845" w:rsidRPr="00A502DC" w:rsidRDefault="00B42845" w:rsidP="000235CF">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(8)</w:t>
      </w:r>
      <w:r w:rsidRPr="00A502DC">
        <w:rPr>
          <w:rFonts w:eastAsia="Calibri"/>
          <w:szCs w:val="22"/>
          <w:lang w:eastAsia="en-US"/>
        </w:rPr>
        <w:tab/>
        <w:t>Detta direktiv ingår i ett paket tillsammans med Europaparlamentets och rådets förordning (EU) [XXX]</w:t>
      </w:r>
      <w:r w:rsidRPr="00A502DC">
        <w:rPr>
          <w:rFonts w:eastAsia="Calibri"/>
          <w:b/>
          <w:bCs/>
          <w:szCs w:val="22"/>
          <w:vertAlign w:val="superscript"/>
          <w:lang w:eastAsia="en-US"/>
        </w:rPr>
        <w:footnoteReference w:id="9"/>
      </w:r>
      <w:r w:rsidRPr="00A502DC">
        <w:rPr>
          <w:rFonts w:eastAsia="Calibri"/>
          <w:szCs w:val="22"/>
          <w:lang w:eastAsia="en-US"/>
        </w:rPr>
        <w:t xml:space="preserve"> om ersättande av förordning (EG) nr 1466/97</w:t>
      </w:r>
      <w:r w:rsidRPr="00A502DC">
        <w:rPr>
          <w:rFonts w:eastAsia="Calibri"/>
          <w:b/>
          <w:bCs/>
          <w:szCs w:val="22"/>
          <w:vertAlign w:val="superscript"/>
          <w:lang w:eastAsia="en-US"/>
        </w:rPr>
        <w:footnoteReference w:id="10"/>
      </w:r>
      <w:r w:rsidRPr="00A502DC">
        <w:rPr>
          <w:rFonts w:eastAsia="Calibri"/>
          <w:szCs w:val="22"/>
          <w:lang w:eastAsia="en-US"/>
        </w:rPr>
        <w:t xml:space="preserve"> (stabilitets- och tillväxtpaktens förebyggande del) och rådets förordning [XXX]</w:t>
      </w:r>
      <w:r w:rsidRPr="00A502DC">
        <w:rPr>
          <w:rFonts w:eastAsia="Calibri"/>
          <w:b/>
          <w:bCs/>
          <w:szCs w:val="22"/>
          <w:vertAlign w:val="superscript"/>
          <w:lang w:eastAsia="en-US"/>
        </w:rPr>
        <w:footnoteReference w:id="11"/>
      </w:r>
      <w:r w:rsidRPr="00A502DC">
        <w:rPr>
          <w:rFonts w:eastAsia="Calibri"/>
          <w:szCs w:val="22"/>
          <w:lang w:eastAsia="en-US"/>
        </w:rPr>
        <w:t xml:space="preserve"> om ändring av </w:t>
      </w:r>
      <w:r w:rsidRPr="00A502DC">
        <w:rPr>
          <w:rFonts w:eastAsia="Calibri"/>
          <w:szCs w:val="22"/>
          <w:lang w:eastAsia="en-US"/>
        </w:rPr>
        <w:lastRenderedPageBreak/>
        <w:t>rådets förordning (EG) nr 1467/97</w:t>
      </w:r>
      <w:r w:rsidRPr="00A502DC">
        <w:rPr>
          <w:rFonts w:eastAsia="Calibri"/>
          <w:b/>
          <w:bCs/>
          <w:szCs w:val="22"/>
          <w:vertAlign w:val="superscript"/>
          <w:lang w:eastAsia="en-US"/>
        </w:rPr>
        <w:footnoteReference w:id="12"/>
      </w:r>
      <w:r w:rsidRPr="00A502DC">
        <w:rPr>
          <w:rFonts w:eastAsia="Calibri"/>
          <w:szCs w:val="22"/>
          <w:lang w:eastAsia="en-US"/>
        </w:rPr>
        <w:t xml:space="preserve"> (stabilitets- och tillväxtpaktens korrigerande del). Tillsammans utgör de ett reviderat ramverk för ekonomisk styrning i unionen genom vilket innehållet i avdelning III Finanspolitisk överenskommelse i det mellanstatliga fördraget om stabilitet, samordning och styrning inom Ekonomiska och monetära unionen (SSS</w:t>
      </w:r>
      <w:r w:rsidRPr="00A502DC">
        <w:rPr>
          <w:rFonts w:eastAsia="Calibri"/>
          <w:szCs w:val="22"/>
          <w:lang w:eastAsia="en-US"/>
        </w:rPr>
        <w:noBreakHyphen/>
        <w:t>fördraget) införlivas i unionsrätten</w:t>
      </w:r>
      <w:r w:rsidRPr="00A502DC">
        <w:rPr>
          <w:rFonts w:eastAsia="Calibri"/>
          <w:b/>
          <w:bCs/>
          <w:szCs w:val="22"/>
          <w:vertAlign w:val="superscript"/>
          <w:lang w:eastAsia="en-US"/>
        </w:rPr>
        <w:footnoteReference w:id="13"/>
      </w:r>
      <w:r w:rsidRPr="00A502DC">
        <w:rPr>
          <w:rFonts w:eastAsia="Calibri"/>
          <w:szCs w:val="22"/>
          <w:lang w:eastAsia="en-US"/>
        </w:rPr>
        <w:t>, i enlighet med artikel 16 i fördraget.</w:t>
      </w:r>
      <w:r w:rsidR="000235CF">
        <w:rPr>
          <w:rFonts w:eastAsia="Calibri"/>
          <w:szCs w:val="22"/>
          <w:lang w:eastAsia="en-US"/>
        </w:rPr>
        <w:t xml:space="preserve"> </w:t>
      </w:r>
      <w:r w:rsidRPr="00A502DC">
        <w:rPr>
          <w:rFonts w:eastAsia="Calibri"/>
          <w:szCs w:val="22"/>
          <w:lang w:eastAsia="en-US"/>
        </w:rPr>
        <w:t>Med utgångspunkt i medlemsstaternas erfarenheter av att genomföra SSS-fördraget behålls den finanspolitiska överenskommelsens medelfristiga perspektiv i paketet som ett verktyg för att uppnå budgetdisciplin och främja tillväxt. I paketet förstärks den landsspecifika dimensionen i syfte att stärka det nationella ägarskapet, bland annat genom att oberoende finanspolitiska institutioner behåller sin roll på grundval av den finanspolitiska överenskommelsens gemensamma principer som föreslagits av kommissionen</w:t>
      </w:r>
      <w:r w:rsidRPr="00A502DC">
        <w:rPr>
          <w:rFonts w:eastAsia="Calibri"/>
          <w:b/>
          <w:bCs/>
          <w:szCs w:val="22"/>
          <w:vertAlign w:val="superscript"/>
          <w:lang w:eastAsia="en-US"/>
        </w:rPr>
        <w:footnoteReference w:id="14"/>
      </w:r>
      <w:r w:rsidRPr="00A502DC">
        <w:rPr>
          <w:rFonts w:eastAsia="Calibri"/>
          <w:szCs w:val="22"/>
          <w:lang w:eastAsia="en-US"/>
        </w:rPr>
        <w:t xml:space="preserve"> i enlighet med artikel 3.2 i SSS-fördraget. Den analys av utgifter exklusive diskretionära åtgärder på inkomstsidan som behövs för en samlad bedömning av efterlevnaden i enlighet med den finanspolitiska överenskommelsen anges i förordning [XXX] om ersättande av förordning (EG) nr 1466/97. Precis som i den finanspolitiska överenskommelsen är tillfälliga avvikelser från den medelfristiga planen endast tillåtna enligt förordning [XXX] om ersättande av förordning (EG) nr 1466/97 om det föreligger exceptionella omständigheter. På samma sätt bör, vid betydande avvikelser från den medelfristiga planen, åtgärder vidtas för att korrigera avvikelserna under en fastställd tidsperiod. Genom paketet stärks budgetövervakningen och förfarandena för efterlevnadskontroll i syfte att fullgöra åtagandet om att främja sunda och hållbara offentliga finanser och en hållbar och inkluderande tillväxt. I det reformerade ramverket för ekonomisk styrning behålls därmed SSS-fördragets grundläggande mål vad gäller budgetdisciplin och skuldhållbarhet.</w:t>
      </w:r>
    </w:p>
    <w:p w14:paraId="042AB235"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(9)</w:t>
      </w:r>
      <w:r w:rsidRPr="00A502DC">
        <w:rPr>
          <w:rFonts w:eastAsia="Calibri"/>
          <w:szCs w:val="22"/>
          <w:lang w:eastAsia="en-US"/>
        </w:rPr>
        <w:tab/>
        <w:t xml:space="preserve">En fullständig och tillförlitlig offentlig bokföringspraxis som omfattar alla delsektorer av offentlig förvaltning är en förutsättning för att ta fram statistik av hög kvalitet som kan jämföras mellan medlemsstaterna. Tillgången till och kvaliteten på </w:t>
      </w:r>
      <w:r w:rsidRPr="00A502DC">
        <w:rPr>
          <w:rFonts w:eastAsia="Calibri"/>
          <w:szCs w:val="22"/>
          <w:lang w:eastAsia="en-US"/>
        </w:rPr>
        <w:lastRenderedPageBreak/>
        <w:t>statistik enligt det europeiska national- och regionalräkenskapssystemet (ENS) är av avgörande betydelse för att säkerställa att unionens ramverk för budgetövervakning fungerar korrekt. ENS 2010 bygger på uppgifter som lämnas enligt periodiseringsprincipen. Det är därför önskvärt att insamlingen av periodiserade uppgifter och den information som krävs för att ta fram periodiserad statistik förbättras på ett sätt som är heltäckande och konsekvent för alla delsektorer av offentlig förvaltning.</w:t>
      </w:r>
    </w:p>
    <w:p w14:paraId="75035ADD"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(10)</w:t>
      </w:r>
      <w:r w:rsidRPr="00A502DC">
        <w:rPr>
          <w:rFonts w:eastAsia="Calibri"/>
          <w:szCs w:val="22"/>
          <w:lang w:eastAsia="en-US"/>
        </w:rPr>
        <w:tab/>
        <w:t>Om högfrekventa uppgifter finns tillgängliga blir det möjligt att upptäcka mönster som kräver en noggrannare övervakning och att förbättra kvaliteten på budgetprognoser. Medlemsstaterna och kommissionen (Eurostat) bör offentliggöra kvartalsvisa uppgifter om underskott och skulder med tillämpning av definitionerna i artikel 2 i protokoll (nr 12) om förfarandet vid alltför stora underskott, fogat till fördraget om Europeiska unionen (EU</w:t>
      </w:r>
      <w:r w:rsidRPr="00A502DC">
        <w:rPr>
          <w:rFonts w:eastAsia="Calibri"/>
          <w:szCs w:val="22"/>
          <w:lang w:eastAsia="en-US"/>
        </w:rPr>
        <w:noBreakHyphen/>
        <w:t>fördraget) och EUF-fördraget. För att stärka det nationella ägarskapet bör offentliggörande av mer högfrekventa budgetuppgifter som är särskilt anpassade till nationella budgetdefinitioner fastställas på grundval av nationella transparenskrav och användarbehov.</w:t>
      </w:r>
    </w:p>
    <w:p w14:paraId="1CC1D8A8"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(11)</w:t>
      </w:r>
      <w:r w:rsidRPr="00A502DC">
        <w:rPr>
          <w:rFonts w:eastAsia="Calibri"/>
          <w:szCs w:val="22"/>
          <w:lang w:eastAsia="en-US"/>
        </w:rPr>
        <w:tab/>
        <w:t>Partiska och orealistiska makroekonomiska prognoser och budgetprognoser för den årliga och fleråriga budgetlagstiftningen kan påtagligt försämra budgetplaneringens effektivitet och därmed även budgetdisciplinen. För att förbättra basantagandena bör medlemsstaterna jämföra sina makroekonomiska prognoser och budgetprognoser med de mest uppdaterade prognoserna från kommissionen och, om så är lämpligt, med andra oberoende organs prognoser.</w:t>
      </w:r>
    </w:p>
    <w:p w14:paraId="53A16EFC"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(12)</w:t>
      </w:r>
      <w:r w:rsidRPr="00A502DC">
        <w:rPr>
          <w:rFonts w:eastAsia="Calibri"/>
          <w:szCs w:val="22"/>
          <w:lang w:eastAsia="en-US"/>
        </w:rPr>
        <w:tab/>
        <w:t>För att förbättra kvaliteten på makroekonomiska prognoser och budgetprognoser för årlig och flerårig budgetplanering för offentlig förvaltning bör dessa regelbundet bli föremål för objektiva och omfattande utvärderingar som utförs i efterhand av ett oberoende organ eller andra organ som är funktionellt oberoende av medlemsstaternas skattemyndigheter och som inte är detsamma som det organ som utarbetar prognosen. Sådana utvärderingar bör innefatta granskning av ekonomiska antaganden, jämförelser med andra institutioners prognoser och utvärdering av tidigare prognosutfall.</w:t>
      </w:r>
    </w:p>
    <w:p w14:paraId="732B9E19"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(13)</w:t>
      </w:r>
      <w:r w:rsidRPr="00A502DC">
        <w:rPr>
          <w:rFonts w:eastAsia="Calibri"/>
          <w:szCs w:val="22"/>
          <w:lang w:eastAsia="en-US"/>
        </w:rPr>
        <w:tab/>
        <w:t xml:space="preserve">Oberoende organ med uppdrag att övervaka medlemsstaternas offentliga finanser är en effektiv beståndsdel i ett budgetramverk. I enlighet med Europaparlamentets och </w:t>
      </w:r>
      <w:r w:rsidRPr="00A502DC">
        <w:rPr>
          <w:rFonts w:eastAsia="Calibri"/>
          <w:szCs w:val="22"/>
          <w:lang w:eastAsia="en-US"/>
        </w:rPr>
        <w:lastRenderedPageBreak/>
        <w:t>rådets förordning (EU) nr 473/2013</w:t>
      </w:r>
      <w:r w:rsidRPr="00A502DC">
        <w:rPr>
          <w:rFonts w:eastAsia="Calibri"/>
          <w:b/>
          <w:bCs/>
          <w:szCs w:val="22"/>
          <w:vertAlign w:val="superscript"/>
          <w:lang w:eastAsia="en-US"/>
        </w:rPr>
        <w:footnoteReference w:id="15"/>
      </w:r>
      <w:r w:rsidRPr="00A502DC">
        <w:rPr>
          <w:rFonts w:eastAsia="Calibri"/>
          <w:szCs w:val="22"/>
          <w:lang w:eastAsia="en-US"/>
        </w:rPr>
        <w:t xml:space="preserve"> måste medlemsstater som har euron som valuta ha oberoende finanspolitiska institutioner som har i uppdrag att godkänna eller framställa makroekonomiska prognoser och i förordningen fastställs särskilda skyddsåtgärder för att säkra deras oberoende och tekniska kapacitet. Utan att det påverkar kraven i förordning (EU) nr 473/2013 bör de oberoende finanspolitiska institutionernas uppgift att framställa, bedöma eller godkänna makroekonomiska prognoser, i enlighet med artikel 8.4, ta hänsyn till etablerade nationella förfaranden och praxis i medlemsstaterna, inbegripet dem som avser tidpunkten för uppgiftens genomförande.</w:t>
      </w:r>
    </w:p>
    <w:p w14:paraId="6B5D1C24" w14:textId="77777777" w:rsidR="00B42845" w:rsidRPr="00A502DC" w:rsidRDefault="00B42845" w:rsidP="007D5957">
      <w:pPr>
        <w:widowControl/>
        <w:spacing w:after="200" w:line="360" w:lineRule="auto"/>
        <w:ind w:left="851" w:hanging="851"/>
        <w:rPr>
          <w:rFonts w:eastAsia="Calibri"/>
          <w:szCs w:val="22"/>
          <w:lang w:eastAsia="en-US"/>
        </w:rPr>
      </w:pPr>
      <w:r w:rsidRPr="00A502DC">
        <w:rPr>
          <w:rFonts w:eastAsia="Calibri"/>
          <w:szCs w:val="22"/>
          <w:lang w:eastAsia="en-US"/>
        </w:rPr>
        <w:t>(14)</w:t>
      </w:r>
      <w:r w:rsidRPr="00A502DC">
        <w:rPr>
          <w:rFonts w:eastAsia="Calibri"/>
          <w:szCs w:val="22"/>
          <w:lang w:eastAsia="en-US"/>
        </w:rPr>
        <w:tab/>
        <w:t>För att stärka ansvaret för finanspolitiken bör oberoende finanspolitiska institutioner ha ett betydande operativt oberoende, nödvändiga resurser för att kunna fullgöra sitt uppdrag och i tid få omfattande tillgång till nödvändig information. Medlemsstaterna får inrätta mer än en oberoende finanspolitisk institution och var och en av dem får utföra en eller flera av de uppgifter som fastställs i detta direktiv, förutsatt att det finns en tydlig ansvarsfördelning och att det inte finns några överlappningar mellan dem. En alltför stor institutionell uppdelning av övervakningsuppgifterna bör undvikas. Vid utformningen av dessa övervakningsorgan bör hänsyn tas till den berörda medlemsstatens befintliga institutionella och administrativa ramar.</w:t>
      </w:r>
    </w:p>
    <w:p w14:paraId="6E0D830B"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(15)</w:t>
      </w:r>
      <w:r w:rsidRPr="00A502DC">
        <w:rPr>
          <w:rFonts w:eastAsia="Calibri"/>
          <w:szCs w:val="22"/>
          <w:lang w:eastAsia="en-US"/>
        </w:rPr>
        <w:tab/>
        <w:t>För att förbättra budgetplaneringen bör vederbörlig uppmärksamhet i möjligaste mån ägnas de makroekonomiska risker som klimatförändringarna medför, inbegripet deras miljö- och fördelningseffekter. Det är mycket viktigt att förstå genom vilka potentiella kanaler klimatrelaterade chocker påverkar de offentliga finanserna för att kunna utforma nationella strategier som begränsar och hanterar de finanspolitiska risker som härrör från klimatförändringar och klimatrelaterade katastrofer.</w:t>
      </w:r>
    </w:p>
    <w:p w14:paraId="1769217A"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(16)</w:t>
      </w:r>
      <w:r w:rsidRPr="00A502DC">
        <w:rPr>
          <w:rFonts w:eastAsia="Calibri"/>
          <w:szCs w:val="22"/>
          <w:lang w:eastAsia="en-US"/>
        </w:rPr>
        <w:tab/>
        <w:t xml:space="preserve">Även om godkännandet av den årliga budgetlagstiftningen är ett viktigt steg i budgetprocessen för demokratiskt ansvarsutkrävande är en budgetplanering som sker utifrån ett ettårsperspektiv begränsad som grundval för en sund finanspolitik, eftersom de flesta åtgärder har konsekvenser som sträcker sig över betydligt längre tid än den årliga budgetcykeln. En effektiv medelfristig finanspolitisk planering </w:t>
      </w:r>
      <w:r w:rsidRPr="00A502DC">
        <w:rPr>
          <w:rFonts w:eastAsia="Calibri"/>
          <w:szCs w:val="22"/>
          <w:lang w:eastAsia="en-US"/>
        </w:rPr>
        <w:lastRenderedPageBreak/>
        <w:t>stärker därför finanspolitikens trovärdighet och tar samtidigt hänsyn till skuldhållbarheten. Den bör bygga på en tydlig och samstämmig definition av de nationella budgetmål på medellång sikt som läggs fram i de nationella medelfristiga planerna för den offentliga förvaltningen. För att förstärka det fleråriga budgetperspektivet bör planeringen av den årliga budgetlagstiftningen vara förenlig med nationella budgetmål på medellång sikt som avses i artikel 2 e.</w:t>
      </w:r>
    </w:p>
    <w:p w14:paraId="37360F20"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(17)</w:t>
      </w:r>
      <w:r w:rsidRPr="00A502DC">
        <w:rPr>
          <w:rFonts w:eastAsia="Calibri"/>
          <w:szCs w:val="22"/>
          <w:lang w:eastAsia="en-US"/>
        </w:rPr>
        <w:tab/>
        <w:t>För att effektivt främja budgetdisciplin och hållbara offentliga finanser bör budgetramverket omfatta de offentliga finanserna som helhet. Särskild uppmärksamhet bör av detta skäl ägnas offentliga organ och medel som inte ingår i de ordinarie budgetarna men som ingår i offentlig förvaltning, inbegripet i delsektorer, och som direkt eller på medellång sikt påverkar medlemsstaternas budgetställningar. Medlemsstaterna ska även offentliggöra värden avseende dessa organs och medels samlade inverkan på offentliga saldon och skulder. Närmare uppgifter om hur skatteutgifter påverkar inkomster bör offentliggöras.</w:t>
      </w:r>
    </w:p>
    <w:p w14:paraId="2FEF153E"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(19)</w:t>
      </w:r>
      <w:r w:rsidRPr="00A502DC">
        <w:rPr>
          <w:rFonts w:eastAsia="Calibri"/>
          <w:szCs w:val="22"/>
          <w:lang w:eastAsia="en-US"/>
        </w:rPr>
        <w:tab/>
        <w:t>Gröna budgeteringsverktyg kan bidra till att styra om offentliga inkomster och utgifter till gröna prioriteringar. Regelbunden rapportering av relevant information förbättrar i detta avseende budgetöverläggningar. Medlemsstaterna kan offentliggöra information om hur relevanta delar av deras budgetar bidrar till att fullgöra nationella och internationella klimat- och miljöåtaganden samt om den metod som används. Medlemsstaterna kan offentliggöra uppgifter och beskrivande information separat för utgifts-, skatteutgifts- och inkomstposter. Medlemsstaterna kan offentliggöra information om budgetpolitikens fördelningseffekter och ta hänsyn till sysselsättningsaspekter, sociala aspekter och fördelningsaspekter vid utvecklingen av grön budgetering</w:t>
      </w:r>
      <w:r w:rsidRPr="00A502DC">
        <w:rPr>
          <w:b/>
          <w:bCs/>
          <w:szCs w:val="22"/>
          <w:vertAlign w:val="superscript"/>
          <w:lang w:eastAsia="en-US"/>
        </w:rPr>
        <w:footnoteReference w:id="16"/>
      </w:r>
      <w:r w:rsidRPr="00A502DC">
        <w:rPr>
          <w:rFonts w:eastAsia="Calibri"/>
          <w:szCs w:val="22"/>
          <w:lang w:eastAsia="en-US"/>
        </w:rPr>
        <w:t>.</w:t>
      </w:r>
    </w:p>
    <w:p w14:paraId="020EC478"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(20)</w:t>
      </w:r>
      <w:r w:rsidRPr="00A502DC">
        <w:rPr>
          <w:rFonts w:eastAsia="Calibri"/>
          <w:szCs w:val="22"/>
          <w:lang w:eastAsia="en-US"/>
        </w:rPr>
        <w:tab/>
        <w:t xml:space="preserve">Lämplig uppmärksamhet bör även ägnas ansvarsförbindelser. Ansvarsförbindelser omfattar närmare bestämt möjliga förpliktelser som kan uppstå beroende på om en osäker framtida händelse inträffar, eller aktuella förpliktelser där betalning troligen inte kommer att ske eller beloppet för den troliga betalningen inte kan mätas på ett </w:t>
      </w:r>
      <w:r w:rsidRPr="00A502DC">
        <w:rPr>
          <w:rFonts w:eastAsia="Calibri"/>
          <w:szCs w:val="22"/>
          <w:lang w:eastAsia="en-US"/>
        </w:rPr>
        <w:lastRenderedPageBreak/>
        <w:t>tillförlitligt sätt. De omfattar till exempel offentliga garantier, nödlidande lån, skulder som härrör från offentliga bolags verksamhet samt, så långt det är möjligt, katastrof- och klimatrelaterade ansvarsförbindelser.</w:t>
      </w:r>
    </w:p>
    <w:p w14:paraId="0B93D403"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(21)</w:t>
      </w:r>
      <w:r w:rsidRPr="00A502DC">
        <w:rPr>
          <w:rFonts w:eastAsia="Calibri"/>
          <w:szCs w:val="22"/>
          <w:lang w:eastAsia="en-US"/>
        </w:rPr>
        <w:tab/>
        <w:t>Naturkatastrofer och extrema väderhändelser har drabbat de flesta medlemsstater och sådana händelser förväntas på grund av klimatförändringarna inträffa oftare och öka i intensitet. Stater investerar i klimatanpassningsåtgärder och ingriper för att täcka kostnaderna för krishjälp, återhämtning och återuppbyggnad, samt träder i vissa fall in som försäkringsgivare i sista hand. Med tanke på de nuvarande och framtida utmaningarna för de offentliga finansernas hållbarhet bör särskild uppmärksamhet ägnas förpliktelser för staten och risker för de offentliga finanserna som är en följd av naturkatastrofer och klimatrelaterade chocker, till att börja med genom insamling och offentliggörande av information om offentligfinansiella kostnader för tidigare händelser, så långt det är möjligt.</w:t>
      </w:r>
    </w:p>
    <w:p w14:paraId="41393535" w14:textId="77777777" w:rsidR="00B42845" w:rsidRPr="00A502DC" w:rsidRDefault="00B42845" w:rsidP="00B42845">
      <w:pPr>
        <w:widowControl/>
        <w:spacing w:before="120" w:after="120" w:line="360" w:lineRule="auto"/>
        <w:ind w:left="850" w:hanging="850"/>
        <w:rPr>
          <w:rFonts w:eastAsia="Calibri"/>
          <w:szCs w:val="22"/>
          <w:lang w:eastAsia="en-US"/>
        </w:rPr>
      </w:pPr>
      <w:r w:rsidRPr="00A502DC">
        <w:rPr>
          <w:rFonts w:eastAsia="Calibri"/>
          <w:b/>
          <w:i/>
          <w:szCs w:val="22"/>
          <w:lang w:eastAsia="en-US"/>
        </w:rPr>
        <w:t>(21a)</w:t>
      </w:r>
      <w:r w:rsidRPr="00A502DC">
        <w:rPr>
          <w:rFonts w:eastAsia="Calibri"/>
          <w:b/>
          <w:i/>
          <w:szCs w:val="22"/>
          <w:lang w:eastAsia="en-US"/>
        </w:rPr>
        <w:tab/>
      </w:r>
      <w:r w:rsidRPr="00A502DC">
        <w:rPr>
          <w:rFonts w:eastAsia="Calibri"/>
          <w:szCs w:val="22"/>
          <w:lang w:eastAsia="en-US"/>
        </w:rPr>
        <w:t>Rapporteringen om makroekonomiska risker som är en följd av klimatförändringarna, klimatrelaterade ansvarsförbindelser och offentligfinansiella kostnader för katastrofer håller på att förbättras, men den befinner sig fortfarande i en uppstartsfas, och metoder och indikatorer för sådan rapportering håller fortfarande på att utvecklas. Anpassningen till denna rapportering kommer att kräva betydande insatser från de offentliga förvaltningarnas sida. Rapporteringen på dessa områden bör med beaktande av dessa utmaningar och så långt det är möjligt genomföras och utvecklas parallellt med sådana metodframsteg.</w:t>
      </w:r>
    </w:p>
    <w:p w14:paraId="4ABB12FA"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(22)</w:t>
      </w:r>
      <w:r w:rsidRPr="00A502DC">
        <w:rPr>
          <w:rFonts w:eastAsia="Calibri"/>
          <w:szCs w:val="22"/>
          <w:lang w:eastAsia="en-US"/>
        </w:rPr>
        <w:tab/>
        <w:t>Kommissionen bör fortsätta att regelbundet övervaka genomförandet av direktiv 2011/85/EU. Bästa praxis för genomförandet av bestämmelserna i det direktivet bör identifieras och utbytas.</w:t>
      </w:r>
    </w:p>
    <w:p w14:paraId="05D3DE7C" w14:textId="77777777" w:rsidR="00B42845" w:rsidRPr="00A502DC" w:rsidRDefault="00B42845" w:rsidP="00B42845">
      <w:pPr>
        <w:widowControl/>
        <w:tabs>
          <w:tab w:val="left" w:pos="850"/>
        </w:tabs>
        <w:spacing w:before="120" w:after="120" w:line="360" w:lineRule="auto"/>
        <w:ind w:left="850" w:hanging="850"/>
        <w:rPr>
          <w:rFonts w:eastAsia="Calibri"/>
          <w:szCs w:val="22"/>
          <w:lang w:eastAsia="en-US"/>
        </w:rPr>
      </w:pPr>
      <w:r w:rsidRPr="00A502DC">
        <w:rPr>
          <w:rFonts w:eastAsia="Calibri"/>
          <w:szCs w:val="22"/>
          <w:lang w:eastAsia="en-US"/>
        </w:rPr>
        <w:t>(23)</w:t>
      </w:r>
      <w:r w:rsidRPr="00A502DC">
        <w:rPr>
          <w:rFonts w:eastAsia="Calibri"/>
          <w:szCs w:val="22"/>
          <w:lang w:eastAsia="en-US"/>
        </w:rPr>
        <w:tab/>
        <w:t>Direktiv 2011/85/EU bör därför ändras i enlighet med detta.</w:t>
      </w:r>
    </w:p>
    <w:p w14:paraId="2C0AF079" w14:textId="77777777" w:rsidR="00B42845" w:rsidRPr="00A502DC" w:rsidRDefault="00B42845" w:rsidP="00B42845">
      <w:pPr>
        <w:widowControl/>
        <w:spacing w:before="120" w:after="120" w:line="360" w:lineRule="auto"/>
        <w:rPr>
          <w:rFonts w:eastAsia="Calibri"/>
          <w:szCs w:val="22"/>
          <w:lang w:eastAsia="en-US"/>
        </w:rPr>
      </w:pPr>
    </w:p>
    <w:p w14:paraId="3AB818FD" w14:textId="77777777" w:rsidR="00B42845" w:rsidRPr="00A502DC" w:rsidRDefault="00B42845" w:rsidP="00B42845">
      <w:pPr>
        <w:keepNext/>
        <w:widowControl/>
        <w:spacing w:before="120" w:after="120" w:line="360" w:lineRule="auto"/>
        <w:rPr>
          <w:rFonts w:eastAsia="Calibri"/>
          <w:szCs w:val="22"/>
          <w:lang w:eastAsia="en-US"/>
        </w:rPr>
      </w:pPr>
      <w:r w:rsidRPr="00A502DC">
        <w:rPr>
          <w:rFonts w:eastAsia="Calibri"/>
          <w:szCs w:val="22"/>
          <w:lang w:eastAsia="en-US"/>
        </w:rPr>
        <w:t>HÄRIGENOM FÖRESKRIVS FÖLJANDE.</w:t>
      </w:r>
    </w:p>
    <w:p w14:paraId="43A3833E" w14:textId="77777777" w:rsidR="00B42845" w:rsidRPr="00A502DC" w:rsidRDefault="00B42845" w:rsidP="00B42845">
      <w:pPr>
        <w:widowControl/>
        <w:spacing w:before="120" w:after="120" w:line="360" w:lineRule="auto"/>
        <w:rPr>
          <w:rFonts w:eastAsia="Calibri"/>
          <w:szCs w:val="22"/>
          <w:lang w:eastAsia="en-US"/>
        </w:rPr>
      </w:pPr>
    </w:p>
    <w:p w14:paraId="72EEB97D" w14:textId="77777777" w:rsidR="00B42845" w:rsidRPr="00A502DC" w:rsidRDefault="00B42845" w:rsidP="00B42845">
      <w:pPr>
        <w:widowControl/>
        <w:spacing w:before="120" w:after="120" w:line="360" w:lineRule="auto"/>
        <w:rPr>
          <w:rFonts w:eastAsia="Calibri"/>
          <w:szCs w:val="22"/>
          <w:lang w:eastAsia="en-US"/>
        </w:rPr>
      </w:pPr>
      <w:r w:rsidRPr="00A502DC">
        <w:rPr>
          <w:rFonts w:eastAsia="Calibri"/>
          <w:szCs w:val="22"/>
          <w:lang w:eastAsia="en-US"/>
        </w:rPr>
        <w:t>Direktiv 2011/85/EU ska ändras på följande sätt:</w:t>
      </w:r>
    </w:p>
    <w:p w14:paraId="4B4ED3B1" w14:textId="77777777" w:rsidR="00B42845" w:rsidRPr="00A502DC" w:rsidRDefault="00B42845" w:rsidP="00B42845">
      <w:pPr>
        <w:keepNext/>
        <w:widowControl/>
        <w:spacing w:before="120" w:after="360" w:line="360" w:lineRule="auto"/>
        <w:rPr>
          <w:rFonts w:eastAsia="Calibri"/>
          <w:b/>
          <w:szCs w:val="24"/>
          <w:lang w:eastAsia="en-US"/>
        </w:rPr>
      </w:pPr>
    </w:p>
    <w:p w14:paraId="2A1BFAB4" w14:textId="77777777" w:rsidR="00B42845" w:rsidRPr="00A502DC" w:rsidRDefault="00B42845" w:rsidP="00B42845">
      <w:pPr>
        <w:widowControl/>
        <w:shd w:val="clear" w:color="auto" w:fill="FFFFFF"/>
        <w:spacing w:before="120" w:line="360" w:lineRule="auto"/>
        <w:ind w:left="567" w:hanging="567"/>
        <w:jc w:val="both"/>
        <w:rPr>
          <w:rFonts w:eastAsia="Calibri"/>
          <w:color w:val="000000"/>
          <w:szCs w:val="24"/>
          <w:lang w:eastAsia="en-US"/>
        </w:rPr>
      </w:pPr>
      <w:r w:rsidRPr="00A502DC">
        <w:rPr>
          <w:rFonts w:eastAsia="Calibri"/>
          <w:noProof/>
          <w:color w:val="000000"/>
          <w:szCs w:val="24"/>
          <w:lang w:eastAsia="en-US"/>
        </w:rPr>
        <w:t>1.</w:t>
      </w:r>
      <w:r w:rsidRPr="00A502DC">
        <w:rPr>
          <w:rFonts w:eastAsia="Calibri"/>
          <w:noProof/>
          <w:color w:val="000000"/>
          <w:szCs w:val="24"/>
          <w:lang w:eastAsia="en-US"/>
        </w:rPr>
        <w:tab/>
      </w:r>
      <w:r w:rsidRPr="00A502DC">
        <w:rPr>
          <w:rFonts w:eastAsia="Calibri"/>
          <w:color w:val="000000"/>
          <w:szCs w:val="24"/>
          <w:lang w:eastAsia="en-US"/>
        </w:rPr>
        <w:t>Artikel 2 ska ändras på följande sätt:</w:t>
      </w:r>
    </w:p>
    <w:p w14:paraId="0E6D9739" w14:textId="77777777" w:rsidR="00B42845" w:rsidRPr="00A502DC" w:rsidRDefault="00B42845" w:rsidP="00B42845">
      <w:pPr>
        <w:widowControl/>
        <w:shd w:val="clear" w:color="auto" w:fill="FFFFFF"/>
        <w:spacing w:line="360" w:lineRule="auto"/>
        <w:ind w:left="720"/>
        <w:contextualSpacing/>
        <w:rPr>
          <w:rFonts w:eastAsia="Calibri"/>
          <w:noProof/>
          <w:color w:val="000000"/>
          <w:szCs w:val="24"/>
          <w:lang w:eastAsia="en-US"/>
        </w:rPr>
      </w:pPr>
    </w:p>
    <w:p w14:paraId="1D4F124B" w14:textId="77777777" w:rsidR="00B42845" w:rsidRPr="00A502DC" w:rsidRDefault="00B42845" w:rsidP="00B42845">
      <w:pPr>
        <w:widowControl/>
        <w:spacing w:before="120" w:after="120" w:line="360" w:lineRule="auto"/>
        <w:ind w:left="1701" w:hanging="567"/>
        <w:rPr>
          <w:rFonts w:eastAsia="Calibri"/>
          <w:szCs w:val="22"/>
          <w:lang w:eastAsia="en-US"/>
        </w:rPr>
      </w:pPr>
      <w:r w:rsidRPr="00A502DC">
        <w:rPr>
          <w:rFonts w:eastAsia="Calibri"/>
          <w:szCs w:val="22"/>
          <w:lang w:eastAsia="en-US"/>
        </w:rPr>
        <w:t>a)</w:t>
      </w:r>
      <w:r w:rsidRPr="00A502DC">
        <w:rPr>
          <w:rFonts w:eastAsia="Calibri"/>
          <w:szCs w:val="22"/>
          <w:lang w:eastAsia="en-US"/>
        </w:rPr>
        <w:tab/>
        <w:t>I första stycket ska andra meningen ersättas med följande:</w:t>
      </w:r>
    </w:p>
    <w:p w14:paraId="7D7D7DA4" w14:textId="77777777" w:rsidR="00B42845" w:rsidRPr="00A502DC" w:rsidRDefault="00B42845" w:rsidP="00B42845">
      <w:pPr>
        <w:widowControl/>
        <w:shd w:val="clear" w:color="auto" w:fill="FFFFFF"/>
        <w:spacing w:line="360" w:lineRule="auto"/>
        <w:ind w:left="1701"/>
        <w:contextualSpacing/>
        <w:rPr>
          <w:rFonts w:eastAsia="Calibri"/>
          <w:noProof/>
          <w:color w:val="000000"/>
          <w:szCs w:val="24"/>
          <w:lang w:eastAsia="en-US"/>
        </w:rPr>
      </w:pPr>
    </w:p>
    <w:p w14:paraId="5249F7D6" w14:textId="77777777" w:rsidR="00B42845" w:rsidRPr="00A502DC" w:rsidRDefault="00B42845" w:rsidP="00B42845">
      <w:pPr>
        <w:widowControl/>
        <w:shd w:val="clear" w:color="auto" w:fill="FFFFFF"/>
        <w:spacing w:line="360" w:lineRule="auto"/>
        <w:ind w:left="1701"/>
        <w:contextualSpacing/>
        <w:rPr>
          <w:rFonts w:eastAsia="Calibri"/>
          <w:noProof/>
          <w:szCs w:val="24"/>
          <w:lang w:eastAsia="en-US"/>
        </w:rPr>
      </w:pPr>
      <w:r w:rsidRPr="00A502DC">
        <w:rPr>
          <w:rFonts w:eastAsia="Calibri"/>
          <w:noProof/>
          <w:szCs w:val="24"/>
          <w:lang w:eastAsia="en-US"/>
        </w:rPr>
        <w:t>”Definitionen av den offentliga förvaltningens delsektorer i bilaga A till Europaparlamentets och rådets förordning (EU) nr 549/2013 ska gälla*.</w:t>
      </w:r>
    </w:p>
    <w:p w14:paraId="7AB59EEF" w14:textId="77777777" w:rsidR="00B42845" w:rsidRPr="00A502DC" w:rsidRDefault="00B42845" w:rsidP="00B42845">
      <w:pPr>
        <w:widowControl/>
        <w:shd w:val="clear" w:color="auto" w:fill="FFFFFF"/>
        <w:spacing w:line="360" w:lineRule="auto"/>
        <w:ind w:left="1701"/>
        <w:contextualSpacing/>
        <w:rPr>
          <w:rFonts w:eastAsia="Calibri"/>
          <w:noProof/>
          <w:color w:val="000000"/>
          <w:szCs w:val="22"/>
          <w:lang w:eastAsia="en-US"/>
        </w:rPr>
      </w:pPr>
    </w:p>
    <w:p w14:paraId="249F40FE" w14:textId="77777777" w:rsidR="00B42845" w:rsidRPr="00A502DC" w:rsidRDefault="00B42845" w:rsidP="00B42845">
      <w:pPr>
        <w:widowControl/>
        <w:shd w:val="clear" w:color="auto" w:fill="FFFFFF"/>
        <w:spacing w:line="360" w:lineRule="auto"/>
        <w:ind w:left="1701"/>
        <w:contextualSpacing/>
        <w:rPr>
          <w:rFonts w:eastAsia="Calibri"/>
          <w:noProof/>
          <w:color w:val="000000"/>
          <w:szCs w:val="22"/>
          <w:lang w:eastAsia="en-US"/>
        </w:rPr>
      </w:pPr>
      <w:r w:rsidRPr="00A502DC">
        <w:rPr>
          <w:rFonts w:eastAsia="Calibri" w:cs="Arial"/>
          <w:noProof/>
          <w:color w:val="000000"/>
          <w:szCs w:val="22"/>
          <w:lang w:eastAsia="en-US"/>
        </w:rPr>
        <w:t>___________</w:t>
      </w:r>
    </w:p>
    <w:p w14:paraId="0C8D2805" w14:textId="77777777" w:rsidR="00B42845" w:rsidRPr="00A502DC" w:rsidRDefault="00B42845" w:rsidP="00B42845">
      <w:pPr>
        <w:widowControl/>
        <w:shd w:val="clear" w:color="auto" w:fill="FFFFFF"/>
        <w:spacing w:line="360" w:lineRule="auto"/>
        <w:ind w:left="1701"/>
        <w:contextualSpacing/>
        <w:rPr>
          <w:rFonts w:eastAsia="Calibri"/>
          <w:noProof/>
          <w:color w:val="000000"/>
          <w:szCs w:val="22"/>
          <w:lang w:eastAsia="en-US"/>
        </w:rPr>
      </w:pPr>
    </w:p>
    <w:p w14:paraId="1E44EFD5" w14:textId="77777777" w:rsidR="00B42845" w:rsidRPr="00A502DC" w:rsidRDefault="00B42845" w:rsidP="00B42845">
      <w:pPr>
        <w:widowControl/>
        <w:shd w:val="clear" w:color="auto" w:fill="FFFFFF"/>
        <w:spacing w:line="360" w:lineRule="auto"/>
        <w:ind w:left="1701"/>
        <w:contextualSpacing/>
        <w:rPr>
          <w:rFonts w:eastAsia="Calibri"/>
          <w:szCs w:val="22"/>
          <w:lang w:eastAsia="en-US"/>
        </w:rPr>
      </w:pPr>
      <w:r w:rsidRPr="00A502DC">
        <w:rPr>
          <w:rFonts w:eastAsia="Calibri" w:cs="Arial"/>
          <w:noProof/>
          <w:szCs w:val="22"/>
          <w:lang w:eastAsia="en-US"/>
        </w:rPr>
        <w:t>*EUT L 174, 26.6.2013, s. 1.”</w:t>
      </w:r>
    </w:p>
    <w:p w14:paraId="55B171B4" w14:textId="77777777" w:rsidR="00B42845" w:rsidRPr="00A502DC" w:rsidRDefault="00B42845" w:rsidP="007D5957">
      <w:pPr>
        <w:widowControl/>
        <w:shd w:val="clear" w:color="auto" w:fill="FFFFFF"/>
        <w:spacing w:line="360" w:lineRule="auto"/>
        <w:contextualSpacing/>
        <w:rPr>
          <w:rFonts w:eastAsia="Calibri"/>
          <w:szCs w:val="22"/>
          <w:lang w:eastAsia="en-US"/>
        </w:rPr>
      </w:pPr>
      <w:r w:rsidRPr="00A502DC">
        <w:rPr>
          <w:rFonts w:eastAsia="Calibri"/>
          <w:szCs w:val="22"/>
          <w:lang w:eastAsia="en-US"/>
        </w:rPr>
        <w:t>b)</w:t>
      </w:r>
      <w:r w:rsidRPr="00A502DC">
        <w:rPr>
          <w:rFonts w:eastAsia="Calibri"/>
          <w:szCs w:val="22"/>
          <w:lang w:eastAsia="en-US"/>
        </w:rPr>
        <w:tab/>
        <w:t>Andra stycket ska ändras på följande sätt:</w:t>
      </w:r>
    </w:p>
    <w:p w14:paraId="1363F07E" w14:textId="77777777" w:rsidR="00B42845" w:rsidRPr="00A502DC" w:rsidRDefault="00B42845" w:rsidP="007D5957">
      <w:pPr>
        <w:widowControl/>
        <w:spacing w:before="120" w:after="120" w:line="360" w:lineRule="auto"/>
        <w:ind w:firstLine="720"/>
        <w:rPr>
          <w:rFonts w:eastAsia="Calibri"/>
          <w:szCs w:val="22"/>
          <w:lang w:eastAsia="en-US"/>
        </w:rPr>
      </w:pPr>
      <w:r w:rsidRPr="00A502DC">
        <w:rPr>
          <w:rFonts w:eastAsia="Calibri"/>
          <w:szCs w:val="22"/>
          <w:lang w:eastAsia="en-US"/>
        </w:rPr>
        <w:t>i)</w:t>
      </w:r>
      <w:r w:rsidRPr="00A502DC">
        <w:rPr>
          <w:rFonts w:eastAsia="Calibri"/>
          <w:szCs w:val="22"/>
          <w:lang w:eastAsia="en-US"/>
        </w:rPr>
        <w:tab/>
        <w:t>Led a ska ersättas med följande:</w:t>
      </w:r>
    </w:p>
    <w:p w14:paraId="7C0DCD0A" w14:textId="77777777" w:rsidR="00B42845" w:rsidRPr="00A502DC" w:rsidRDefault="00B42845" w:rsidP="00B42845">
      <w:pPr>
        <w:widowControl/>
        <w:shd w:val="clear" w:color="auto" w:fill="FFFFFF"/>
        <w:spacing w:line="360" w:lineRule="auto"/>
        <w:ind w:left="1701"/>
        <w:contextualSpacing/>
        <w:rPr>
          <w:rFonts w:eastAsia="Calibri"/>
          <w:noProof/>
          <w:szCs w:val="22"/>
          <w:lang w:eastAsia="en-US"/>
        </w:rPr>
      </w:pPr>
    </w:p>
    <w:p w14:paraId="387FEC79" w14:textId="77777777" w:rsidR="00B42845" w:rsidRPr="00A502DC" w:rsidRDefault="00B42845" w:rsidP="00B42845">
      <w:pPr>
        <w:widowControl/>
        <w:shd w:val="clear" w:color="auto" w:fill="FFFFFF"/>
        <w:spacing w:line="360" w:lineRule="auto"/>
        <w:ind w:left="2268" w:hanging="567"/>
        <w:contextualSpacing/>
        <w:rPr>
          <w:rFonts w:eastAsia="Calibri"/>
          <w:noProof/>
          <w:szCs w:val="22"/>
          <w:lang w:eastAsia="en-US"/>
        </w:rPr>
      </w:pPr>
      <w:r w:rsidRPr="00A502DC">
        <w:rPr>
          <w:rFonts w:eastAsia="Calibri" w:cs="Arial"/>
          <w:noProof/>
          <w:szCs w:val="22"/>
          <w:lang w:eastAsia="en-US"/>
        </w:rPr>
        <w:t>”a)</w:t>
      </w:r>
      <w:r w:rsidRPr="00A502DC">
        <w:rPr>
          <w:rFonts w:eastAsia="Calibri" w:cs="Arial"/>
          <w:noProof/>
          <w:szCs w:val="22"/>
          <w:lang w:eastAsia="en-US"/>
        </w:rPr>
        <w:tab/>
        <w:t>redovisningssystem för offentlig sektor och offentlig statistisk rapportering,”</w:t>
      </w:r>
    </w:p>
    <w:p w14:paraId="1E9FB0E8" w14:textId="77777777" w:rsidR="00B42845" w:rsidRPr="00A502DC" w:rsidRDefault="00B42845" w:rsidP="00B42845">
      <w:pPr>
        <w:widowControl/>
        <w:shd w:val="clear" w:color="auto" w:fill="FFFFFF"/>
        <w:spacing w:line="360" w:lineRule="auto"/>
        <w:ind w:left="1701"/>
        <w:contextualSpacing/>
        <w:rPr>
          <w:rFonts w:eastAsia="Calibri"/>
          <w:noProof/>
          <w:szCs w:val="22"/>
          <w:lang w:eastAsia="en-US"/>
        </w:rPr>
      </w:pPr>
    </w:p>
    <w:p w14:paraId="6F526AAD" w14:textId="77777777" w:rsidR="00B42845" w:rsidRPr="00A502DC" w:rsidRDefault="00B42845" w:rsidP="007D5957">
      <w:pPr>
        <w:widowControl/>
        <w:spacing w:before="120" w:after="120" w:line="360" w:lineRule="auto"/>
        <w:ind w:firstLine="720"/>
        <w:rPr>
          <w:rFonts w:eastAsia="Calibri"/>
          <w:szCs w:val="22"/>
          <w:lang w:eastAsia="en-US"/>
        </w:rPr>
      </w:pPr>
      <w:r w:rsidRPr="00A502DC">
        <w:rPr>
          <w:rFonts w:eastAsia="Calibri"/>
          <w:szCs w:val="22"/>
          <w:lang w:eastAsia="en-US"/>
        </w:rPr>
        <w:t>ii)</w:t>
      </w:r>
      <w:r w:rsidRPr="00A502DC">
        <w:rPr>
          <w:rFonts w:eastAsia="Calibri"/>
          <w:szCs w:val="22"/>
          <w:lang w:eastAsia="en-US"/>
        </w:rPr>
        <w:tab/>
        <w:t>Led c ska ersättas med följande:</w:t>
      </w:r>
    </w:p>
    <w:p w14:paraId="47D36A1B" w14:textId="77777777" w:rsidR="00B42845" w:rsidRPr="00A502DC" w:rsidRDefault="00B42845" w:rsidP="00B42845">
      <w:pPr>
        <w:widowControl/>
        <w:shd w:val="clear" w:color="auto" w:fill="FFFFFF"/>
        <w:spacing w:line="360" w:lineRule="auto"/>
        <w:ind w:left="1701"/>
        <w:contextualSpacing/>
        <w:rPr>
          <w:rFonts w:eastAsia="Calibri"/>
          <w:noProof/>
          <w:szCs w:val="22"/>
          <w:lang w:eastAsia="en-US"/>
        </w:rPr>
      </w:pPr>
    </w:p>
    <w:p w14:paraId="149A6002" w14:textId="77777777" w:rsidR="00B42845" w:rsidRPr="00A502DC" w:rsidRDefault="00B42845" w:rsidP="00B42845">
      <w:pPr>
        <w:widowControl/>
        <w:shd w:val="clear" w:color="auto" w:fill="FFFFFF"/>
        <w:spacing w:line="360" w:lineRule="auto"/>
        <w:ind w:left="2268" w:hanging="567"/>
        <w:contextualSpacing/>
        <w:rPr>
          <w:rFonts w:eastAsia="Calibri"/>
          <w:noProof/>
          <w:szCs w:val="22"/>
          <w:lang w:eastAsia="en-US"/>
        </w:rPr>
      </w:pPr>
      <w:r w:rsidRPr="00A502DC">
        <w:rPr>
          <w:rFonts w:eastAsia="Calibri" w:cs="Arial"/>
          <w:noProof/>
          <w:szCs w:val="22"/>
          <w:lang w:eastAsia="en-US"/>
        </w:rPr>
        <w:t>”c)</w:t>
      </w:r>
      <w:r w:rsidRPr="00A502DC">
        <w:rPr>
          <w:rFonts w:eastAsia="Calibri" w:cs="Arial"/>
          <w:noProof/>
          <w:szCs w:val="22"/>
          <w:lang w:eastAsia="en-US"/>
        </w:rPr>
        <w:tab/>
        <w:t>landsspecifika numeriska finanspolitiska regler som bidrar till att medlemsstaternas finanspolitik stämmer överens med deras respektive skyldigheter enligt EUF-fördraget och som uttrycks i form av en indikator på budgetutfallet, exempelvis det offentliga budgetunderskottet, upplåningen, skulderna eller någon av deras huvudkomponenter,”</w:t>
      </w:r>
    </w:p>
    <w:p w14:paraId="0161EA2C" w14:textId="77777777" w:rsidR="00B42845" w:rsidRPr="00A502DC" w:rsidRDefault="00B42845" w:rsidP="00B42845">
      <w:pPr>
        <w:widowControl/>
        <w:shd w:val="clear" w:color="auto" w:fill="FFFFFF"/>
        <w:spacing w:line="360" w:lineRule="auto"/>
        <w:ind w:left="1701"/>
        <w:contextualSpacing/>
        <w:rPr>
          <w:rFonts w:eastAsia="Calibri"/>
          <w:noProof/>
          <w:szCs w:val="22"/>
          <w:lang w:eastAsia="en-US"/>
        </w:rPr>
      </w:pPr>
    </w:p>
    <w:p w14:paraId="24614B5D" w14:textId="77777777" w:rsidR="00B42845" w:rsidRPr="00A502DC" w:rsidRDefault="00B42845" w:rsidP="007D5957">
      <w:pPr>
        <w:widowControl/>
        <w:spacing w:before="120" w:after="120" w:line="360" w:lineRule="auto"/>
        <w:ind w:firstLine="720"/>
        <w:rPr>
          <w:rFonts w:eastAsia="Calibri"/>
          <w:szCs w:val="22"/>
          <w:lang w:eastAsia="en-US"/>
        </w:rPr>
      </w:pPr>
      <w:r w:rsidRPr="00A502DC">
        <w:rPr>
          <w:rFonts w:eastAsia="Calibri"/>
          <w:szCs w:val="22"/>
          <w:lang w:eastAsia="en-US"/>
        </w:rPr>
        <w:t>iii)</w:t>
      </w:r>
      <w:r w:rsidRPr="00A502DC">
        <w:rPr>
          <w:rFonts w:eastAsia="Calibri"/>
          <w:szCs w:val="22"/>
          <w:lang w:eastAsia="en-US"/>
        </w:rPr>
        <w:tab/>
        <w:t>Led e ska ersättas med följande:</w:t>
      </w:r>
    </w:p>
    <w:p w14:paraId="4394FD29" w14:textId="77777777" w:rsidR="00B42845" w:rsidRPr="00A502DC" w:rsidRDefault="00B42845" w:rsidP="00B42845">
      <w:pPr>
        <w:widowControl/>
        <w:shd w:val="clear" w:color="auto" w:fill="FFFFFF"/>
        <w:spacing w:line="360" w:lineRule="auto"/>
        <w:ind w:left="1701"/>
        <w:contextualSpacing/>
        <w:rPr>
          <w:rFonts w:eastAsia="Calibri"/>
          <w:noProof/>
          <w:szCs w:val="22"/>
          <w:lang w:eastAsia="en-US"/>
        </w:rPr>
      </w:pPr>
    </w:p>
    <w:p w14:paraId="45C0F316" w14:textId="77777777" w:rsidR="00B42845" w:rsidRPr="00A502DC" w:rsidRDefault="00B42845" w:rsidP="00B42845">
      <w:pPr>
        <w:widowControl/>
        <w:spacing w:before="120" w:line="360" w:lineRule="auto"/>
        <w:ind w:left="2268" w:hanging="567"/>
        <w:rPr>
          <w:rFonts w:ascii="inherit" w:hAnsi="inherit"/>
          <w:color w:val="000000"/>
          <w:szCs w:val="24"/>
          <w:lang w:eastAsia="en-US"/>
        </w:rPr>
      </w:pPr>
      <w:r w:rsidRPr="00A502DC">
        <w:rPr>
          <w:rFonts w:eastAsia="Calibri"/>
          <w:szCs w:val="22"/>
          <w:lang w:eastAsia="en-US"/>
        </w:rPr>
        <w:t>”e)</w:t>
      </w:r>
      <w:r w:rsidRPr="00A502DC">
        <w:rPr>
          <w:rFonts w:eastAsia="Calibri"/>
          <w:szCs w:val="22"/>
          <w:lang w:eastAsia="en-US"/>
        </w:rPr>
        <w:tab/>
      </w:r>
      <w:r w:rsidRPr="00A502DC">
        <w:rPr>
          <w:rFonts w:ascii="inherit" w:eastAsia="Calibri" w:hAnsi="inherit"/>
          <w:color w:val="000000"/>
          <w:szCs w:val="22"/>
          <w:lang w:eastAsia="en-US"/>
        </w:rPr>
        <w:t xml:space="preserve">budgetramverk på medellång sikt som en särskild del av den nationella budgetprocessen för att ge finanspolitiken ett längre </w:t>
      </w:r>
      <w:r w:rsidRPr="00A502DC">
        <w:rPr>
          <w:rFonts w:ascii="inherit" w:eastAsia="Calibri" w:hAnsi="inherit"/>
          <w:color w:val="000000"/>
          <w:szCs w:val="22"/>
          <w:lang w:eastAsia="en-US"/>
        </w:rPr>
        <w:lastRenderedPageBreak/>
        <w:t>tidsperspektiv än årsbudgetarnas, inklusive fastställandet av politiska prioriteringar och</w:t>
      </w:r>
      <w:r w:rsidRPr="00A502DC">
        <w:rPr>
          <w:rFonts w:eastAsia="Calibri"/>
          <w:szCs w:val="22"/>
          <w:lang w:eastAsia="en-US"/>
        </w:rPr>
        <w:t xml:space="preserve"> nationella budget</w:t>
      </w:r>
      <w:r w:rsidRPr="00A502DC">
        <w:rPr>
          <w:rFonts w:ascii="inherit" w:eastAsia="Calibri" w:hAnsi="inherit"/>
          <w:color w:val="000000"/>
          <w:szCs w:val="22"/>
          <w:lang w:eastAsia="en-US"/>
        </w:rPr>
        <w:t>mål</w:t>
      </w:r>
      <w:r w:rsidRPr="00A502DC">
        <w:rPr>
          <w:rFonts w:eastAsia="Calibri"/>
          <w:szCs w:val="22"/>
          <w:lang w:eastAsia="en-US"/>
        </w:rPr>
        <w:t xml:space="preserve"> på medellång sikt,”</w:t>
      </w:r>
    </w:p>
    <w:p w14:paraId="163A656B" w14:textId="77777777" w:rsidR="00B42845" w:rsidRPr="00A502DC" w:rsidRDefault="00B42845" w:rsidP="00B42845">
      <w:pPr>
        <w:widowControl/>
        <w:shd w:val="clear" w:color="auto" w:fill="FFFFFF"/>
        <w:spacing w:line="360" w:lineRule="auto"/>
        <w:ind w:left="1701"/>
        <w:contextualSpacing/>
        <w:rPr>
          <w:rFonts w:eastAsia="Calibri"/>
          <w:noProof/>
          <w:szCs w:val="22"/>
          <w:lang w:eastAsia="en-US"/>
        </w:rPr>
      </w:pPr>
    </w:p>
    <w:p w14:paraId="595165DA" w14:textId="77777777" w:rsidR="00B42845" w:rsidRPr="00A502DC" w:rsidRDefault="00B42845" w:rsidP="007D5957">
      <w:pPr>
        <w:widowControl/>
        <w:spacing w:before="120" w:after="120" w:line="360" w:lineRule="auto"/>
        <w:ind w:firstLine="720"/>
        <w:rPr>
          <w:rFonts w:eastAsia="Calibri"/>
          <w:szCs w:val="22"/>
          <w:lang w:eastAsia="en-US"/>
        </w:rPr>
      </w:pPr>
      <w:r w:rsidRPr="00A502DC">
        <w:rPr>
          <w:rFonts w:eastAsia="Calibri"/>
          <w:szCs w:val="22"/>
          <w:lang w:eastAsia="en-US"/>
        </w:rPr>
        <w:t>iv)</w:t>
      </w:r>
      <w:r w:rsidRPr="00A502DC">
        <w:rPr>
          <w:rFonts w:eastAsia="Calibri"/>
          <w:szCs w:val="22"/>
          <w:lang w:eastAsia="en-US"/>
        </w:rPr>
        <w:tab/>
        <w:t>Följande led ska läggas till som led h:</w:t>
      </w:r>
    </w:p>
    <w:p w14:paraId="22BD4DF0" w14:textId="77777777" w:rsidR="00B42845" w:rsidRPr="00A502DC" w:rsidRDefault="00B42845" w:rsidP="00B42845">
      <w:pPr>
        <w:widowControl/>
        <w:spacing w:before="120" w:after="120" w:line="360" w:lineRule="auto"/>
        <w:ind w:left="2268" w:hanging="567"/>
        <w:rPr>
          <w:rFonts w:eastAsia="Calibri"/>
          <w:szCs w:val="22"/>
          <w:lang w:eastAsia="en-US"/>
        </w:rPr>
      </w:pPr>
      <w:r w:rsidRPr="00A502DC">
        <w:rPr>
          <w:rFonts w:eastAsia="Calibri"/>
          <w:szCs w:val="22"/>
          <w:lang w:eastAsia="en-US"/>
        </w:rPr>
        <w:t>”h)</w:t>
      </w:r>
      <w:r w:rsidRPr="00A502DC">
        <w:rPr>
          <w:rFonts w:eastAsia="Calibri"/>
          <w:szCs w:val="22"/>
          <w:lang w:eastAsia="en-US"/>
        </w:rPr>
        <w:tab/>
        <w:t>oberoende finanspolitiska institutioner i form av organ som är strukturellt oberoende eller organ som är funktionellt självständiga gentemot medlemsstaternas budgetmyndigheter och som inrättats genom nationella rättsliga bestämmelser i enlighet med artikel 8.”</w:t>
      </w:r>
    </w:p>
    <w:p w14:paraId="5363BFB0" w14:textId="77777777" w:rsidR="00B42845" w:rsidRPr="00A502DC" w:rsidRDefault="00B42845" w:rsidP="00B42845">
      <w:pPr>
        <w:widowControl/>
        <w:spacing w:before="120" w:after="120" w:line="360" w:lineRule="auto"/>
        <w:jc w:val="both"/>
        <w:rPr>
          <w:rFonts w:eastAsia="Calibri"/>
          <w:szCs w:val="22"/>
          <w:lang w:eastAsia="en-US"/>
        </w:rPr>
      </w:pPr>
    </w:p>
    <w:p w14:paraId="34BD9210" w14:textId="77777777" w:rsidR="00B42845" w:rsidRPr="00A502DC" w:rsidRDefault="00B42845" w:rsidP="00B42845">
      <w:pPr>
        <w:widowControl/>
        <w:shd w:val="clear" w:color="auto" w:fill="FFFFFF"/>
        <w:spacing w:before="120" w:line="360" w:lineRule="auto"/>
        <w:ind w:left="567" w:hanging="567"/>
        <w:jc w:val="both"/>
        <w:rPr>
          <w:rFonts w:eastAsia="Calibri"/>
          <w:szCs w:val="24"/>
          <w:lang w:eastAsia="en-US"/>
        </w:rPr>
      </w:pPr>
      <w:r w:rsidRPr="00A502DC">
        <w:rPr>
          <w:rFonts w:eastAsia="Calibri"/>
          <w:noProof/>
          <w:szCs w:val="24"/>
          <w:lang w:eastAsia="en-US"/>
        </w:rPr>
        <w:t>2.</w:t>
      </w:r>
      <w:r w:rsidRPr="00A502DC">
        <w:rPr>
          <w:rFonts w:eastAsia="Calibri"/>
          <w:noProof/>
          <w:szCs w:val="24"/>
          <w:lang w:eastAsia="en-US"/>
        </w:rPr>
        <w:tab/>
      </w:r>
      <w:r w:rsidRPr="00A502DC">
        <w:rPr>
          <w:rFonts w:eastAsia="Calibri"/>
          <w:szCs w:val="24"/>
          <w:lang w:eastAsia="en-US"/>
        </w:rPr>
        <w:t>Artikel 3 ska ersättas med följande:</w:t>
      </w:r>
    </w:p>
    <w:p w14:paraId="67994275" w14:textId="77777777" w:rsidR="00B42845" w:rsidRPr="00A502DC" w:rsidRDefault="00B42845" w:rsidP="00B42845">
      <w:pPr>
        <w:widowControl/>
        <w:spacing w:before="120" w:after="120" w:line="360" w:lineRule="auto"/>
        <w:jc w:val="both"/>
        <w:rPr>
          <w:szCs w:val="24"/>
          <w:lang w:eastAsia="pt-PT"/>
        </w:rPr>
      </w:pPr>
    </w:p>
    <w:p w14:paraId="7D9769C0" w14:textId="77777777" w:rsidR="00B42845" w:rsidRPr="00A502DC" w:rsidRDefault="00B42845" w:rsidP="00B42845">
      <w:pPr>
        <w:widowControl/>
        <w:spacing w:before="120" w:after="120" w:line="360" w:lineRule="auto"/>
        <w:ind w:left="567" w:hanging="567"/>
        <w:rPr>
          <w:rFonts w:eastAsia="Calibri"/>
          <w:szCs w:val="22"/>
          <w:lang w:eastAsia="en-US"/>
        </w:rPr>
      </w:pPr>
      <w:r w:rsidRPr="00A502DC">
        <w:rPr>
          <w:rFonts w:eastAsia="Calibri"/>
          <w:szCs w:val="22"/>
          <w:lang w:eastAsia="en-US"/>
        </w:rPr>
        <w:t>”1.</w:t>
      </w:r>
      <w:r w:rsidRPr="00A502DC">
        <w:rPr>
          <w:rFonts w:eastAsia="Calibri"/>
          <w:szCs w:val="22"/>
          <w:lang w:eastAsia="en-US"/>
        </w:rPr>
        <w:tab/>
        <w:t>När det gäller nationella redovisningssystem för offentlig sektor ska medlemsstaterna ha inrättat offentliga redovisningssystem som heltäckande och konsekvent omfattar alla delsektorer av offentlig förvaltning och innehåller den information som krävs för att ta fram periodiserad statistik för att framställa uppgifter baserade på det europeiska national- och regionalräkenskapssystemet. Dessa offentliga redovisningssystem från den offentliga förvaltningen ska vara föremål för interna kontroller och oberoende revision.</w:t>
      </w:r>
    </w:p>
    <w:p w14:paraId="34C0F67E" w14:textId="77777777" w:rsidR="00B42845" w:rsidRPr="00A502DC" w:rsidRDefault="00B42845" w:rsidP="00B42845">
      <w:pPr>
        <w:widowControl/>
        <w:spacing w:before="120" w:after="120" w:line="360" w:lineRule="auto"/>
        <w:ind w:left="567" w:hanging="567"/>
        <w:rPr>
          <w:rFonts w:eastAsia="Calibri"/>
          <w:bCs/>
          <w:szCs w:val="22"/>
          <w:lang w:eastAsia="en-US"/>
        </w:rPr>
      </w:pPr>
      <w:r w:rsidRPr="00A502DC">
        <w:rPr>
          <w:rFonts w:eastAsia="Calibri"/>
          <w:szCs w:val="22"/>
          <w:lang w:eastAsia="en-US"/>
        </w:rPr>
        <w:t>2.</w:t>
      </w:r>
      <w:r w:rsidRPr="00A502DC">
        <w:rPr>
          <w:rFonts w:eastAsia="Calibri"/>
          <w:szCs w:val="22"/>
          <w:lang w:eastAsia="en-US"/>
        </w:rPr>
        <w:tab/>
        <w:t>Medlemsstaterna ska säkerställa att uppgifter om de offentliga finanserna offentliggörs regelbundet och utan onödigt dröjsmål för alla delsektorer av offentlig förvaltning som anges i Europaparlamentets och rådets förordning (EU) nr 549/2013</w:t>
      </w:r>
      <w:r w:rsidRPr="00A502DC">
        <w:rPr>
          <w:rFonts w:eastAsia="Calibri"/>
          <w:szCs w:val="22"/>
          <w:vertAlign w:val="superscript"/>
          <w:lang w:eastAsia="en-US"/>
        </w:rPr>
        <w:t>*</w:t>
      </w:r>
      <w:r w:rsidRPr="00A502DC">
        <w:rPr>
          <w:rFonts w:eastAsia="Calibri"/>
          <w:szCs w:val="22"/>
          <w:lang w:eastAsia="en-US"/>
        </w:rPr>
        <w:t>. Medlemsstaterna ska i synnerhet offentliggöra för statlig förvaltning, delstatlig förvaltning, kommunal förvaltning och sociala trygghetsfonder uppgifter om skuldsättning en gång i kvartalet och, såvida de inte har inrättat integrerade, heltäckande och nationellt harmoniserade system för periodiserad redovisning, uppgifter om underskott separat, före slutet av påföljande kvartal eller efter det att kommissionen (Eurostat) offentliggjort relevanta uppgifter.</w:t>
      </w:r>
    </w:p>
    <w:p w14:paraId="69BD1078" w14:textId="77777777" w:rsidR="00B42845" w:rsidRPr="00A502DC" w:rsidRDefault="00B42845" w:rsidP="00B42845">
      <w:pPr>
        <w:widowControl/>
        <w:spacing w:before="120" w:after="120" w:line="360" w:lineRule="auto"/>
        <w:ind w:left="567" w:hanging="567"/>
        <w:rPr>
          <w:rFonts w:eastAsia="Calibri"/>
          <w:szCs w:val="22"/>
          <w:lang w:eastAsia="en-US"/>
        </w:rPr>
      </w:pPr>
      <w:r w:rsidRPr="00A502DC">
        <w:rPr>
          <w:rFonts w:eastAsia="Calibri"/>
          <w:szCs w:val="22"/>
          <w:lang w:eastAsia="en-US"/>
        </w:rPr>
        <w:t>3.</w:t>
      </w:r>
      <w:r w:rsidRPr="00A502DC">
        <w:rPr>
          <w:rFonts w:eastAsia="Calibri"/>
          <w:szCs w:val="22"/>
          <w:lang w:eastAsia="en-US"/>
        </w:rPr>
        <w:tab/>
        <w:t>Kommissionen (Eurostat) ska var tredje månad offentliggöra kvartalsstatistik över de offentliga finanserna i enlighet med tabellerna 25, 27 och 28 i bilaga B till förordning (EU) nr 549/2013.</w:t>
      </w:r>
    </w:p>
    <w:p w14:paraId="152DBD7D" w14:textId="77777777" w:rsidR="00B42845" w:rsidRPr="00A502DC" w:rsidRDefault="00B42845" w:rsidP="00B42845">
      <w:pPr>
        <w:widowControl/>
        <w:shd w:val="clear" w:color="auto" w:fill="FFFFFF"/>
        <w:spacing w:line="360" w:lineRule="auto"/>
        <w:ind w:left="567"/>
        <w:contextualSpacing/>
        <w:rPr>
          <w:rFonts w:eastAsia="Calibri"/>
          <w:noProof/>
          <w:color w:val="000000"/>
          <w:szCs w:val="22"/>
          <w:lang w:eastAsia="en-US"/>
        </w:rPr>
      </w:pPr>
      <w:r w:rsidRPr="00A502DC">
        <w:rPr>
          <w:rFonts w:eastAsia="Calibri" w:cs="Arial"/>
          <w:noProof/>
          <w:color w:val="000000"/>
          <w:szCs w:val="22"/>
          <w:lang w:eastAsia="en-US"/>
        </w:rPr>
        <w:t>___________</w:t>
      </w:r>
    </w:p>
    <w:p w14:paraId="16CB1B7C" w14:textId="77777777" w:rsidR="00B42845" w:rsidRPr="00A502DC" w:rsidRDefault="00B42845" w:rsidP="00B42845">
      <w:pPr>
        <w:widowControl/>
        <w:spacing w:after="200" w:line="360" w:lineRule="auto"/>
        <w:ind w:left="567"/>
        <w:contextualSpacing/>
        <w:jc w:val="both"/>
        <w:rPr>
          <w:rFonts w:ascii="Calibri" w:eastAsia="Calibri" w:hAnsi="Calibri" w:cs="Arial"/>
          <w:noProof/>
          <w:sz w:val="22"/>
          <w:szCs w:val="22"/>
          <w:lang w:eastAsia="en-US"/>
        </w:rPr>
      </w:pPr>
    </w:p>
    <w:p w14:paraId="08EA2AEF" w14:textId="77777777" w:rsidR="00B42845" w:rsidRPr="00A502DC" w:rsidRDefault="00B42845" w:rsidP="00B42845">
      <w:pPr>
        <w:widowControl/>
        <w:spacing w:after="200" w:line="360" w:lineRule="auto"/>
        <w:ind w:left="567"/>
        <w:contextualSpacing/>
        <w:jc w:val="both"/>
        <w:rPr>
          <w:rFonts w:ascii="Calibri" w:eastAsia="Calibri" w:hAnsi="Calibri" w:cs="Arial"/>
          <w:noProof/>
          <w:sz w:val="22"/>
          <w:szCs w:val="22"/>
          <w:lang w:eastAsia="en-US"/>
        </w:rPr>
      </w:pPr>
      <w:r w:rsidRPr="00A502DC">
        <w:rPr>
          <w:rFonts w:eastAsia="Calibri" w:cs="Arial"/>
          <w:noProof/>
          <w:szCs w:val="22"/>
          <w:lang w:eastAsia="en-US"/>
        </w:rPr>
        <w:t>*EUT L 174, 26.6.2013, s. 1.”</w:t>
      </w:r>
    </w:p>
    <w:p w14:paraId="1A7DBFDC" w14:textId="77777777" w:rsidR="00B42845" w:rsidRPr="00A502DC" w:rsidRDefault="00B42845" w:rsidP="00B42845">
      <w:pPr>
        <w:widowControl/>
        <w:spacing w:after="200" w:line="360" w:lineRule="auto"/>
        <w:ind w:left="567"/>
        <w:contextualSpacing/>
        <w:jc w:val="both"/>
        <w:rPr>
          <w:rFonts w:ascii="Calibri" w:eastAsia="Calibri" w:hAnsi="Calibri" w:cs="Arial"/>
          <w:noProof/>
          <w:sz w:val="22"/>
          <w:szCs w:val="22"/>
          <w:lang w:eastAsia="en-US"/>
        </w:rPr>
      </w:pPr>
    </w:p>
    <w:p w14:paraId="653614C4" w14:textId="77777777" w:rsidR="00B42845" w:rsidRPr="00A502DC" w:rsidRDefault="00B42845" w:rsidP="00B42845">
      <w:pPr>
        <w:widowControl/>
        <w:shd w:val="clear" w:color="auto" w:fill="FFFFFF"/>
        <w:spacing w:before="120" w:line="360" w:lineRule="auto"/>
        <w:ind w:left="567" w:hanging="567"/>
        <w:jc w:val="both"/>
        <w:rPr>
          <w:rFonts w:eastAsia="Calibri"/>
          <w:color w:val="000000"/>
          <w:szCs w:val="24"/>
          <w:lang w:eastAsia="en-US"/>
        </w:rPr>
      </w:pPr>
      <w:r w:rsidRPr="00A502DC">
        <w:rPr>
          <w:rFonts w:eastAsia="Calibri"/>
          <w:noProof/>
          <w:color w:val="000000"/>
          <w:szCs w:val="24"/>
          <w:lang w:eastAsia="en-US"/>
        </w:rPr>
        <w:t>3.</w:t>
      </w:r>
      <w:r w:rsidRPr="00A502DC">
        <w:rPr>
          <w:rFonts w:eastAsia="Calibri"/>
          <w:noProof/>
          <w:color w:val="000000"/>
          <w:szCs w:val="24"/>
          <w:lang w:eastAsia="en-US"/>
        </w:rPr>
        <w:tab/>
      </w:r>
      <w:r w:rsidRPr="00A502DC">
        <w:rPr>
          <w:rFonts w:eastAsia="Calibri"/>
          <w:color w:val="000000"/>
          <w:szCs w:val="24"/>
          <w:lang w:eastAsia="en-US"/>
        </w:rPr>
        <w:t>Artikel 4 ska ändras på följande sätt:</w:t>
      </w:r>
    </w:p>
    <w:p w14:paraId="66C785BB" w14:textId="77777777" w:rsidR="00B42845" w:rsidRPr="00A502DC" w:rsidRDefault="00B42845" w:rsidP="007D5957">
      <w:pPr>
        <w:widowControl/>
        <w:spacing w:before="120" w:after="120" w:line="360" w:lineRule="auto"/>
        <w:ind w:left="1287" w:hanging="567"/>
        <w:jc w:val="both"/>
        <w:rPr>
          <w:rFonts w:eastAsia="Calibri"/>
          <w:szCs w:val="22"/>
          <w:lang w:eastAsia="en-US"/>
        </w:rPr>
      </w:pPr>
      <w:r w:rsidRPr="00A502DC">
        <w:rPr>
          <w:rFonts w:eastAsia="Calibri"/>
          <w:bCs/>
          <w:szCs w:val="22"/>
          <w:lang w:eastAsia="en-US"/>
        </w:rPr>
        <w:t>a)</w:t>
      </w:r>
      <w:r w:rsidRPr="00A502DC">
        <w:rPr>
          <w:rFonts w:eastAsia="Calibri"/>
          <w:bCs/>
          <w:szCs w:val="22"/>
          <w:lang w:eastAsia="en-US"/>
        </w:rPr>
        <w:tab/>
      </w:r>
      <w:r w:rsidRPr="00A502DC">
        <w:rPr>
          <w:rFonts w:eastAsia="Calibri"/>
          <w:szCs w:val="22"/>
          <w:lang w:eastAsia="en-US"/>
        </w:rPr>
        <w:t>Punkt 1 ska ersättas med följande:</w:t>
      </w:r>
    </w:p>
    <w:p w14:paraId="0F6251AB" w14:textId="77777777" w:rsidR="00B42845" w:rsidRPr="00A502DC" w:rsidRDefault="00B42845" w:rsidP="00B42845">
      <w:pPr>
        <w:widowControl/>
        <w:spacing w:before="120" w:after="120" w:line="360" w:lineRule="auto"/>
        <w:ind w:left="1210"/>
        <w:jc w:val="both"/>
        <w:rPr>
          <w:rFonts w:eastAsia="Calibri"/>
          <w:szCs w:val="22"/>
          <w:lang w:eastAsia="en-US"/>
        </w:rPr>
      </w:pPr>
    </w:p>
    <w:p w14:paraId="49E3D4D4" w14:textId="77777777" w:rsidR="00B42845" w:rsidRPr="00A502DC" w:rsidRDefault="00B42845" w:rsidP="007D5957">
      <w:pPr>
        <w:widowControl/>
        <w:spacing w:before="120" w:after="120" w:line="360" w:lineRule="auto"/>
        <w:ind w:left="720"/>
        <w:rPr>
          <w:rFonts w:eastAsia="Calibri"/>
          <w:szCs w:val="22"/>
          <w:lang w:eastAsia="en-US"/>
        </w:rPr>
      </w:pPr>
      <w:r w:rsidRPr="00A502DC">
        <w:rPr>
          <w:rFonts w:eastAsia="Calibri"/>
          <w:szCs w:val="22"/>
          <w:lang w:eastAsia="en-US"/>
        </w:rPr>
        <w:t>”1.</w:t>
      </w:r>
      <w:r w:rsidRPr="00A502DC">
        <w:rPr>
          <w:rFonts w:eastAsia="Calibri"/>
          <w:szCs w:val="22"/>
          <w:lang w:eastAsia="en-US"/>
        </w:rPr>
        <w:tab/>
        <w:t>Medlemsstaterna ska säkerställa att den årliga och fleråriga finanspolitiska planeringen grundar sig på realistiska makroekonomiska prognoser och budgetprognoser som utgår från de mest aktuella uppgifterna. Budgetplaneringen ska baseras på det mest sannolika makroekonomiska scenariot eller på ett försiktigare scenario. De makroekonomiska prognoserna och budgetprognoserna ska jämföras med kommissionens senast uppdaterade prognoser och, när så är lämpligt, med andra oberoende organs prognoser. Signifikanta skillnader mellan medlemsstatens makroekonomiska prognoser och budgetprognoser och kommissionens prognoser ska förklaras, till exempel om nivån eller ökningstakten för variabler i externa antaganden avviker signifikant från värdena i kommissionens prognoser.”</w:t>
      </w:r>
    </w:p>
    <w:p w14:paraId="44689C56" w14:textId="77777777" w:rsidR="00B42845" w:rsidRPr="00A502DC" w:rsidRDefault="00B42845" w:rsidP="007D5957">
      <w:pPr>
        <w:widowControl/>
        <w:spacing w:before="120" w:after="120" w:line="360" w:lineRule="auto"/>
        <w:ind w:firstLine="720"/>
        <w:jc w:val="both"/>
        <w:rPr>
          <w:rFonts w:eastAsia="Calibri"/>
          <w:szCs w:val="22"/>
          <w:lang w:eastAsia="en-US"/>
        </w:rPr>
      </w:pPr>
      <w:r w:rsidRPr="00A502DC">
        <w:rPr>
          <w:rFonts w:eastAsia="Calibri"/>
          <w:bCs/>
          <w:szCs w:val="22"/>
          <w:lang w:eastAsia="en-US"/>
        </w:rPr>
        <w:t>b)</w:t>
      </w:r>
      <w:r w:rsidRPr="00A502DC">
        <w:rPr>
          <w:rFonts w:eastAsia="Calibri"/>
          <w:bCs/>
          <w:szCs w:val="22"/>
          <w:lang w:eastAsia="en-US"/>
        </w:rPr>
        <w:tab/>
      </w:r>
      <w:r w:rsidRPr="00A502DC">
        <w:rPr>
          <w:rFonts w:eastAsia="Calibri"/>
          <w:szCs w:val="22"/>
          <w:lang w:eastAsia="en-US"/>
        </w:rPr>
        <w:t>Punkt 4 ska utgå.</w:t>
      </w:r>
    </w:p>
    <w:p w14:paraId="7C42687A" w14:textId="77777777" w:rsidR="00B42845" w:rsidRPr="00A502DC" w:rsidRDefault="00B42845" w:rsidP="007D5957">
      <w:pPr>
        <w:widowControl/>
        <w:spacing w:before="120" w:after="120" w:line="360" w:lineRule="auto"/>
        <w:ind w:firstLine="720"/>
        <w:jc w:val="both"/>
        <w:rPr>
          <w:rFonts w:eastAsia="Calibri"/>
          <w:szCs w:val="22"/>
          <w:lang w:eastAsia="en-US"/>
        </w:rPr>
      </w:pPr>
      <w:r w:rsidRPr="00A502DC">
        <w:rPr>
          <w:rFonts w:eastAsia="Calibri"/>
          <w:bCs/>
          <w:szCs w:val="22"/>
          <w:lang w:eastAsia="en-US"/>
        </w:rPr>
        <w:t>c)</w:t>
      </w:r>
      <w:r w:rsidRPr="00A502DC">
        <w:rPr>
          <w:rFonts w:eastAsia="Calibri"/>
          <w:bCs/>
          <w:szCs w:val="22"/>
          <w:lang w:eastAsia="en-US"/>
        </w:rPr>
        <w:tab/>
      </w:r>
      <w:r w:rsidRPr="00A502DC">
        <w:rPr>
          <w:rFonts w:eastAsia="Calibri"/>
          <w:szCs w:val="22"/>
          <w:lang w:eastAsia="en-US"/>
        </w:rPr>
        <w:t>Punkterna 5 och 6 ska ersättas med följande:</w:t>
      </w:r>
    </w:p>
    <w:p w14:paraId="1AAF1D57" w14:textId="77777777" w:rsidR="00B42845" w:rsidRPr="00A502DC" w:rsidRDefault="00B42845" w:rsidP="007D5957">
      <w:pPr>
        <w:widowControl/>
        <w:spacing w:before="120" w:after="120" w:line="360" w:lineRule="auto"/>
        <w:ind w:left="720"/>
        <w:rPr>
          <w:rFonts w:eastAsia="Calibri"/>
          <w:szCs w:val="22"/>
          <w:lang w:eastAsia="en-US"/>
        </w:rPr>
      </w:pPr>
      <w:r w:rsidRPr="00A502DC">
        <w:rPr>
          <w:rFonts w:eastAsia="Calibri"/>
          <w:szCs w:val="22"/>
          <w:lang w:eastAsia="en-US"/>
        </w:rPr>
        <w:t>”5.</w:t>
      </w:r>
      <w:r w:rsidRPr="00A502DC">
        <w:rPr>
          <w:rFonts w:eastAsia="Calibri"/>
          <w:szCs w:val="22"/>
          <w:lang w:eastAsia="en-US"/>
        </w:rPr>
        <w:tab/>
        <w:t>Medlemsstaterna ska ange vilken institution som är ansvarig för utarbetandet av makroekonomiska prognoser och budgetprognoser och offentliggöra de officiella makroekonomiska prognoser och budgetprognoser som utarbetats för finanspolitisk planering. Medlemsstaterna och kommissionen ska minst en gång om året föra en teknisk dialog om de antaganden som ligger till grund för utarbetandet av de makroekonomiska prognoserna och budgetprognoserna.</w:t>
      </w:r>
    </w:p>
    <w:p w14:paraId="4B054063" w14:textId="77777777" w:rsidR="00B42845" w:rsidRPr="00A502DC" w:rsidRDefault="00B42845" w:rsidP="007D5957">
      <w:pPr>
        <w:widowControl/>
        <w:spacing w:before="120" w:after="120" w:line="360" w:lineRule="auto"/>
        <w:ind w:left="720"/>
        <w:rPr>
          <w:rFonts w:eastAsia="Calibri"/>
          <w:szCs w:val="22"/>
          <w:lang w:eastAsia="en-US"/>
        </w:rPr>
      </w:pPr>
      <w:r w:rsidRPr="00A502DC">
        <w:rPr>
          <w:rFonts w:eastAsia="Calibri"/>
          <w:szCs w:val="22"/>
          <w:lang w:eastAsia="en-US"/>
        </w:rPr>
        <w:t>6.</w:t>
      </w:r>
      <w:r w:rsidRPr="00A502DC">
        <w:rPr>
          <w:rFonts w:eastAsia="Calibri"/>
          <w:szCs w:val="22"/>
          <w:lang w:eastAsia="en-US"/>
        </w:rPr>
        <w:tab/>
        <w:t>Makroekonomiska prognoser och budgetprognoser för årlig och flerårig finanspolitisk planering ska genomgå en regelbunden, objektiv och fullständig utvärdering i efterhand av ett oberoende organ eller andra organ som är funktionellt oberoende av medlemsstaternas finanspolitiska myndigheter och som skiljer sig från den myndighet som utarbetar prognosen.</w:t>
      </w:r>
      <w:r w:rsidRPr="00A502DC">
        <w:rPr>
          <w:rFonts w:eastAsia="Calibri"/>
          <w:color w:val="000000"/>
          <w:szCs w:val="22"/>
          <w:lang w:eastAsia="en-US"/>
        </w:rPr>
        <w:t xml:space="preserve"> Resultaten av denna utvärdering ska offentliggöras och på lämpligt sätt beaktas i framtida makroekonomiska prognoser och budgetprognoser. Om det vid utvärderingen upptäcks en signifikant systematisk avvikelse som har påverkat de makroekonomiska prognoserna under minst fyra år i </w:t>
      </w:r>
      <w:r w:rsidRPr="00A502DC">
        <w:rPr>
          <w:rFonts w:eastAsia="Calibri"/>
          <w:color w:val="000000"/>
          <w:szCs w:val="22"/>
          <w:lang w:eastAsia="en-US"/>
        </w:rPr>
        <w:lastRenderedPageBreak/>
        <w:t>rad ska den berörda medlemsstaten vidta de åtgärder som krävs och offentliggöra dessa.”</w:t>
      </w:r>
    </w:p>
    <w:p w14:paraId="2383EF22" w14:textId="77777777" w:rsidR="00B42845" w:rsidRPr="00A502DC" w:rsidRDefault="00B42845" w:rsidP="007D5957">
      <w:pPr>
        <w:widowControl/>
        <w:spacing w:before="120" w:after="120" w:line="360" w:lineRule="auto"/>
        <w:ind w:firstLine="567"/>
        <w:jc w:val="both"/>
        <w:rPr>
          <w:rFonts w:eastAsia="Calibri"/>
          <w:b/>
          <w:szCs w:val="22"/>
          <w:lang w:eastAsia="en-US"/>
        </w:rPr>
      </w:pPr>
      <w:r w:rsidRPr="00A502DC">
        <w:rPr>
          <w:rFonts w:eastAsia="Calibri"/>
          <w:bCs/>
          <w:szCs w:val="22"/>
          <w:lang w:eastAsia="en-US"/>
        </w:rPr>
        <w:t>d)</w:t>
      </w:r>
      <w:r w:rsidRPr="00A502DC">
        <w:rPr>
          <w:rFonts w:eastAsia="Calibri"/>
          <w:bCs/>
          <w:szCs w:val="22"/>
          <w:lang w:eastAsia="en-US"/>
        </w:rPr>
        <w:tab/>
      </w:r>
      <w:r w:rsidRPr="00A502DC">
        <w:rPr>
          <w:rFonts w:eastAsia="Calibri"/>
          <w:szCs w:val="22"/>
          <w:lang w:eastAsia="en-US"/>
        </w:rPr>
        <w:t>Punkt 7 ska utgå.</w:t>
      </w:r>
    </w:p>
    <w:p w14:paraId="1779A4AD" w14:textId="77777777" w:rsidR="00B42845" w:rsidRPr="00A502DC" w:rsidRDefault="00B42845" w:rsidP="00B42845">
      <w:pPr>
        <w:widowControl/>
        <w:spacing w:before="120" w:after="120" w:line="360" w:lineRule="auto"/>
        <w:ind w:left="720"/>
        <w:jc w:val="both"/>
        <w:rPr>
          <w:rFonts w:eastAsia="Calibri"/>
          <w:b/>
          <w:szCs w:val="22"/>
          <w:lang w:eastAsia="en-US"/>
        </w:rPr>
      </w:pPr>
    </w:p>
    <w:p w14:paraId="30AF329A" w14:textId="77777777" w:rsidR="00B42845" w:rsidRPr="00A502DC" w:rsidRDefault="00B42845" w:rsidP="00B42845">
      <w:pPr>
        <w:widowControl/>
        <w:shd w:val="clear" w:color="auto" w:fill="FFFFFF"/>
        <w:spacing w:before="120" w:line="360" w:lineRule="auto"/>
        <w:ind w:left="567" w:hanging="567"/>
        <w:jc w:val="both"/>
        <w:rPr>
          <w:rFonts w:eastAsia="Calibri"/>
          <w:iCs/>
          <w:szCs w:val="24"/>
          <w:lang w:eastAsia="en-US"/>
        </w:rPr>
      </w:pPr>
      <w:r w:rsidRPr="00A502DC">
        <w:rPr>
          <w:rFonts w:eastAsia="Calibri"/>
          <w:iCs/>
          <w:noProof/>
          <w:szCs w:val="24"/>
          <w:lang w:eastAsia="en-US"/>
        </w:rPr>
        <w:t>4.</w:t>
      </w:r>
      <w:r w:rsidRPr="00A502DC">
        <w:rPr>
          <w:rFonts w:eastAsia="Calibri"/>
          <w:iCs/>
          <w:noProof/>
          <w:szCs w:val="24"/>
          <w:lang w:eastAsia="en-US"/>
        </w:rPr>
        <w:tab/>
      </w:r>
      <w:r w:rsidRPr="00A502DC">
        <w:rPr>
          <w:rFonts w:eastAsia="Calibri"/>
          <w:szCs w:val="24"/>
          <w:lang w:eastAsia="en-US"/>
        </w:rPr>
        <w:t>Artikel 5 ska ersättas med följande:</w:t>
      </w:r>
    </w:p>
    <w:p w14:paraId="390111D2" w14:textId="77777777" w:rsidR="00935544" w:rsidRPr="00A502DC" w:rsidRDefault="00935544" w:rsidP="00B42845">
      <w:pPr>
        <w:widowControl/>
        <w:spacing w:after="200" w:line="276" w:lineRule="auto"/>
        <w:rPr>
          <w:rFonts w:eastAsia="Calibri"/>
          <w:szCs w:val="22"/>
          <w:lang w:eastAsia="en-US"/>
        </w:rPr>
      </w:pPr>
    </w:p>
    <w:p w14:paraId="4C3508CC" w14:textId="47B9ABCF" w:rsidR="00B42845" w:rsidRPr="00A502DC" w:rsidRDefault="00B42845" w:rsidP="00B42845">
      <w:pPr>
        <w:widowControl/>
        <w:spacing w:after="200" w:line="276" w:lineRule="auto"/>
        <w:rPr>
          <w:rFonts w:eastAsia="Calibri"/>
          <w:i/>
          <w:iCs/>
          <w:szCs w:val="22"/>
          <w:lang w:eastAsia="en-US"/>
        </w:rPr>
      </w:pPr>
      <w:r w:rsidRPr="00A502DC">
        <w:rPr>
          <w:rFonts w:eastAsia="Calibri"/>
          <w:szCs w:val="22"/>
          <w:lang w:eastAsia="en-US"/>
        </w:rPr>
        <w:t>”Artikel 5</w:t>
      </w:r>
    </w:p>
    <w:p w14:paraId="299F658F" w14:textId="77777777" w:rsidR="00B42845" w:rsidRPr="00A502DC" w:rsidRDefault="00B42845" w:rsidP="00B42845">
      <w:pPr>
        <w:widowControl/>
        <w:spacing w:before="120" w:after="120" w:line="360" w:lineRule="auto"/>
        <w:rPr>
          <w:rFonts w:eastAsia="Calibri"/>
          <w:szCs w:val="22"/>
          <w:lang w:eastAsia="en-US"/>
        </w:rPr>
      </w:pPr>
      <w:r w:rsidRPr="00A502DC">
        <w:rPr>
          <w:rFonts w:eastAsia="Calibri"/>
          <w:szCs w:val="22"/>
          <w:lang w:eastAsia="en-US"/>
        </w:rPr>
        <w:t>Varje medlemsstat ska fastställa specifika numeriska finanspolitiska regler för att effektivt främja uppfyllande av sina skyldigheter enligt EUF-fördraget i fråga om budgetpolitik över en flerårig period för den offentliga förvaltningen som helhet. Dessa regler ska särskilt främja</w:t>
      </w:r>
    </w:p>
    <w:tbl>
      <w:tblPr>
        <w:tblW w:w="5000" w:type="pct"/>
        <w:shd w:val="clear" w:color="auto" w:fill="FFFFFF"/>
        <w:tblCellMar>
          <w:left w:w="0" w:type="dxa"/>
          <w:right w:w="0" w:type="dxa"/>
        </w:tblCellMar>
        <w:tblLook w:val="04A0" w:firstRow="1" w:lastRow="0" w:firstColumn="1" w:lastColumn="0" w:noHBand="0" w:noVBand="1"/>
      </w:tblPr>
      <w:tblGrid>
        <w:gridCol w:w="1050"/>
        <w:gridCol w:w="8020"/>
      </w:tblGrid>
      <w:tr w:rsidR="00B42845" w:rsidRPr="00A502DC" w14:paraId="3C3656FF" w14:textId="77777777" w:rsidTr="00F124DA">
        <w:tc>
          <w:tcPr>
            <w:tcW w:w="0" w:type="auto"/>
            <w:shd w:val="clear" w:color="auto" w:fill="FFFFFF"/>
            <w:hideMark/>
          </w:tcPr>
          <w:p w14:paraId="6307E48E" w14:textId="77777777" w:rsidR="00B42845" w:rsidRPr="00A502DC" w:rsidRDefault="00B42845" w:rsidP="00B42845">
            <w:pPr>
              <w:widowControl/>
              <w:spacing w:before="120" w:after="120" w:line="360" w:lineRule="auto"/>
              <w:ind w:left="850"/>
              <w:jc w:val="both"/>
              <w:rPr>
                <w:rFonts w:eastAsia="Calibri"/>
                <w:szCs w:val="22"/>
                <w:lang w:eastAsia="en-US"/>
              </w:rPr>
            </w:pPr>
            <w:r w:rsidRPr="00A502DC">
              <w:rPr>
                <w:rFonts w:eastAsia="Calibri"/>
                <w:szCs w:val="22"/>
                <w:lang w:eastAsia="en-US"/>
              </w:rPr>
              <w:t>a)</w:t>
            </w:r>
          </w:p>
        </w:tc>
        <w:tc>
          <w:tcPr>
            <w:tcW w:w="0" w:type="auto"/>
            <w:shd w:val="clear" w:color="auto" w:fill="FFFFFF"/>
            <w:hideMark/>
          </w:tcPr>
          <w:p w14:paraId="40D811F9" w14:textId="77777777" w:rsidR="00B42845" w:rsidRPr="00A502DC" w:rsidRDefault="00B42845" w:rsidP="00B42845">
            <w:pPr>
              <w:widowControl/>
              <w:spacing w:before="120" w:after="120" w:line="360" w:lineRule="auto"/>
              <w:ind w:left="850"/>
              <w:rPr>
                <w:rFonts w:eastAsia="Calibri"/>
                <w:szCs w:val="22"/>
                <w:lang w:eastAsia="en-US"/>
              </w:rPr>
            </w:pPr>
            <w:r w:rsidRPr="00A502DC">
              <w:rPr>
                <w:rFonts w:eastAsia="Calibri"/>
                <w:szCs w:val="22"/>
                <w:lang w:eastAsia="en-US"/>
              </w:rPr>
              <w:t xml:space="preserve">iakttagande av referensvärdena för och bestämmelserna om underskott och skuldsättning som fastställts i enlighet med EUF-fördraget, </w:t>
            </w:r>
          </w:p>
        </w:tc>
      </w:tr>
      <w:tr w:rsidR="00B42845" w:rsidRPr="00A502DC" w14:paraId="323B2DEC" w14:textId="77777777" w:rsidTr="00F124DA">
        <w:tc>
          <w:tcPr>
            <w:tcW w:w="0" w:type="auto"/>
            <w:shd w:val="clear" w:color="auto" w:fill="FFFFFF"/>
            <w:hideMark/>
          </w:tcPr>
          <w:p w14:paraId="0BB450CD" w14:textId="77777777" w:rsidR="00B42845" w:rsidRPr="00A502DC" w:rsidRDefault="00B42845" w:rsidP="00B42845">
            <w:pPr>
              <w:widowControl/>
              <w:spacing w:before="120" w:after="120" w:line="360" w:lineRule="auto"/>
              <w:ind w:left="850"/>
              <w:jc w:val="both"/>
              <w:rPr>
                <w:rFonts w:eastAsia="Calibri"/>
                <w:szCs w:val="22"/>
                <w:lang w:eastAsia="en-US"/>
              </w:rPr>
            </w:pPr>
            <w:r w:rsidRPr="00A502DC">
              <w:rPr>
                <w:rFonts w:eastAsia="Calibri"/>
                <w:szCs w:val="22"/>
                <w:lang w:eastAsia="en-US"/>
              </w:rPr>
              <w:t>b)</w:t>
            </w:r>
          </w:p>
        </w:tc>
        <w:tc>
          <w:tcPr>
            <w:tcW w:w="0" w:type="auto"/>
            <w:shd w:val="clear" w:color="auto" w:fill="FFFFFF"/>
            <w:hideMark/>
          </w:tcPr>
          <w:p w14:paraId="1F8C8BFC" w14:textId="77777777" w:rsidR="00B42845" w:rsidRPr="00A502DC" w:rsidRDefault="00B42845" w:rsidP="00B42845">
            <w:pPr>
              <w:widowControl/>
              <w:spacing w:before="120" w:after="120" w:line="360" w:lineRule="auto"/>
              <w:ind w:left="850"/>
              <w:rPr>
                <w:rFonts w:eastAsia="Calibri"/>
                <w:bCs/>
                <w:szCs w:val="22"/>
                <w:lang w:eastAsia="en-US"/>
              </w:rPr>
            </w:pPr>
            <w:r w:rsidRPr="00A502DC">
              <w:rPr>
                <w:rFonts w:eastAsia="Calibri"/>
                <w:szCs w:val="22"/>
                <w:lang w:eastAsia="en-US"/>
              </w:rPr>
              <w:t>införandet av en finanspolitisk planeringshorisont på medellång sikt som är i enlighet med bestämmelserna i förordning [XXX stabilitets- och tillväxtpaktens förebyggande del].*</w:t>
            </w:r>
          </w:p>
          <w:p w14:paraId="6DE30F45" w14:textId="77777777" w:rsidR="00B42845" w:rsidRPr="00A502DC" w:rsidRDefault="00B42845" w:rsidP="00B42845">
            <w:pPr>
              <w:widowControl/>
              <w:spacing w:before="120" w:after="120" w:line="360" w:lineRule="auto"/>
              <w:rPr>
                <w:rFonts w:eastAsia="Calibri"/>
                <w:szCs w:val="22"/>
                <w:lang w:eastAsia="en-US"/>
              </w:rPr>
            </w:pPr>
          </w:p>
          <w:p w14:paraId="3ACDCA45" w14:textId="77777777" w:rsidR="00B42845" w:rsidRPr="00A502DC" w:rsidRDefault="00B42845" w:rsidP="00B42845">
            <w:pPr>
              <w:widowControl/>
              <w:spacing w:before="120" w:after="120" w:line="360" w:lineRule="auto"/>
              <w:rPr>
                <w:rFonts w:eastAsia="Calibri"/>
                <w:szCs w:val="22"/>
                <w:u w:val="single"/>
                <w:lang w:eastAsia="en-US"/>
              </w:rPr>
            </w:pPr>
            <w:r w:rsidRPr="00A502DC">
              <w:rPr>
                <w:rFonts w:eastAsia="Calibri"/>
                <w:szCs w:val="22"/>
                <w:u w:val="single"/>
                <w:lang w:eastAsia="en-US"/>
              </w:rPr>
              <w:t>__________________</w:t>
            </w:r>
          </w:p>
          <w:p w14:paraId="03D58AD1" w14:textId="77777777" w:rsidR="00B42845" w:rsidRPr="00A502DC" w:rsidRDefault="00B42845" w:rsidP="00B42845">
            <w:pPr>
              <w:widowControl/>
              <w:spacing w:before="120" w:after="120" w:line="360" w:lineRule="auto"/>
              <w:rPr>
                <w:rFonts w:ascii="inherit" w:eastAsia="Calibri" w:hAnsi="inherit"/>
                <w:b/>
                <w:color w:val="000000"/>
                <w:szCs w:val="22"/>
                <w:lang w:eastAsia="en-US"/>
              </w:rPr>
            </w:pPr>
            <w:r w:rsidRPr="00A502DC">
              <w:rPr>
                <w:rFonts w:eastAsia="Calibri"/>
                <w:szCs w:val="22"/>
                <w:lang w:eastAsia="en-US"/>
              </w:rPr>
              <w:t>* Europaparlamentets och rådets förordning (EU) av den [</w:t>
            </w:r>
            <w:r w:rsidRPr="00A502DC">
              <w:rPr>
                <w:rFonts w:eastAsia="Calibri"/>
                <w:i/>
                <w:iCs/>
                <w:szCs w:val="22"/>
                <w:lang w:eastAsia="en-US"/>
              </w:rPr>
              <w:t>infoga datum</w:t>
            </w:r>
            <w:r w:rsidRPr="00A502DC">
              <w:rPr>
                <w:rFonts w:eastAsia="Calibri"/>
                <w:szCs w:val="22"/>
                <w:lang w:eastAsia="en-US"/>
              </w:rPr>
              <w:t>] [</w:t>
            </w:r>
            <w:r w:rsidRPr="00A502DC">
              <w:rPr>
                <w:rFonts w:eastAsia="Calibri"/>
                <w:i/>
                <w:iCs/>
                <w:szCs w:val="22"/>
                <w:lang w:eastAsia="en-US"/>
              </w:rPr>
              <w:t>infoga fullständig titel</w:t>
            </w:r>
            <w:r w:rsidRPr="00A502DC">
              <w:rPr>
                <w:rFonts w:eastAsia="Calibri"/>
                <w:szCs w:val="22"/>
                <w:lang w:eastAsia="en-US"/>
              </w:rPr>
              <w:t>] (EUT L ...).”</w:t>
            </w:r>
          </w:p>
        </w:tc>
      </w:tr>
    </w:tbl>
    <w:p w14:paraId="235D80D7" w14:textId="77777777" w:rsidR="00B42845" w:rsidRPr="00A502DC" w:rsidRDefault="00B42845" w:rsidP="00B42845">
      <w:pPr>
        <w:keepNext/>
        <w:widowControl/>
        <w:spacing w:before="360" w:after="120" w:line="360" w:lineRule="auto"/>
        <w:ind w:left="720"/>
        <w:jc w:val="both"/>
        <w:rPr>
          <w:rFonts w:eastAsia="Calibri"/>
          <w:iCs/>
          <w:szCs w:val="22"/>
          <w:lang w:eastAsia="en-US"/>
        </w:rPr>
      </w:pPr>
    </w:p>
    <w:p w14:paraId="5524843B" w14:textId="77777777" w:rsidR="00B42845" w:rsidRPr="00A502DC" w:rsidRDefault="00B42845" w:rsidP="00B42845">
      <w:pPr>
        <w:widowControl/>
        <w:shd w:val="clear" w:color="auto" w:fill="FFFFFF"/>
        <w:spacing w:before="120" w:line="360" w:lineRule="auto"/>
        <w:ind w:left="567" w:hanging="567"/>
        <w:jc w:val="both"/>
        <w:rPr>
          <w:rFonts w:eastAsia="Calibri"/>
          <w:szCs w:val="24"/>
          <w:lang w:eastAsia="en-US"/>
        </w:rPr>
      </w:pPr>
      <w:r w:rsidRPr="00A502DC">
        <w:rPr>
          <w:rFonts w:eastAsia="Calibri"/>
          <w:noProof/>
          <w:szCs w:val="24"/>
          <w:lang w:eastAsia="en-US"/>
        </w:rPr>
        <w:t>5.</w:t>
      </w:r>
      <w:r w:rsidRPr="00A502DC">
        <w:rPr>
          <w:rFonts w:eastAsia="Calibri"/>
          <w:noProof/>
          <w:szCs w:val="24"/>
          <w:lang w:eastAsia="en-US"/>
        </w:rPr>
        <w:tab/>
      </w:r>
      <w:r w:rsidRPr="00A502DC">
        <w:rPr>
          <w:rFonts w:eastAsia="Calibri"/>
          <w:szCs w:val="24"/>
          <w:lang w:eastAsia="en-US"/>
        </w:rPr>
        <w:t>Artikel 6 ska ändras på följande sätt:</w:t>
      </w:r>
    </w:p>
    <w:p w14:paraId="74F1BA40" w14:textId="77777777" w:rsidR="00B42845" w:rsidRPr="00A502DC" w:rsidRDefault="00B42845" w:rsidP="00B42845">
      <w:pPr>
        <w:keepNext/>
        <w:widowControl/>
        <w:spacing w:before="360" w:after="120" w:line="360" w:lineRule="auto"/>
        <w:ind w:left="1134" w:hanging="567"/>
        <w:rPr>
          <w:rFonts w:eastAsia="Calibri"/>
          <w:iCs/>
          <w:szCs w:val="22"/>
          <w:lang w:eastAsia="en-US"/>
        </w:rPr>
      </w:pPr>
      <w:r w:rsidRPr="00A502DC">
        <w:rPr>
          <w:rFonts w:eastAsia="Calibri"/>
          <w:szCs w:val="22"/>
          <w:lang w:eastAsia="en-US"/>
        </w:rPr>
        <w:t>a)</w:t>
      </w:r>
      <w:r w:rsidRPr="00A502DC">
        <w:rPr>
          <w:rFonts w:eastAsia="Calibri"/>
          <w:szCs w:val="22"/>
          <w:lang w:eastAsia="en-US"/>
        </w:rPr>
        <w:tab/>
        <w:t>I punkt 1 ska led b ersättas med följande:</w:t>
      </w:r>
    </w:p>
    <w:p w14:paraId="78831BE3" w14:textId="77777777" w:rsidR="00B42845" w:rsidRPr="00A502DC" w:rsidRDefault="00B42845" w:rsidP="00B42845">
      <w:pPr>
        <w:keepNext/>
        <w:widowControl/>
        <w:spacing w:before="360" w:after="120" w:line="360" w:lineRule="auto"/>
        <w:ind w:left="1134" w:hanging="567"/>
        <w:rPr>
          <w:rFonts w:eastAsia="Calibri"/>
          <w:iCs/>
          <w:szCs w:val="22"/>
          <w:lang w:eastAsia="en-US"/>
        </w:rPr>
      </w:pPr>
      <w:r w:rsidRPr="00A502DC">
        <w:rPr>
          <w:rFonts w:eastAsia="Calibri"/>
          <w:szCs w:val="22"/>
          <w:lang w:eastAsia="en-US"/>
        </w:rPr>
        <w:t>b)</w:t>
      </w:r>
      <w:r w:rsidRPr="00A502DC">
        <w:rPr>
          <w:rFonts w:eastAsia="Calibri"/>
          <w:szCs w:val="22"/>
          <w:lang w:eastAsia="en-US"/>
        </w:rPr>
        <w:tab/>
        <w:t xml:space="preserve">Övervakning av regelefterlevnad som är effektiv och äger rum utan onödigt dröjsmål samt är baserad på en tillförlitlig och oberoende analys utförd av de oberoende finanspolitiska institutioner som inrättats i enlighet med artikel 8 eller </w:t>
      </w:r>
      <w:r w:rsidRPr="00A502DC">
        <w:rPr>
          <w:rFonts w:eastAsia="Calibri"/>
          <w:szCs w:val="22"/>
          <w:lang w:eastAsia="en-US"/>
        </w:rPr>
        <w:lastRenderedPageBreak/>
        <w:t>andra organ som är funktionellt oberoende av medlemsstaternas finanspolitiska myndigheter,”</w:t>
      </w:r>
    </w:p>
    <w:p w14:paraId="58D1D05E" w14:textId="77777777" w:rsidR="00B42845" w:rsidRPr="00A502DC" w:rsidRDefault="00B42845" w:rsidP="00B42845">
      <w:pPr>
        <w:keepNext/>
        <w:widowControl/>
        <w:spacing w:before="360" w:after="120" w:line="360" w:lineRule="auto"/>
        <w:ind w:left="1134" w:hanging="567"/>
        <w:rPr>
          <w:rFonts w:eastAsia="Calibri"/>
          <w:i/>
          <w:iCs/>
          <w:szCs w:val="22"/>
          <w:lang w:eastAsia="en-US"/>
        </w:rPr>
      </w:pPr>
      <w:r w:rsidRPr="00A502DC">
        <w:rPr>
          <w:rFonts w:eastAsia="Calibri"/>
          <w:iCs/>
          <w:szCs w:val="22"/>
          <w:lang w:eastAsia="en-US"/>
        </w:rPr>
        <w:t>b)</w:t>
      </w:r>
      <w:r w:rsidRPr="00A502DC">
        <w:rPr>
          <w:rFonts w:eastAsia="Calibri"/>
          <w:i/>
          <w:szCs w:val="22"/>
          <w:lang w:eastAsia="en-US"/>
        </w:rPr>
        <w:tab/>
      </w:r>
      <w:r w:rsidRPr="00A502DC">
        <w:rPr>
          <w:rFonts w:eastAsia="Calibri"/>
          <w:iCs/>
          <w:szCs w:val="22"/>
          <w:lang w:eastAsia="en-US"/>
        </w:rPr>
        <w:t>Punkt 2 ska ersättas med följande:</w:t>
      </w:r>
    </w:p>
    <w:p w14:paraId="04339E90" w14:textId="77777777" w:rsidR="00B42845" w:rsidRPr="00A502DC" w:rsidRDefault="00B42845" w:rsidP="00B42845">
      <w:pPr>
        <w:widowControl/>
        <w:spacing w:before="120" w:after="120" w:line="360" w:lineRule="auto"/>
        <w:ind w:left="567"/>
        <w:jc w:val="both"/>
        <w:rPr>
          <w:rFonts w:eastAsia="Calibri"/>
          <w:iCs/>
          <w:szCs w:val="22"/>
          <w:lang w:eastAsia="en-US"/>
        </w:rPr>
      </w:pPr>
    </w:p>
    <w:p w14:paraId="4B56A9D1" w14:textId="77777777" w:rsidR="00B42845" w:rsidRPr="00A502DC" w:rsidRDefault="00B42845" w:rsidP="00B42845">
      <w:pPr>
        <w:widowControl/>
        <w:spacing w:before="120" w:after="120" w:line="360" w:lineRule="auto"/>
        <w:ind w:left="567"/>
        <w:rPr>
          <w:rFonts w:eastAsia="Calibri"/>
          <w:iCs/>
          <w:szCs w:val="22"/>
          <w:lang w:eastAsia="en-US"/>
        </w:rPr>
      </w:pPr>
      <w:r w:rsidRPr="00A502DC">
        <w:rPr>
          <w:rFonts w:eastAsia="Calibri"/>
          <w:szCs w:val="22"/>
          <w:lang w:eastAsia="en-US"/>
        </w:rPr>
        <w:t>”Om de numeriska finanspolitiska reglerna innehåller undantagsklausuler ska det i dessa klausuler anges ett begränsat antal särskilda omständigheter i överensstämmelse med medlemsstaternas skyldigheter enligt EUF-fördraget och förordning [XXX stabilitets- och tillväxtpaktens förebyggande del].”</w:t>
      </w:r>
    </w:p>
    <w:p w14:paraId="56BD96E8" w14:textId="77777777" w:rsidR="00B42845" w:rsidRPr="00A502DC" w:rsidRDefault="00B42845" w:rsidP="00B42845">
      <w:pPr>
        <w:widowControl/>
        <w:spacing w:before="120" w:after="120" w:line="360" w:lineRule="auto"/>
        <w:jc w:val="both"/>
        <w:rPr>
          <w:rFonts w:eastAsia="Calibri"/>
          <w:iCs/>
          <w:szCs w:val="22"/>
          <w:lang w:eastAsia="en-US"/>
        </w:rPr>
      </w:pPr>
    </w:p>
    <w:p w14:paraId="42533645" w14:textId="77777777" w:rsidR="00B42845" w:rsidRPr="00A502DC" w:rsidRDefault="00B42845" w:rsidP="00B42845">
      <w:pPr>
        <w:widowControl/>
        <w:shd w:val="clear" w:color="auto" w:fill="FFFFFF"/>
        <w:spacing w:before="120" w:line="360" w:lineRule="auto"/>
        <w:ind w:left="567" w:hanging="567"/>
        <w:jc w:val="both"/>
        <w:rPr>
          <w:rFonts w:eastAsia="Calibri"/>
          <w:iCs/>
          <w:szCs w:val="24"/>
          <w:lang w:eastAsia="en-US"/>
        </w:rPr>
      </w:pPr>
      <w:r w:rsidRPr="00A502DC">
        <w:rPr>
          <w:rFonts w:eastAsia="Calibri"/>
          <w:iCs/>
          <w:noProof/>
          <w:szCs w:val="24"/>
          <w:lang w:eastAsia="en-US"/>
        </w:rPr>
        <w:t>6.</w:t>
      </w:r>
      <w:r w:rsidRPr="00A502DC">
        <w:rPr>
          <w:rFonts w:eastAsia="Calibri"/>
          <w:iCs/>
          <w:noProof/>
          <w:szCs w:val="24"/>
          <w:lang w:eastAsia="en-US"/>
        </w:rPr>
        <w:tab/>
      </w:r>
      <w:r w:rsidRPr="00A502DC">
        <w:rPr>
          <w:rFonts w:eastAsia="Calibri"/>
          <w:szCs w:val="24"/>
          <w:lang w:eastAsia="en-US"/>
        </w:rPr>
        <w:t>Artikel 7 ska ersättas med följande</w:t>
      </w:r>
      <w:r w:rsidRPr="00A502DC">
        <w:rPr>
          <w:rFonts w:eastAsia="Calibri"/>
          <w:i/>
          <w:szCs w:val="24"/>
          <w:lang w:eastAsia="en-US"/>
        </w:rPr>
        <w:t>:</w:t>
      </w:r>
    </w:p>
    <w:p w14:paraId="0D55D5CD" w14:textId="77777777" w:rsidR="00B42845" w:rsidRPr="00A502DC" w:rsidRDefault="00B42845" w:rsidP="00B42845">
      <w:pPr>
        <w:widowControl/>
        <w:spacing w:before="120" w:after="120" w:line="360" w:lineRule="auto"/>
        <w:jc w:val="both"/>
        <w:rPr>
          <w:rFonts w:eastAsia="Calibri"/>
          <w:szCs w:val="22"/>
          <w:lang w:eastAsia="en-US"/>
        </w:rPr>
      </w:pPr>
    </w:p>
    <w:p w14:paraId="30F7E00E" w14:textId="77777777" w:rsidR="00B42845" w:rsidRPr="00A502DC" w:rsidRDefault="00B42845" w:rsidP="00B42845">
      <w:pPr>
        <w:widowControl/>
        <w:spacing w:before="120" w:after="120" w:line="360" w:lineRule="auto"/>
        <w:ind w:left="2880" w:firstLine="720"/>
        <w:jc w:val="both"/>
        <w:rPr>
          <w:rFonts w:eastAsia="Calibri"/>
          <w:szCs w:val="22"/>
          <w:lang w:eastAsia="en-US"/>
        </w:rPr>
      </w:pPr>
      <w:r w:rsidRPr="00A502DC">
        <w:rPr>
          <w:rFonts w:eastAsia="Calibri"/>
          <w:szCs w:val="22"/>
          <w:lang w:eastAsia="en-US"/>
        </w:rPr>
        <w:t>”Artikel 7</w:t>
      </w:r>
    </w:p>
    <w:p w14:paraId="305B56F9" w14:textId="77777777" w:rsidR="00B42845" w:rsidRPr="00A502DC" w:rsidRDefault="00B42845" w:rsidP="00B42845">
      <w:pPr>
        <w:widowControl/>
        <w:shd w:val="clear" w:color="auto" w:fill="FFFFFF"/>
        <w:spacing w:before="120" w:line="360" w:lineRule="auto"/>
        <w:rPr>
          <w:color w:val="000000"/>
          <w:szCs w:val="24"/>
          <w:lang w:eastAsia="en-US"/>
        </w:rPr>
      </w:pPr>
      <w:r w:rsidRPr="00A502DC">
        <w:rPr>
          <w:rFonts w:eastAsia="Calibri"/>
          <w:color w:val="000000"/>
          <w:szCs w:val="22"/>
          <w:lang w:eastAsia="en-US"/>
        </w:rPr>
        <w:t xml:space="preserve">Medlemsstaternas årliga budgetlagstiftning ska </w:t>
      </w:r>
      <w:r w:rsidRPr="00A502DC">
        <w:rPr>
          <w:rFonts w:eastAsia="Calibri"/>
          <w:szCs w:val="22"/>
          <w:lang w:eastAsia="en-US"/>
        </w:rPr>
        <w:t>vara förenlig med deras</w:t>
      </w:r>
      <w:r w:rsidRPr="00A502DC">
        <w:rPr>
          <w:rFonts w:eastAsia="Calibri"/>
          <w:color w:val="000000"/>
          <w:szCs w:val="22"/>
          <w:lang w:eastAsia="en-US"/>
        </w:rPr>
        <w:t xml:space="preserve"> landsspecifika gällande numeriska finanspolitiska regler.”</w:t>
      </w:r>
    </w:p>
    <w:p w14:paraId="3B2458C9" w14:textId="77777777" w:rsidR="00B42845" w:rsidRPr="00A502DC" w:rsidRDefault="00B42845" w:rsidP="00B42845">
      <w:pPr>
        <w:widowControl/>
        <w:shd w:val="clear" w:color="auto" w:fill="FFFFFF"/>
        <w:spacing w:before="120" w:line="360" w:lineRule="auto"/>
        <w:ind w:left="567" w:hanging="567"/>
        <w:jc w:val="both"/>
        <w:rPr>
          <w:color w:val="000000"/>
          <w:szCs w:val="24"/>
          <w:lang w:eastAsia="en-US"/>
        </w:rPr>
      </w:pPr>
      <w:r w:rsidRPr="00A502DC">
        <w:rPr>
          <w:noProof/>
          <w:color w:val="000000"/>
          <w:szCs w:val="24"/>
          <w:lang w:eastAsia="en-US"/>
        </w:rPr>
        <w:t>7.</w:t>
      </w:r>
      <w:r w:rsidRPr="00A502DC">
        <w:rPr>
          <w:noProof/>
          <w:color w:val="000000"/>
          <w:szCs w:val="24"/>
          <w:lang w:eastAsia="en-US"/>
        </w:rPr>
        <w:tab/>
      </w:r>
      <w:r w:rsidRPr="00A502DC">
        <w:rPr>
          <w:rFonts w:eastAsia="Calibri"/>
          <w:color w:val="000000"/>
          <w:szCs w:val="24"/>
          <w:lang w:eastAsia="en-US"/>
        </w:rPr>
        <w:t>Titeln på kapitel V ska ersättas med ”OBEROENDE FINANSPOLITISKA INSTITUTIONER”.</w:t>
      </w:r>
    </w:p>
    <w:p w14:paraId="7C6EF80C" w14:textId="77777777" w:rsidR="00B42845" w:rsidRPr="00A502DC" w:rsidRDefault="00B42845" w:rsidP="00B42845">
      <w:pPr>
        <w:widowControl/>
        <w:shd w:val="clear" w:color="auto" w:fill="FFFFFF"/>
        <w:spacing w:before="120" w:line="360" w:lineRule="auto"/>
        <w:jc w:val="both"/>
        <w:rPr>
          <w:color w:val="000000"/>
          <w:szCs w:val="24"/>
          <w:lang w:eastAsia="pt-PT"/>
        </w:rPr>
      </w:pPr>
    </w:p>
    <w:p w14:paraId="482EED2E" w14:textId="77777777" w:rsidR="00B42845" w:rsidRPr="00A502DC" w:rsidRDefault="00B42845" w:rsidP="00B42845">
      <w:pPr>
        <w:widowControl/>
        <w:shd w:val="clear" w:color="auto" w:fill="FFFFFF"/>
        <w:spacing w:before="120" w:line="360" w:lineRule="auto"/>
        <w:ind w:left="567" w:hanging="567"/>
        <w:jc w:val="both"/>
        <w:rPr>
          <w:color w:val="000000"/>
          <w:szCs w:val="24"/>
          <w:lang w:eastAsia="en-US"/>
        </w:rPr>
      </w:pPr>
      <w:r w:rsidRPr="00A502DC">
        <w:rPr>
          <w:noProof/>
          <w:color w:val="000000"/>
          <w:szCs w:val="24"/>
          <w:lang w:eastAsia="en-US"/>
        </w:rPr>
        <w:t>8.</w:t>
      </w:r>
      <w:r w:rsidRPr="00A502DC">
        <w:rPr>
          <w:noProof/>
          <w:color w:val="000000"/>
          <w:szCs w:val="24"/>
          <w:lang w:eastAsia="en-US"/>
        </w:rPr>
        <w:tab/>
      </w:r>
      <w:r w:rsidRPr="00A502DC">
        <w:rPr>
          <w:rFonts w:eastAsia="Calibri"/>
          <w:color w:val="000000"/>
          <w:szCs w:val="24"/>
          <w:lang w:eastAsia="en-US"/>
        </w:rPr>
        <w:t>Artikel 8 ska ersättas med följande:</w:t>
      </w:r>
    </w:p>
    <w:p w14:paraId="4B4DCB43" w14:textId="77777777" w:rsidR="00B42845" w:rsidRPr="00A502DC" w:rsidRDefault="00B42845" w:rsidP="00B42845">
      <w:pPr>
        <w:widowControl/>
        <w:shd w:val="clear" w:color="auto" w:fill="FFFFFF"/>
        <w:spacing w:before="120" w:line="360" w:lineRule="auto"/>
        <w:jc w:val="both"/>
        <w:rPr>
          <w:rFonts w:eastAsia="Calibri"/>
          <w:szCs w:val="22"/>
          <w:lang w:eastAsia="en-US"/>
        </w:rPr>
      </w:pPr>
    </w:p>
    <w:p w14:paraId="027BA31C" w14:textId="77777777" w:rsidR="00B42845" w:rsidRPr="00A502DC" w:rsidRDefault="00B42845" w:rsidP="00B42845">
      <w:pPr>
        <w:widowControl/>
        <w:spacing w:before="120" w:after="120" w:line="360" w:lineRule="auto"/>
        <w:ind w:left="2880" w:firstLine="720"/>
        <w:jc w:val="both"/>
        <w:rPr>
          <w:rFonts w:eastAsia="Calibri"/>
          <w:szCs w:val="22"/>
          <w:lang w:eastAsia="en-US"/>
        </w:rPr>
      </w:pPr>
      <w:r w:rsidRPr="00A502DC">
        <w:rPr>
          <w:rFonts w:eastAsia="Calibri"/>
          <w:szCs w:val="22"/>
          <w:lang w:eastAsia="en-US"/>
        </w:rPr>
        <w:t>”Artikel 8</w:t>
      </w:r>
    </w:p>
    <w:p w14:paraId="5C2D0D83" w14:textId="77777777" w:rsidR="00B42845" w:rsidRPr="00A502DC" w:rsidRDefault="00B42845" w:rsidP="00B42845">
      <w:pPr>
        <w:widowControl/>
        <w:shd w:val="clear" w:color="auto" w:fill="FFFFFF"/>
        <w:spacing w:before="120" w:line="360" w:lineRule="auto"/>
        <w:ind w:left="567" w:hanging="567"/>
        <w:rPr>
          <w:rFonts w:eastAsia="Calibri"/>
          <w:szCs w:val="22"/>
          <w:lang w:eastAsia="en-US"/>
        </w:rPr>
      </w:pPr>
      <w:r w:rsidRPr="00A502DC">
        <w:rPr>
          <w:rFonts w:eastAsia="Calibri"/>
          <w:szCs w:val="22"/>
          <w:lang w:eastAsia="en-US"/>
        </w:rPr>
        <w:t>1.</w:t>
      </w:r>
      <w:r w:rsidRPr="00A502DC">
        <w:rPr>
          <w:rFonts w:eastAsia="Calibri"/>
          <w:szCs w:val="22"/>
          <w:lang w:eastAsia="en-US"/>
        </w:rPr>
        <w:tab/>
        <w:t>Medlemsstaterna ska säkerställa att oberoende finanspolitiska institutioner i form av strukturellt oberoende organ eller organ som är funktionellt självständiga gentemot medlemsstaternas budgetmyndigheter inrättas genom nationella lagar och andra författningar.</w:t>
      </w:r>
    </w:p>
    <w:p w14:paraId="476C381A" w14:textId="77777777" w:rsidR="00B42845" w:rsidRPr="00A502DC" w:rsidRDefault="00B42845" w:rsidP="00B42845">
      <w:pPr>
        <w:widowControl/>
        <w:shd w:val="clear" w:color="auto" w:fill="FFFFFF"/>
        <w:spacing w:before="120" w:line="360" w:lineRule="auto"/>
        <w:ind w:left="567" w:hanging="567"/>
        <w:rPr>
          <w:rFonts w:eastAsia="Calibri"/>
          <w:szCs w:val="22"/>
          <w:lang w:eastAsia="en-US"/>
        </w:rPr>
      </w:pPr>
      <w:r w:rsidRPr="00A502DC">
        <w:rPr>
          <w:rFonts w:eastAsia="Calibri"/>
          <w:szCs w:val="22"/>
          <w:lang w:eastAsia="en-US"/>
        </w:rPr>
        <w:t>1a.</w:t>
      </w:r>
      <w:r w:rsidRPr="00A502DC">
        <w:rPr>
          <w:rFonts w:eastAsia="Calibri"/>
          <w:szCs w:val="22"/>
          <w:lang w:eastAsia="en-US"/>
        </w:rPr>
        <w:tab/>
        <w:t>Medlemsstaterna får inrätta mer än en oberoende finanspolitisk institution.</w:t>
      </w:r>
    </w:p>
    <w:p w14:paraId="1DB1224D" w14:textId="77777777" w:rsidR="00B42845" w:rsidRPr="00A502DC" w:rsidRDefault="00B42845" w:rsidP="00B42845">
      <w:pPr>
        <w:widowControl/>
        <w:shd w:val="clear" w:color="auto" w:fill="FFFFFF"/>
        <w:spacing w:before="120" w:line="360" w:lineRule="auto"/>
        <w:ind w:left="567" w:hanging="567"/>
        <w:rPr>
          <w:rFonts w:eastAsia="Calibri"/>
          <w:szCs w:val="22"/>
          <w:lang w:eastAsia="en-US"/>
        </w:rPr>
      </w:pPr>
      <w:r w:rsidRPr="00A502DC">
        <w:rPr>
          <w:rFonts w:eastAsia="Calibri"/>
          <w:szCs w:val="22"/>
          <w:lang w:eastAsia="en-US"/>
        </w:rPr>
        <w:t>2.</w:t>
      </w:r>
      <w:r w:rsidRPr="00A502DC">
        <w:rPr>
          <w:rFonts w:eastAsia="Calibri"/>
          <w:szCs w:val="22"/>
          <w:lang w:eastAsia="en-US"/>
        </w:rPr>
        <w:tab/>
        <w:t>De institutioner som avses i punkt 1 ska bestå av medlemmar som nominerats och utsetts på grundval av sin erfarenhet och kompetens inom offentliga finanser, makroekonomi eller budgetförvaltning enligt transparenta förfaranden.</w:t>
      </w:r>
    </w:p>
    <w:p w14:paraId="2F7DAA2F" w14:textId="77777777" w:rsidR="00B42845" w:rsidRPr="00A502DC" w:rsidRDefault="00B42845" w:rsidP="00B42845">
      <w:pPr>
        <w:widowControl/>
        <w:shd w:val="clear" w:color="auto" w:fill="FFFFFF"/>
        <w:spacing w:before="120" w:line="360" w:lineRule="auto"/>
        <w:ind w:left="567" w:hanging="567"/>
        <w:rPr>
          <w:rFonts w:eastAsia="Calibri"/>
          <w:szCs w:val="22"/>
          <w:lang w:eastAsia="en-US"/>
        </w:rPr>
      </w:pPr>
      <w:r w:rsidRPr="00A502DC">
        <w:rPr>
          <w:rFonts w:eastAsia="Calibri"/>
          <w:szCs w:val="22"/>
          <w:lang w:eastAsia="en-US"/>
        </w:rPr>
        <w:lastRenderedPageBreak/>
        <w:t>3.</w:t>
      </w:r>
      <w:r w:rsidRPr="00A502DC">
        <w:rPr>
          <w:rFonts w:eastAsia="Calibri"/>
          <w:szCs w:val="22"/>
          <w:lang w:eastAsia="en-US"/>
        </w:rPr>
        <w:tab/>
        <w:t>De institutioner som avses i punkt 1 ska</w:t>
      </w:r>
    </w:p>
    <w:p w14:paraId="02F6881F" w14:textId="77777777" w:rsidR="00B42845" w:rsidRPr="00A502DC" w:rsidRDefault="00B42845" w:rsidP="00B42845">
      <w:pPr>
        <w:widowControl/>
        <w:shd w:val="clear" w:color="auto" w:fill="FFFFFF"/>
        <w:spacing w:before="120" w:line="360" w:lineRule="auto"/>
        <w:ind w:left="1134" w:hanging="567"/>
        <w:rPr>
          <w:rFonts w:eastAsia="Calibri"/>
          <w:szCs w:val="22"/>
          <w:lang w:eastAsia="en-US"/>
        </w:rPr>
      </w:pPr>
      <w:r w:rsidRPr="00A502DC">
        <w:rPr>
          <w:rFonts w:eastAsia="Calibri"/>
          <w:szCs w:val="22"/>
          <w:lang w:eastAsia="en-US"/>
        </w:rPr>
        <w:t>a)</w:t>
      </w:r>
      <w:r w:rsidRPr="00A502DC">
        <w:rPr>
          <w:rFonts w:eastAsia="Calibri"/>
          <w:szCs w:val="22"/>
          <w:lang w:eastAsia="en-US"/>
        </w:rPr>
        <w:tab/>
        <w:t>inte ta emot instruktioner från den berörda medlemsstatens budgetmyndigheter eller från andra offentliga eller privata organ,</w:t>
      </w:r>
    </w:p>
    <w:p w14:paraId="46D0C5D5" w14:textId="77777777" w:rsidR="00B42845" w:rsidRPr="00A502DC" w:rsidRDefault="00B42845" w:rsidP="00B42845">
      <w:pPr>
        <w:widowControl/>
        <w:shd w:val="clear" w:color="auto" w:fill="FFFFFF"/>
        <w:spacing w:before="120" w:line="360" w:lineRule="auto"/>
        <w:ind w:left="1134" w:hanging="567"/>
        <w:rPr>
          <w:rFonts w:eastAsia="Calibri"/>
          <w:szCs w:val="22"/>
          <w:lang w:eastAsia="en-US"/>
        </w:rPr>
      </w:pPr>
      <w:r w:rsidRPr="00A502DC">
        <w:rPr>
          <w:rFonts w:eastAsia="Calibri"/>
          <w:szCs w:val="22"/>
          <w:lang w:eastAsia="en-US"/>
        </w:rPr>
        <w:t>b)</w:t>
      </w:r>
      <w:r w:rsidRPr="00A502DC">
        <w:rPr>
          <w:rFonts w:eastAsia="Calibri"/>
          <w:szCs w:val="22"/>
          <w:lang w:eastAsia="en-US"/>
        </w:rPr>
        <w:tab/>
        <w:t>ha kapacitet att utan onödigt dröjsmål kommunicera sina bedömningar och synpunkter offentligt,</w:t>
      </w:r>
    </w:p>
    <w:p w14:paraId="52425B8A" w14:textId="77777777" w:rsidR="00B42845" w:rsidRPr="00A502DC" w:rsidRDefault="00B42845" w:rsidP="00B42845">
      <w:pPr>
        <w:widowControl/>
        <w:shd w:val="clear" w:color="auto" w:fill="FFFFFF"/>
        <w:spacing w:before="120" w:line="360" w:lineRule="auto"/>
        <w:ind w:left="1134" w:hanging="567"/>
        <w:rPr>
          <w:rFonts w:eastAsia="Calibri"/>
          <w:szCs w:val="22"/>
          <w:lang w:eastAsia="en-US"/>
        </w:rPr>
      </w:pPr>
      <w:r w:rsidRPr="00A502DC">
        <w:rPr>
          <w:rFonts w:eastAsia="Calibri"/>
          <w:szCs w:val="22"/>
          <w:lang w:eastAsia="en-US"/>
        </w:rPr>
        <w:t>c)</w:t>
      </w:r>
      <w:r w:rsidRPr="00A502DC">
        <w:rPr>
          <w:rFonts w:eastAsia="Calibri"/>
          <w:szCs w:val="22"/>
          <w:lang w:eastAsia="en-US"/>
        </w:rPr>
        <w:tab/>
        <w:t>ha lämpliga och stabila medel för att kunna fullgöra sina uppgifter på ett effektivt sätt, inbegripet utföra alla typer av analyser som ingår i dessa uppgifter,</w:t>
      </w:r>
    </w:p>
    <w:p w14:paraId="56BEA1D6" w14:textId="77777777" w:rsidR="00B42845" w:rsidRPr="00A502DC" w:rsidRDefault="00B42845" w:rsidP="00B42845">
      <w:pPr>
        <w:widowControl/>
        <w:shd w:val="clear" w:color="auto" w:fill="FFFFFF"/>
        <w:spacing w:before="120" w:line="360" w:lineRule="auto"/>
        <w:ind w:left="1134" w:hanging="567"/>
        <w:rPr>
          <w:rFonts w:eastAsia="Calibri"/>
          <w:szCs w:val="22"/>
          <w:lang w:eastAsia="en-US"/>
        </w:rPr>
      </w:pPr>
      <w:r w:rsidRPr="00A502DC">
        <w:rPr>
          <w:rFonts w:eastAsia="Calibri"/>
          <w:szCs w:val="22"/>
          <w:lang w:eastAsia="en-US"/>
        </w:rPr>
        <w:t>d)</w:t>
      </w:r>
      <w:r w:rsidRPr="00A502DC">
        <w:rPr>
          <w:rFonts w:eastAsia="Calibri"/>
          <w:szCs w:val="22"/>
          <w:lang w:eastAsia="en-US"/>
        </w:rPr>
        <w:tab/>
        <w:t>utan onödigt dröjsmål få tillräcklig tillgång till den information som de behöver för att fullgöra sina uppgifter.</w:t>
      </w:r>
    </w:p>
    <w:p w14:paraId="6A536D60" w14:textId="77777777" w:rsidR="00B42845" w:rsidRPr="00A502DC" w:rsidRDefault="00B42845" w:rsidP="00B42845">
      <w:pPr>
        <w:widowControl/>
        <w:shd w:val="clear" w:color="auto" w:fill="FFFFFF"/>
        <w:spacing w:before="120" w:line="360" w:lineRule="auto"/>
        <w:ind w:left="1134" w:hanging="567"/>
        <w:rPr>
          <w:rFonts w:eastAsia="Calibri"/>
          <w:szCs w:val="22"/>
          <w:lang w:eastAsia="en-US"/>
        </w:rPr>
      </w:pPr>
      <w:r w:rsidRPr="00A502DC">
        <w:rPr>
          <w:rFonts w:eastAsia="Calibri"/>
          <w:szCs w:val="22"/>
          <w:lang w:eastAsia="en-US"/>
        </w:rPr>
        <w:t>e)</w:t>
      </w:r>
      <w:r w:rsidRPr="00A502DC">
        <w:rPr>
          <w:rFonts w:eastAsia="Calibri"/>
          <w:szCs w:val="22"/>
          <w:lang w:eastAsia="en-US"/>
        </w:rPr>
        <w:tab/>
        <w:t>regelbundet vara föremål för externa utvärderingar som utförs av oberoende utvärderare.</w:t>
      </w:r>
    </w:p>
    <w:p w14:paraId="1D97E587" w14:textId="58285CCE" w:rsidR="00B42845" w:rsidRPr="00A502DC" w:rsidRDefault="00B42845" w:rsidP="00B42845">
      <w:pPr>
        <w:widowControl/>
        <w:shd w:val="clear" w:color="auto" w:fill="FFFFFF"/>
        <w:spacing w:before="120" w:line="360" w:lineRule="auto"/>
        <w:ind w:left="567" w:hanging="567"/>
        <w:rPr>
          <w:rFonts w:eastAsia="Calibri"/>
          <w:szCs w:val="22"/>
          <w:lang w:eastAsia="en-US"/>
        </w:rPr>
      </w:pPr>
      <w:r w:rsidRPr="00A502DC">
        <w:rPr>
          <w:rFonts w:eastAsia="Calibri"/>
          <w:szCs w:val="22"/>
          <w:lang w:eastAsia="en-US"/>
        </w:rPr>
        <w:t>4.</w:t>
      </w:r>
      <w:r w:rsidRPr="00A502DC">
        <w:rPr>
          <w:rFonts w:eastAsia="Calibri"/>
          <w:szCs w:val="22"/>
          <w:lang w:eastAsia="en-US"/>
        </w:rPr>
        <w:tab/>
        <w:t xml:space="preserve">Utan att det påverkar de uppgifter och funktioner som tilldelas de medlemsstater som har euron som valuta enligt förordning </w:t>
      </w:r>
      <w:r w:rsidR="000235CF">
        <w:rPr>
          <w:rFonts w:eastAsia="Calibri"/>
          <w:szCs w:val="22"/>
          <w:lang w:eastAsia="en-US"/>
        </w:rPr>
        <w:t xml:space="preserve">(EU) nr </w:t>
      </w:r>
      <w:r w:rsidRPr="00A502DC">
        <w:rPr>
          <w:rFonts w:eastAsia="Calibri"/>
          <w:szCs w:val="22"/>
          <w:lang w:eastAsia="en-US"/>
        </w:rPr>
        <w:t>473/2013, ska alla medlemsstater säkerställa att en av de institutioner som avses i punkt 1 utför följande uppgifter:</w:t>
      </w:r>
    </w:p>
    <w:p w14:paraId="674D23DD" w14:textId="77777777" w:rsidR="00B42845" w:rsidRPr="00A502DC" w:rsidRDefault="00B42845" w:rsidP="00B42845">
      <w:pPr>
        <w:widowControl/>
        <w:shd w:val="clear" w:color="auto" w:fill="FFFFFF"/>
        <w:spacing w:before="120" w:line="360" w:lineRule="auto"/>
        <w:ind w:left="1134" w:hanging="567"/>
        <w:rPr>
          <w:rFonts w:eastAsia="Calibri"/>
          <w:szCs w:val="22"/>
          <w:lang w:eastAsia="en-US"/>
        </w:rPr>
      </w:pPr>
      <w:r w:rsidRPr="00A502DC">
        <w:rPr>
          <w:rFonts w:eastAsia="Calibri"/>
          <w:szCs w:val="22"/>
          <w:lang w:eastAsia="en-US"/>
        </w:rPr>
        <w:t>a)</w:t>
      </w:r>
      <w:r w:rsidRPr="00A502DC">
        <w:rPr>
          <w:rFonts w:eastAsia="Calibri"/>
          <w:szCs w:val="22"/>
          <w:lang w:eastAsia="en-US"/>
        </w:rPr>
        <w:tab/>
        <w:t>Utarbeta, bedöma eller godkänna årliga och fleråriga makroekonomiska prognoser.</w:t>
      </w:r>
    </w:p>
    <w:p w14:paraId="1565BB7E" w14:textId="77777777" w:rsidR="00B42845" w:rsidRPr="00A502DC" w:rsidRDefault="00B42845" w:rsidP="00B42845">
      <w:pPr>
        <w:widowControl/>
        <w:shd w:val="clear" w:color="auto" w:fill="FFFFFF"/>
        <w:spacing w:before="120" w:line="360" w:lineRule="auto"/>
        <w:ind w:left="1134" w:hanging="567"/>
        <w:rPr>
          <w:rFonts w:eastAsia="Calibri"/>
          <w:iCs/>
          <w:szCs w:val="22"/>
          <w:lang w:eastAsia="en-US"/>
        </w:rPr>
      </w:pPr>
      <w:r w:rsidRPr="00A502DC">
        <w:rPr>
          <w:rFonts w:eastAsia="Calibri"/>
          <w:szCs w:val="22"/>
          <w:lang w:eastAsia="en-US"/>
        </w:rPr>
        <w:t>d)</w:t>
      </w:r>
      <w:r w:rsidRPr="00A502DC">
        <w:rPr>
          <w:rFonts w:eastAsia="Calibri"/>
          <w:szCs w:val="22"/>
          <w:lang w:eastAsia="en-US"/>
        </w:rPr>
        <w:tab/>
        <w:t>Övervaka efterlevnaden av landsspecifika numeriska finanspolitiska regler om inte detta görs av andra organ i enlighet med artikel 6. </w:t>
      </w:r>
    </w:p>
    <w:p w14:paraId="7AD67AF4" w14:textId="77777777" w:rsidR="00B42845" w:rsidRPr="00A502DC" w:rsidRDefault="00B42845" w:rsidP="00B42845">
      <w:pPr>
        <w:widowControl/>
        <w:shd w:val="clear" w:color="auto" w:fill="FFFFFF"/>
        <w:spacing w:before="120" w:line="360" w:lineRule="auto"/>
        <w:ind w:left="1134" w:hanging="567"/>
        <w:rPr>
          <w:rFonts w:eastAsia="Calibri"/>
          <w:iCs/>
          <w:szCs w:val="22"/>
          <w:lang w:eastAsia="en-US"/>
        </w:rPr>
      </w:pPr>
      <w:r w:rsidRPr="00A502DC">
        <w:rPr>
          <w:rFonts w:eastAsia="Calibri"/>
          <w:szCs w:val="22"/>
          <w:lang w:eastAsia="en-US"/>
        </w:rPr>
        <w:t>e)</w:t>
      </w:r>
      <w:r w:rsidRPr="00A502DC">
        <w:rPr>
          <w:rFonts w:eastAsia="Calibri"/>
          <w:szCs w:val="22"/>
          <w:lang w:eastAsia="en-US"/>
        </w:rPr>
        <w:tab/>
        <w:t>Utföra uppgifter i enlighet med relevanta artiklar i förordning [XXX stabilitets- och tillväxtpaktens förebyggande del] och förordning [XXX stabilitets- och tillväxtpaktens korrigerande del]*.</w:t>
      </w:r>
    </w:p>
    <w:p w14:paraId="1137ECF6" w14:textId="77777777" w:rsidR="00B42845" w:rsidRPr="00A502DC" w:rsidRDefault="00B42845" w:rsidP="00B42845">
      <w:pPr>
        <w:widowControl/>
        <w:shd w:val="clear" w:color="auto" w:fill="FFFFFF"/>
        <w:spacing w:before="120" w:line="360" w:lineRule="auto"/>
        <w:ind w:left="1134" w:hanging="567"/>
        <w:rPr>
          <w:rFonts w:eastAsia="Calibri"/>
          <w:iCs/>
          <w:szCs w:val="22"/>
          <w:lang w:eastAsia="en-US"/>
        </w:rPr>
      </w:pPr>
      <w:r w:rsidRPr="00A502DC">
        <w:rPr>
          <w:rFonts w:eastAsia="Calibri"/>
          <w:szCs w:val="22"/>
          <w:lang w:eastAsia="en-US"/>
        </w:rPr>
        <w:t>f)</w:t>
      </w:r>
      <w:r w:rsidRPr="00A502DC">
        <w:rPr>
          <w:rFonts w:eastAsia="Calibri"/>
          <w:szCs w:val="22"/>
          <w:lang w:eastAsia="en-US"/>
        </w:rPr>
        <w:tab/>
        <w:t>Bedöma om det nationella budgetramverket är konsekvent, sammanhängande och effektivt.</w:t>
      </w:r>
    </w:p>
    <w:p w14:paraId="298A58D5" w14:textId="77777777" w:rsidR="00B42845" w:rsidRPr="00A502DC" w:rsidRDefault="00B42845" w:rsidP="00B42845">
      <w:pPr>
        <w:widowControl/>
        <w:shd w:val="clear" w:color="auto" w:fill="FFFFFF"/>
        <w:spacing w:before="120" w:line="360" w:lineRule="auto"/>
        <w:ind w:left="1134" w:hanging="567"/>
        <w:rPr>
          <w:rFonts w:eastAsia="Calibri"/>
          <w:szCs w:val="22"/>
          <w:lang w:eastAsia="en-US"/>
        </w:rPr>
      </w:pPr>
      <w:r w:rsidRPr="00A502DC">
        <w:rPr>
          <w:rFonts w:eastAsia="Calibri"/>
          <w:szCs w:val="22"/>
          <w:lang w:eastAsia="en-US"/>
        </w:rPr>
        <w:t>g)</w:t>
      </w:r>
      <w:r w:rsidRPr="00A502DC">
        <w:rPr>
          <w:rFonts w:eastAsia="Calibri"/>
          <w:szCs w:val="22"/>
          <w:lang w:eastAsia="en-US"/>
        </w:rPr>
        <w:tab/>
        <w:t>Regelbundet delta i utfrågningar och debatter i det nationella parlamentet efter inbjudan.</w:t>
      </w:r>
    </w:p>
    <w:p w14:paraId="3B7EB773" w14:textId="77777777" w:rsidR="00B42845" w:rsidRPr="00A502DC" w:rsidRDefault="00B42845" w:rsidP="00B42845">
      <w:pPr>
        <w:widowControl/>
        <w:shd w:val="clear" w:color="auto" w:fill="FFFFFF"/>
        <w:spacing w:before="120" w:line="360" w:lineRule="auto"/>
        <w:ind w:left="567" w:hanging="567"/>
        <w:rPr>
          <w:rFonts w:eastAsia="Calibri"/>
          <w:szCs w:val="22"/>
          <w:lang w:eastAsia="en-US"/>
        </w:rPr>
      </w:pPr>
      <w:r w:rsidRPr="00A502DC">
        <w:rPr>
          <w:rFonts w:eastAsia="Calibri"/>
          <w:szCs w:val="22"/>
          <w:lang w:eastAsia="en-US"/>
        </w:rPr>
        <w:t>5.</w:t>
      </w:r>
      <w:r w:rsidRPr="00A502DC">
        <w:rPr>
          <w:rFonts w:eastAsia="Calibri"/>
          <w:szCs w:val="22"/>
          <w:lang w:eastAsia="en-US"/>
        </w:rPr>
        <w:tab/>
        <w:t>Institutionerna ska utfärda bedömningar inom ramen för sina uppgifter enligt punkt 4 a, d, e och f utan att det påverkar de uppgifter och funktioner som tilldelats i enlighet med förordning (EU) nr 473/2013. Medlemsstaterna ska rätta sig efter bedömningarna, eller, alternativt, förklara varför de inte rättar sig efter dem. Förklaringen ska vara offentlig och läggas fram två månader från det att bedömningarna utfärdades.</w:t>
      </w:r>
    </w:p>
    <w:p w14:paraId="075088FA" w14:textId="77777777" w:rsidR="00B42845" w:rsidRPr="00A502DC" w:rsidRDefault="00B42845" w:rsidP="00B42845">
      <w:pPr>
        <w:widowControl/>
        <w:spacing w:before="120" w:after="120" w:line="360" w:lineRule="auto"/>
        <w:ind w:left="1417"/>
        <w:jc w:val="both"/>
        <w:rPr>
          <w:rFonts w:eastAsia="Calibri"/>
          <w:szCs w:val="22"/>
          <w:u w:val="single"/>
          <w:lang w:eastAsia="en-US"/>
        </w:rPr>
      </w:pPr>
      <w:r w:rsidRPr="00A502DC">
        <w:rPr>
          <w:rFonts w:eastAsia="Calibri"/>
          <w:b/>
          <w:szCs w:val="22"/>
          <w:u w:val="single"/>
          <w:lang w:eastAsia="en-US"/>
        </w:rPr>
        <w:lastRenderedPageBreak/>
        <w:t>_</w:t>
      </w:r>
      <w:r w:rsidRPr="00A502DC">
        <w:rPr>
          <w:rFonts w:eastAsia="Calibri"/>
          <w:szCs w:val="22"/>
          <w:u w:val="single"/>
          <w:lang w:eastAsia="en-US"/>
        </w:rPr>
        <w:t>________________</w:t>
      </w:r>
    </w:p>
    <w:p w14:paraId="37A39C43" w14:textId="77777777" w:rsidR="00B42845" w:rsidRPr="00A502DC" w:rsidRDefault="00B42845" w:rsidP="00B42845">
      <w:pPr>
        <w:widowControl/>
        <w:spacing w:before="120" w:after="120" w:line="360" w:lineRule="auto"/>
        <w:ind w:left="1417"/>
        <w:jc w:val="both"/>
        <w:rPr>
          <w:rFonts w:eastAsia="Calibri"/>
          <w:szCs w:val="22"/>
          <w:lang w:eastAsia="en-US"/>
        </w:rPr>
      </w:pPr>
      <w:r w:rsidRPr="00A502DC">
        <w:rPr>
          <w:rFonts w:eastAsia="Calibri"/>
          <w:szCs w:val="22"/>
          <w:lang w:eastAsia="en-US"/>
        </w:rPr>
        <w:t>* Rådets förordning (EU) av den [infoga datum] [infoga fullständig titel] (EUT L ...).</w:t>
      </w:r>
    </w:p>
    <w:p w14:paraId="1AAE8E15" w14:textId="77777777" w:rsidR="00B42845" w:rsidRPr="00A502DC" w:rsidRDefault="00B42845" w:rsidP="00B42845">
      <w:pPr>
        <w:widowControl/>
        <w:spacing w:after="200" w:line="276" w:lineRule="auto"/>
        <w:rPr>
          <w:color w:val="000000"/>
          <w:szCs w:val="24"/>
          <w:lang w:eastAsia="en-US"/>
        </w:rPr>
      </w:pPr>
      <w:r w:rsidRPr="00A502DC">
        <w:rPr>
          <w:rFonts w:eastAsia="Calibri"/>
          <w:color w:val="000000"/>
          <w:szCs w:val="22"/>
          <w:lang w:eastAsia="en-US"/>
        </w:rPr>
        <w:t>9.</w:t>
      </w:r>
      <w:r w:rsidRPr="00A502DC">
        <w:rPr>
          <w:rFonts w:eastAsia="Calibri"/>
          <w:color w:val="000000"/>
          <w:szCs w:val="22"/>
          <w:lang w:eastAsia="en-US"/>
        </w:rPr>
        <w:tab/>
        <w:t>Artikel 9 ska ändras på följande sätt:</w:t>
      </w:r>
    </w:p>
    <w:p w14:paraId="358D8A01" w14:textId="77777777" w:rsidR="00B42845" w:rsidRPr="00A502DC" w:rsidRDefault="00B42845" w:rsidP="00B42845">
      <w:pPr>
        <w:keepNext/>
        <w:widowControl/>
        <w:spacing w:before="360" w:after="120" w:line="360" w:lineRule="auto"/>
        <w:ind w:left="1134" w:hanging="567"/>
        <w:jc w:val="both"/>
        <w:rPr>
          <w:rFonts w:eastAsia="Calibri"/>
          <w:iCs/>
          <w:szCs w:val="22"/>
          <w:lang w:eastAsia="en-US"/>
        </w:rPr>
      </w:pPr>
      <w:r w:rsidRPr="00A502DC">
        <w:rPr>
          <w:rFonts w:eastAsia="Calibri"/>
          <w:szCs w:val="22"/>
          <w:lang w:eastAsia="en-US"/>
        </w:rPr>
        <w:t>a)</w:t>
      </w:r>
      <w:r w:rsidRPr="00A502DC">
        <w:rPr>
          <w:rFonts w:eastAsia="Calibri"/>
          <w:szCs w:val="22"/>
          <w:lang w:eastAsia="en-US"/>
        </w:rPr>
        <w:tab/>
        <w:t>Punkt 1 ska ersättas med följande:</w:t>
      </w:r>
    </w:p>
    <w:p w14:paraId="11F4220E" w14:textId="77777777" w:rsidR="00B42845" w:rsidRPr="00A502DC" w:rsidRDefault="00B42845" w:rsidP="00B42845">
      <w:pPr>
        <w:keepNext/>
        <w:widowControl/>
        <w:spacing w:before="360" w:after="120" w:line="360" w:lineRule="auto"/>
        <w:ind w:left="1134" w:hanging="567"/>
        <w:rPr>
          <w:rFonts w:eastAsia="Calibri"/>
          <w:iCs/>
          <w:szCs w:val="22"/>
          <w:lang w:eastAsia="en-US"/>
        </w:rPr>
      </w:pPr>
      <w:r w:rsidRPr="00A502DC">
        <w:rPr>
          <w:rFonts w:eastAsia="Calibri"/>
          <w:szCs w:val="22"/>
          <w:lang w:eastAsia="en-US"/>
        </w:rPr>
        <w:t>”1.</w:t>
      </w:r>
      <w:r w:rsidRPr="00A502DC">
        <w:rPr>
          <w:rFonts w:eastAsia="Calibri"/>
          <w:szCs w:val="22"/>
          <w:lang w:eastAsia="en-US"/>
        </w:rPr>
        <w:tab/>
      </w:r>
      <w:r w:rsidRPr="00A502DC">
        <w:rPr>
          <w:rFonts w:eastAsia="Calibri"/>
          <w:color w:val="000000"/>
          <w:szCs w:val="22"/>
          <w:lang w:eastAsia="en-US"/>
        </w:rPr>
        <w:t>Medlemsstaterna ska inrätta ett trovärdigt och effektivt nationellt budgetramverk på medellång sikt som tryggar införande av en finanspolitisk planeringshorisont på minst tre år</w:t>
      </w:r>
      <w:r w:rsidRPr="00A502DC">
        <w:rPr>
          <w:rFonts w:eastAsia="Calibri"/>
          <w:i/>
          <w:sz w:val="16"/>
          <w:szCs w:val="22"/>
          <w:lang w:eastAsia="en-US"/>
        </w:rPr>
        <w:t xml:space="preserve"> </w:t>
      </w:r>
      <w:r w:rsidRPr="00A502DC">
        <w:rPr>
          <w:rFonts w:eastAsia="Calibri"/>
          <w:color w:val="000000"/>
          <w:szCs w:val="22"/>
          <w:lang w:eastAsia="en-US"/>
        </w:rPr>
        <w:t>för att säkerställa att den nationella finanspolitiska planeringen har ett flerårigt perspektiv.”</w:t>
      </w:r>
    </w:p>
    <w:p w14:paraId="5DCB36D2" w14:textId="77777777" w:rsidR="00B42845" w:rsidRPr="00A502DC" w:rsidRDefault="00B42845" w:rsidP="00B42845">
      <w:pPr>
        <w:widowControl/>
        <w:spacing w:before="120" w:after="120" w:line="360" w:lineRule="auto"/>
        <w:ind w:left="1134" w:hanging="567"/>
        <w:rPr>
          <w:rFonts w:eastAsia="Calibri"/>
          <w:szCs w:val="22"/>
          <w:lang w:eastAsia="en-US"/>
        </w:rPr>
      </w:pPr>
      <w:r w:rsidRPr="00A502DC">
        <w:rPr>
          <w:rFonts w:eastAsia="Calibri"/>
          <w:szCs w:val="22"/>
          <w:lang w:eastAsia="en-US"/>
        </w:rPr>
        <w:t>b)</w:t>
      </w:r>
      <w:r w:rsidRPr="00A502DC">
        <w:rPr>
          <w:rFonts w:eastAsia="Calibri"/>
          <w:szCs w:val="22"/>
          <w:lang w:eastAsia="en-US"/>
        </w:rPr>
        <w:tab/>
        <w:t>Punkt 2 ska ändras på följande sätt:</w:t>
      </w:r>
    </w:p>
    <w:p w14:paraId="5802F7EB" w14:textId="77777777" w:rsidR="00B42845" w:rsidRPr="00A502DC" w:rsidRDefault="00B42845" w:rsidP="00B42845">
      <w:pPr>
        <w:widowControl/>
        <w:spacing w:before="120" w:after="120" w:line="360" w:lineRule="auto"/>
        <w:ind w:left="1134" w:hanging="567"/>
        <w:rPr>
          <w:rFonts w:eastAsia="Calibri"/>
          <w:szCs w:val="22"/>
          <w:lang w:eastAsia="en-US"/>
        </w:rPr>
      </w:pPr>
      <w:r w:rsidRPr="00A502DC">
        <w:rPr>
          <w:rFonts w:eastAsia="Calibri"/>
          <w:szCs w:val="22"/>
          <w:lang w:eastAsia="en-US"/>
        </w:rPr>
        <w:t>i)</w:t>
      </w:r>
      <w:r w:rsidRPr="00A502DC">
        <w:rPr>
          <w:rFonts w:eastAsia="Calibri"/>
          <w:szCs w:val="22"/>
          <w:lang w:eastAsia="en-US"/>
        </w:rPr>
        <w:tab/>
        <w:t>Inledningsfrasen ska ersättas med följande:</w:t>
      </w:r>
    </w:p>
    <w:p w14:paraId="04EDE637" w14:textId="77777777" w:rsidR="00B42845" w:rsidRPr="00A502DC" w:rsidRDefault="00B42845" w:rsidP="00B42845">
      <w:pPr>
        <w:widowControl/>
        <w:spacing w:before="120" w:after="120" w:line="360" w:lineRule="auto"/>
        <w:ind w:left="1134" w:hanging="567"/>
        <w:rPr>
          <w:rFonts w:eastAsia="Calibri"/>
          <w:szCs w:val="22"/>
          <w:lang w:eastAsia="en-US"/>
        </w:rPr>
      </w:pPr>
      <w:r w:rsidRPr="00A502DC">
        <w:rPr>
          <w:rFonts w:eastAsia="Calibri"/>
          <w:szCs w:val="22"/>
          <w:lang w:eastAsia="en-US"/>
        </w:rPr>
        <w:t>”2.</w:t>
      </w:r>
      <w:r w:rsidRPr="00A502DC">
        <w:rPr>
          <w:rFonts w:eastAsia="Calibri"/>
          <w:szCs w:val="22"/>
          <w:lang w:eastAsia="en-US"/>
        </w:rPr>
        <w:tab/>
        <w:t>De nationella budgetramverken på medellång sikt ska innehålla förfaranden för upprättande av följande:</w:t>
      </w:r>
      <w:r w:rsidRPr="00A502DC">
        <w:rPr>
          <w:rFonts w:eastAsia="Calibri"/>
          <w:color w:val="000000"/>
          <w:szCs w:val="22"/>
          <w:lang w:eastAsia="en-US"/>
        </w:rPr>
        <w:t xml:space="preserve"> ”</w:t>
      </w:r>
    </w:p>
    <w:p w14:paraId="35A5786A" w14:textId="77777777" w:rsidR="00B42845" w:rsidRPr="00A502DC" w:rsidRDefault="00B42845" w:rsidP="00B42845">
      <w:pPr>
        <w:widowControl/>
        <w:spacing w:before="120" w:after="120" w:line="360" w:lineRule="auto"/>
        <w:ind w:left="1134" w:hanging="567"/>
        <w:rPr>
          <w:rFonts w:eastAsia="Calibri"/>
          <w:szCs w:val="22"/>
          <w:lang w:eastAsia="en-US"/>
        </w:rPr>
      </w:pPr>
      <w:r w:rsidRPr="00A502DC">
        <w:rPr>
          <w:rFonts w:eastAsia="Calibri"/>
          <w:szCs w:val="22"/>
          <w:lang w:eastAsia="en-US"/>
        </w:rPr>
        <w:t>ii)</w:t>
      </w:r>
      <w:r w:rsidRPr="00A502DC">
        <w:rPr>
          <w:rFonts w:eastAsia="Calibri"/>
          <w:szCs w:val="22"/>
          <w:lang w:eastAsia="en-US"/>
        </w:rPr>
        <w:tab/>
        <w:t>Led a ska ersättas med följande:</w:t>
      </w:r>
    </w:p>
    <w:p w14:paraId="28094956" w14:textId="77777777" w:rsidR="00B42845" w:rsidRPr="00A502DC" w:rsidRDefault="00B42845" w:rsidP="00B42845">
      <w:pPr>
        <w:widowControl/>
        <w:spacing w:before="120" w:after="120" w:line="360" w:lineRule="auto"/>
        <w:ind w:left="1134" w:hanging="567"/>
        <w:rPr>
          <w:rFonts w:eastAsia="Calibri"/>
          <w:szCs w:val="22"/>
          <w:lang w:eastAsia="en-US"/>
        </w:rPr>
      </w:pPr>
      <w:r w:rsidRPr="00A502DC">
        <w:rPr>
          <w:rFonts w:eastAsia="Calibri"/>
          <w:szCs w:val="22"/>
          <w:lang w:eastAsia="en-US"/>
        </w:rPr>
        <w:t>”a)</w:t>
      </w:r>
      <w:r w:rsidRPr="00A502DC">
        <w:rPr>
          <w:rFonts w:eastAsia="Calibri"/>
          <w:szCs w:val="22"/>
          <w:lang w:eastAsia="en-US"/>
        </w:rPr>
        <w:tab/>
      </w:r>
      <w:r w:rsidRPr="00A502DC">
        <w:rPr>
          <w:rFonts w:ascii="inherit" w:eastAsia="Calibri" w:hAnsi="inherit"/>
          <w:color w:val="000000"/>
          <w:szCs w:val="22"/>
          <w:lang w:eastAsia="en-US"/>
        </w:rPr>
        <w:t xml:space="preserve">Övergripande och transparenta fleråriga budgetmål enligt artikel 2 e för offentliga underskott, skuldsättning och andra finanspolitiska indikatorer, t.ex. utgifter, samt säkerställa att dessa överensstämmer med </w:t>
      </w:r>
      <w:r w:rsidRPr="00A502DC">
        <w:rPr>
          <w:rFonts w:eastAsia="Calibri"/>
          <w:szCs w:val="22"/>
          <w:lang w:eastAsia="en-US"/>
        </w:rPr>
        <w:t>landsspecifika</w:t>
      </w:r>
      <w:r w:rsidRPr="00A502DC">
        <w:rPr>
          <w:rFonts w:ascii="inherit" w:eastAsia="Calibri" w:hAnsi="inherit"/>
          <w:szCs w:val="22"/>
          <w:lang w:eastAsia="en-US"/>
        </w:rPr>
        <w:t xml:space="preserve"> numeriska finanspolitiska regler enligt kapitel IV i detta direktiv </w:t>
      </w:r>
      <w:r w:rsidRPr="00A502DC">
        <w:rPr>
          <w:rFonts w:eastAsia="Calibri"/>
          <w:szCs w:val="22"/>
          <w:lang w:eastAsia="en-US"/>
        </w:rPr>
        <w:t>och relevanta bestämmelser i förordning [XXX stabilitets- och tillväxtpaktens förebyggande del].”.</w:t>
      </w:r>
    </w:p>
    <w:p w14:paraId="074F1F05" w14:textId="77777777" w:rsidR="00B42845" w:rsidRPr="00A502DC" w:rsidRDefault="00B42845" w:rsidP="00B42845">
      <w:pPr>
        <w:widowControl/>
        <w:spacing w:before="120" w:after="120" w:line="360" w:lineRule="auto"/>
        <w:ind w:left="1134" w:hanging="567"/>
        <w:rPr>
          <w:rFonts w:eastAsia="Calibri"/>
          <w:szCs w:val="22"/>
          <w:lang w:eastAsia="en-US"/>
        </w:rPr>
      </w:pPr>
      <w:r w:rsidRPr="00A502DC">
        <w:rPr>
          <w:rFonts w:eastAsia="Calibri"/>
          <w:szCs w:val="22"/>
          <w:lang w:eastAsia="en-US"/>
        </w:rPr>
        <w:t>iii)</w:t>
      </w:r>
      <w:r w:rsidRPr="00A502DC">
        <w:rPr>
          <w:rFonts w:eastAsia="Calibri"/>
          <w:szCs w:val="22"/>
          <w:lang w:eastAsia="en-US"/>
        </w:rPr>
        <w:tab/>
        <w:t>Led c ska ersättas med följande:</w:t>
      </w:r>
    </w:p>
    <w:p w14:paraId="0165ADD4" w14:textId="77777777" w:rsidR="00B42845" w:rsidRPr="00A502DC" w:rsidRDefault="00B42845" w:rsidP="00B42845">
      <w:pPr>
        <w:widowControl/>
        <w:spacing w:before="120" w:after="120" w:line="360" w:lineRule="auto"/>
        <w:ind w:left="1134" w:hanging="590"/>
        <w:rPr>
          <w:rFonts w:eastAsia="Calibri"/>
          <w:szCs w:val="22"/>
          <w:lang w:eastAsia="en-US"/>
        </w:rPr>
      </w:pPr>
      <w:r w:rsidRPr="00A502DC">
        <w:rPr>
          <w:rFonts w:eastAsia="Calibri"/>
          <w:szCs w:val="22"/>
          <w:lang w:eastAsia="en-US"/>
        </w:rPr>
        <w:t>”c)</w:t>
      </w:r>
      <w:r w:rsidRPr="00A502DC">
        <w:rPr>
          <w:rFonts w:eastAsia="Calibri"/>
          <w:szCs w:val="22"/>
          <w:lang w:eastAsia="en-US"/>
        </w:rPr>
        <w:tab/>
        <w:t>En beskrivning av planerade politiska åtgärder, inbegripet investeringar och reformer, på medellång sikt som påverkar de offentliga finanserna och en hållbar och inkluderande tillväxt, fördelade på större utgifts- och inkomstposter, som visar hur korrigeringen i riktning mot de nationella budgetmål på medellång sikt som avses i artikel 2 e uppnås jämfört med prognoser baserade på oförändrad politik.”</w:t>
      </w:r>
    </w:p>
    <w:p w14:paraId="34CA5B88" w14:textId="77777777" w:rsidR="00B42845" w:rsidRPr="00A502DC" w:rsidRDefault="00B42845" w:rsidP="00B42845">
      <w:pPr>
        <w:widowControl/>
        <w:spacing w:before="120" w:after="120" w:line="360" w:lineRule="auto"/>
        <w:ind w:left="1134" w:hanging="590"/>
        <w:rPr>
          <w:rFonts w:eastAsia="Calibri"/>
          <w:szCs w:val="22"/>
          <w:lang w:eastAsia="en-US"/>
        </w:rPr>
      </w:pPr>
      <w:r w:rsidRPr="00A502DC">
        <w:rPr>
          <w:rFonts w:eastAsia="Calibri"/>
          <w:szCs w:val="22"/>
          <w:lang w:eastAsia="en-US"/>
        </w:rPr>
        <w:t>iv)</w:t>
      </w:r>
      <w:r w:rsidRPr="00A502DC">
        <w:rPr>
          <w:rFonts w:eastAsia="Calibri"/>
          <w:szCs w:val="22"/>
          <w:lang w:eastAsia="en-US"/>
        </w:rPr>
        <w:tab/>
        <w:t>Led d ska ersättas med följande:</w:t>
      </w:r>
    </w:p>
    <w:p w14:paraId="52264F1E" w14:textId="77777777" w:rsidR="00B42845" w:rsidRPr="00A502DC" w:rsidRDefault="00B42845" w:rsidP="00B42845">
      <w:pPr>
        <w:widowControl/>
        <w:spacing w:before="120" w:after="120" w:line="360" w:lineRule="auto"/>
        <w:ind w:left="720"/>
        <w:rPr>
          <w:rFonts w:eastAsia="Calibri"/>
          <w:szCs w:val="22"/>
          <w:lang w:eastAsia="pt-PT"/>
        </w:rPr>
      </w:pPr>
    </w:p>
    <w:p w14:paraId="22B607A8" w14:textId="77777777" w:rsidR="00B42845" w:rsidRPr="00A502DC" w:rsidRDefault="00B42845" w:rsidP="00B42845">
      <w:pPr>
        <w:widowControl/>
        <w:spacing w:before="120" w:after="120" w:line="360" w:lineRule="auto"/>
        <w:ind w:left="1134" w:hanging="590"/>
        <w:rPr>
          <w:rFonts w:eastAsia="Calibri"/>
          <w:b/>
          <w:bCs/>
          <w:szCs w:val="22"/>
          <w:lang w:eastAsia="en-US"/>
        </w:rPr>
      </w:pPr>
      <w:r w:rsidRPr="00A502DC">
        <w:rPr>
          <w:rFonts w:eastAsia="Calibri"/>
          <w:szCs w:val="22"/>
          <w:lang w:eastAsia="en-US"/>
        </w:rPr>
        <w:lastRenderedPageBreak/>
        <w:t>”d)</w:t>
      </w:r>
      <w:r w:rsidRPr="00A502DC">
        <w:rPr>
          <w:rFonts w:eastAsia="Calibri"/>
          <w:szCs w:val="22"/>
          <w:lang w:eastAsia="en-US"/>
        </w:rPr>
        <w:tab/>
      </w:r>
      <w:r w:rsidRPr="00A502DC">
        <w:rPr>
          <w:rFonts w:ascii="inherit" w:eastAsia="Calibri" w:hAnsi="inherit"/>
          <w:color w:val="000000"/>
          <w:szCs w:val="22"/>
          <w:lang w:eastAsia="en-US"/>
        </w:rPr>
        <w:t xml:space="preserve">En bedömning av hur de planerade åtgärderna, i ljuset av deras direkta </w:t>
      </w:r>
      <w:r w:rsidRPr="00A502DC">
        <w:rPr>
          <w:rFonts w:eastAsia="Calibri"/>
          <w:szCs w:val="22"/>
          <w:lang w:eastAsia="en-US"/>
        </w:rPr>
        <w:t>medel- och</w:t>
      </w:r>
      <w:r w:rsidRPr="00A502DC">
        <w:rPr>
          <w:rFonts w:ascii="inherit" w:eastAsia="Calibri" w:hAnsi="inherit"/>
          <w:color w:val="000000"/>
          <w:szCs w:val="22"/>
          <w:lang w:eastAsia="en-US"/>
        </w:rPr>
        <w:t xml:space="preserve"> </w:t>
      </w:r>
      <w:r w:rsidRPr="00A502DC">
        <w:rPr>
          <w:rFonts w:eastAsia="Calibri"/>
          <w:szCs w:val="22"/>
          <w:lang w:eastAsia="en-US"/>
        </w:rPr>
        <w:t>långsiktiga</w:t>
      </w:r>
      <w:r w:rsidRPr="00A502DC">
        <w:rPr>
          <w:rFonts w:ascii="inherit" w:eastAsia="Calibri" w:hAnsi="inherit"/>
          <w:color w:val="000000"/>
          <w:szCs w:val="22"/>
          <w:lang w:eastAsia="en-US"/>
        </w:rPr>
        <w:t xml:space="preserve"> effekter på de offentliga finanserna, förväntas påverka de offentliga finansernas </w:t>
      </w:r>
      <w:r w:rsidRPr="00A502DC">
        <w:rPr>
          <w:rFonts w:eastAsia="Calibri"/>
          <w:szCs w:val="22"/>
          <w:lang w:eastAsia="en-US"/>
        </w:rPr>
        <w:t>medel- och</w:t>
      </w:r>
      <w:r w:rsidRPr="00A502DC">
        <w:rPr>
          <w:rFonts w:ascii="inherit" w:eastAsia="Calibri" w:hAnsi="inherit"/>
          <w:color w:val="000000"/>
          <w:szCs w:val="22"/>
          <w:lang w:eastAsia="en-US"/>
        </w:rPr>
        <w:t xml:space="preserve"> långfristiga hållbarhet</w:t>
      </w:r>
      <w:r w:rsidRPr="00A502DC">
        <w:rPr>
          <w:rFonts w:eastAsia="Calibri"/>
          <w:szCs w:val="22"/>
          <w:lang w:eastAsia="en-US"/>
        </w:rPr>
        <w:t xml:space="preserve"> samt en hållbar och inkluderande tillväxt. Bedömningen ska så långt det är möjligt beakta makroekonomiska risker som är en följd av klimatförändringarna och deras miljö- och fördelningseffekter.”.</w:t>
      </w:r>
    </w:p>
    <w:p w14:paraId="3C507A6B" w14:textId="77777777" w:rsidR="00B42845" w:rsidRPr="00A502DC" w:rsidRDefault="00B42845" w:rsidP="00B42845">
      <w:pPr>
        <w:widowControl/>
        <w:spacing w:before="120" w:after="120" w:line="360" w:lineRule="auto"/>
        <w:ind w:left="1134" w:hanging="590"/>
        <w:rPr>
          <w:rFonts w:eastAsia="Calibri"/>
          <w:szCs w:val="22"/>
          <w:lang w:eastAsia="en-US"/>
        </w:rPr>
      </w:pPr>
      <w:r w:rsidRPr="00A502DC">
        <w:rPr>
          <w:rFonts w:eastAsia="Calibri"/>
          <w:szCs w:val="22"/>
          <w:lang w:eastAsia="en-US"/>
        </w:rPr>
        <w:t>c)</w:t>
      </w:r>
      <w:r w:rsidRPr="00A502DC">
        <w:rPr>
          <w:rFonts w:eastAsia="Calibri"/>
          <w:szCs w:val="22"/>
          <w:lang w:eastAsia="en-US"/>
        </w:rPr>
        <w:tab/>
        <w:t>Punkt 3 ska utgå.</w:t>
      </w:r>
    </w:p>
    <w:p w14:paraId="76753229" w14:textId="77777777" w:rsidR="00B42845" w:rsidRPr="00A502DC" w:rsidRDefault="00B42845" w:rsidP="00B42845">
      <w:pPr>
        <w:widowControl/>
        <w:shd w:val="clear" w:color="auto" w:fill="FFFFFF"/>
        <w:spacing w:before="120" w:line="360" w:lineRule="auto"/>
        <w:ind w:left="567" w:hanging="567"/>
        <w:rPr>
          <w:rFonts w:eastAsia="Calibri"/>
          <w:iCs/>
          <w:szCs w:val="22"/>
          <w:lang w:eastAsia="en-US"/>
        </w:rPr>
      </w:pPr>
      <w:r w:rsidRPr="00A502DC">
        <w:rPr>
          <w:rFonts w:eastAsia="Calibri"/>
          <w:szCs w:val="22"/>
          <w:lang w:eastAsia="en-US"/>
        </w:rPr>
        <w:t>10.</w:t>
      </w:r>
      <w:r w:rsidRPr="00A502DC">
        <w:rPr>
          <w:rFonts w:eastAsia="Calibri"/>
          <w:szCs w:val="22"/>
          <w:lang w:eastAsia="en-US"/>
        </w:rPr>
        <w:tab/>
        <w:t>Artiklarna 10 och 11 ska ersättas med följande:</w:t>
      </w:r>
    </w:p>
    <w:p w14:paraId="09124031" w14:textId="77777777" w:rsidR="00B42845" w:rsidRPr="00A502DC" w:rsidRDefault="00B42845" w:rsidP="00B42845">
      <w:pPr>
        <w:widowControl/>
        <w:spacing w:before="120" w:after="120" w:line="360" w:lineRule="auto"/>
        <w:jc w:val="both"/>
        <w:rPr>
          <w:rFonts w:eastAsia="Calibri"/>
          <w:szCs w:val="22"/>
          <w:lang w:eastAsia="en-US"/>
        </w:rPr>
      </w:pPr>
    </w:p>
    <w:p w14:paraId="1C353D7E" w14:textId="77777777" w:rsidR="00B42845" w:rsidRPr="00A502DC" w:rsidRDefault="00B42845" w:rsidP="00B42845">
      <w:pPr>
        <w:widowControl/>
        <w:spacing w:before="120" w:after="120" w:line="360" w:lineRule="auto"/>
        <w:ind w:left="2880" w:firstLine="720"/>
        <w:jc w:val="both"/>
        <w:rPr>
          <w:rFonts w:eastAsia="Calibri"/>
          <w:szCs w:val="22"/>
          <w:lang w:eastAsia="en-US"/>
        </w:rPr>
      </w:pPr>
      <w:r w:rsidRPr="00A502DC">
        <w:rPr>
          <w:rFonts w:eastAsia="Calibri"/>
          <w:szCs w:val="22"/>
          <w:lang w:eastAsia="en-US"/>
        </w:rPr>
        <w:t>”Artikel 10</w:t>
      </w:r>
    </w:p>
    <w:p w14:paraId="4184CC43" w14:textId="77777777" w:rsidR="00B42845" w:rsidRPr="00A502DC" w:rsidRDefault="00B42845" w:rsidP="00B42845">
      <w:pPr>
        <w:widowControl/>
        <w:spacing w:before="120" w:after="120" w:line="360" w:lineRule="auto"/>
        <w:rPr>
          <w:rFonts w:eastAsia="Calibri"/>
          <w:szCs w:val="22"/>
          <w:lang w:eastAsia="en-US"/>
        </w:rPr>
      </w:pPr>
      <w:r w:rsidRPr="00A502DC">
        <w:rPr>
          <w:rFonts w:eastAsia="Calibri"/>
          <w:color w:val="000000"/>
          <w:szCs w:val="22"/>
          <w:lang w:eastAsia="en-US"/>
        </w:rPr>
        <w:t xml:space="preserve">Årlig budgetlagstiftning ska överensstämma med </w:t>
      </w:r>
      <w:r w:rsidRPr="00A502DC">
        <w:rPr>
          <w:rFonts w:eastAsia="Calibri"/>
          <w:szCs w:val="22"/>
          <w:lang w:eastAsia="en-US"/>
        </w:rPr>
        <w:t>de nationella budgetmål på medellång sikt som avses i artikel 2 e. Varje avvikelse ska vederbörligen förklaras.”.</w:t>
      </w:r>
    </w:p>
    <w:p w14:paraId="1E9CF6BE" w14:textId="77777777" w:rsidR="00B42845" w:rsidRPr="00A502DC" w:rsidRDefault="00B42845" w:rsidP="00B42845">
      <w:pPr>
        <w:widowControl/>
        <w:spacing w:before="120" w:after="120" w:line="360" w:lineRule="auto"/>
        <w:jc w:val="both"/>
        <w:rPr>
          <w:rFonts w:eastAsia="Calibri"/>
          <w:szCs w:val="22"/>
          <w:lang w:eastAsia="en-US"/>
        </w:rPr>
      </w:pPr>
    </w:p>
    <w:p w14:paraId="06B286AF" w14:textId="77777777" w:rsidR="00B42845" w:rsidRPr="00A502DC" w:rsidRDefault="00B42845" w:rsidP="00B42845">
      <w:pPr>
        <w:widowControl/>
        <w:spacing w:before="120" w:after="120" w:line="360" w:lineRule="auto"/>
        <w:ind w:left="2880" w:firstLine="720"/>
        <w:jc w:val="both"/>
        <w:rPr>
          <w:rFonts w:eastAsia="Calibri"/>
          <w:szCs w:val="22"/>
          <w:lang w:eastAsia="en-US"/>
        </w:rPr>
      </w:pPr>
      <w:r w:rsidRPr="00A502DC">
        <w:rPr>
          <w:rFonts w:eastAsia="Calibri"/>
          <w:szCs w:val="22"/>
          <w:lang w:eastAsia="en-US"/>
        </w:rPr>
        <w:t>Artikel 11</w:t>
      </w:r>
    </w:p>
    <w:p w14:paraId="09E588C5" w14:textId="77777777" w:rsidR="00B42845" w:rsidRPr="00A502DC" w:rsidRDefault="00B42845" w:rsidP="00B42845">
      <w:pPr>
        <w:keepNext/>
        <w:widowControl/>
        <w:spacing w:before="360" w:after="120" w:line="360" w:lineRule="auto"/>
        <w:rPr>
          <w:rFonts w:eastAsia="Calibri"/>
          <w:iCs/>
          <w:szCs w:val="22"/>
          <w:lang w:eastAsia="en-US"/>
        </w:rPr>
      </w:pPr>
      <w:r w:rsidRPr="00A502DC">
        <w:rPr>
          <w:rFonts w:eastAsia="Calibri"/>
          <w:szCs w:val="22"/>
          <w:lang w:eastAsia="en-US"/>
        </w:rPr>
        <w:t>Detta direktiv ska på intet sätt hindra en ny regering i en medlemsstat från att uppdatera dess medelfristiga budgetplan för att ta hänsyn till dess nya politiska prioriteringar. Den nya regeringen ska i ett sådant fall ange skillnaderna mellan den föregående och den nya medelfristiga budgetplanen.”</w:t>
      </w:r>
    </w:p>
    <w:p w14:paraId="45BCB2F3" w14:textId="77777777" w:rsidR="00B42845" w:rsidRPr="00A502DC" w:rsidRDefault="00B42845" w:rsidP="00B42845">
      <w:pPr>
        <w:widowControl/>
        <w:spacing w:before="120" w:after="120" w:line="360" w:lineRule="auto"/>
        <w:jc w:val="both"/>
        <w:rPr>
          <w:rFonts w:eastAsia="Calibri"/>
          <w:szCs w:val="22"/>
          <w:lang w:eastAsia="en-US"/>
        </w:rPr>
      </w:pPr>
    </w:p>
    <w:p w14:paraId="7329F5C2" w14:textId="77777777" w:rsidR="00B42845" w:rsidRPr="00A502DC" w:rsidRDefault="00B42845" w:rsidP="00B42845">
      <w:pPr>
        <w:widowControl/>
        <w:shd w:val="clear" w:color="auto" w:fill="FFFFFF"/>
        <w:spacing w:before="120" w:line="360" w:lineRule="auto"/>
        <w:ind w:left="567" w:hanging="567"/>
        <w:rPr>
          <w:rFonts w:ascii="inherit" w:eastAsia="Calibri" w:hAnsi="inherit"/>
          <w:b/>
          <w:bCs/>
          <w:szCs w:val="24"/>
          <w:lang w:eastAsia="en-US"/>
        </w:rPr>
      </w:pPr>
      <w:r w:rsidRPr="00A502DC">
        <w:rPr>
          <w:rFonts w:eastAsia="Calibri"/>
          <w:szCs w:val="22"/>
          <w:lang w:eastAsia="en-US"/>
        </w:rPr>
        <w:t>11</w:t>
      </w:r>
      <w:r w:rsidRPr="00A502DC">
        <w:rPr>
          <w:rFonts w:ascii="inherit" w:eastAsia="Calibri" w:hAnsi="inherit"/>
          <w:szCs w:val="22"/>
          <w:lang w:eastAsia="en-US"/>
        </w:rPr>
        <w:t>.</w:t>
      </w:r>
      <w:r w:rsidRPr="00A502DC">
        <w:rPr>
          <w:rFonts w:ascii="inherit" w:eastAsia="Calibri" w:hAnsi="inherit"/>
          <w:szCs w:val="22"/>
          <w:lang w:eastAsia="en-US"/>
        </w:rPr>
        <w:tab/>
        <w:t>Titeln på kapitel VI ska ersättas med följande: ”INSYN I OFFENTLIGA FINANSER”</w:t>
      </w:r>
    </w:p>
    <w:p w14:paraId="2BC5F961" w14:textId="77777777" w:rsidR="00B42845" w:rsidRPr="00A502DC" w:rsidRDefault="00B42845" w:rsidP="00B42845">
      <w:pPr>
        <w:widowControl/>
        <w:shd w:val="clear" w:color="auto" w:fill="FFFFFF"/>
        <w:spacing w:before="120" w:line="360" w:lineRule="auto"/>
        <w:ind w:left="567" w:hanging="567"/>
        <w:rPr>
          <w:rFonts w:eastAsia="Calibri"/>
          <w:szCs w:val="22"/>
          <w:lang w:eastAsia="en-US"/>
        </w:rPr>
      </w:pPr>
      <w:r w:rsidRPr="00A502DC">
        <w:rPr>
          <w:rFonts w:eastAsia="Calibri"/>
          <w:szCs w:val="22"/>
          <w:lang w:eastAsia="en-US"/>
        </w:rPr>
        <w:t>12.</w:t>
      </w:r>
      <w:r w:rsidRPr="00A502DC">
        <w:rPr>
          <w:rFonts w:eastAsia="Calibri"/>
          <w:szCs w:val="22"/>
          <w:lang w:eastAsia="en-US"/>
        </w:rPr>
        <w:tab/>
        <w:t>Artikel 12</w:t>
      </w:r>
      <w:r w:rsidRPr="00A502DC">
        <w:rPr>
          <w:rFonts w:eastAsia="Calibri"/>
          <w:i/>
          <w:szCs w:val="22"/>
          <w:lang w:eastAsia="en-US"/>
        </w:rPr>
        <w:t xml:space="preserve"> </w:t>
      </w:r>
      <w:r w:rsidRPr="00A502DC">
        <w:rPr>
          <w:rFonts w:eastAsia="Calibri"/>
          <w:szCs w:val="22"/>
          <w:lang w:eastAsia="en-US"/>
        </w:rPr>
        <w:t>ska ersättas med följande:</w:t>
      </w:r>
    </w:p>
    <w:p w14:paraId="64FCD946" w14:textId="77777777" w:rsidR="00B42845" w:rsidRPr="00A502DC" w:rsidRDefault="00B42845" w:rsidP="00B42845">
      <w:pPr>
        <w:widowControl/>
        <w:shd w:val="clear" w:color="auto" w:fill="FFFFFF"/>
        <w:spacing w:before="120" w:line="360" w:lineRule="auto"/>
        <w:jc w:val="both"/>
        <w:rPr>
          <w:rFonts w:eastAsia="Calibri"/>
          <w:szCs w:val="22"/>
          <w:lang w:eastAsia="en-US"/>
        </w:rPr>
      </w:pPr>
    </w:p>
    <w:p w14:paraId="532846DE" w14:textId="77777777" w:rsidR="00B42845" w:rsidRPr="00A502DC" w:rsidRDefault="00B42845" w:rsidP="00B42845">
      <w:pPr>
        <w:widowControl/>
        <w:shd w:val="clear" w:color="auto" w:fill="FFFFFF"/>
        <w:spacing w:before="120" w:line="360" w:lineRule="auto"/>
        <w:ind w:left="2880" w:firstLine="720"/>
        <w:jc w:val="both"/>
        <w:rPr>
          <w:rFonts w:eastAsia="Calibri"/>
          <w:szCs w:val="22"/>
          <w:lang w:eastAsia="en-US"/>
        </w:rPr>
      </w:pPr>
      <w:r w:rsidRPr="00A502DC">
        <w:rPr>
          <w:rFonts w:eastAsia="Calibri"/>
          <w:szCs w:val="22"/>
          <w:lang w:eastAsia="en-US"/>
        </w:rPr>
        <w:t>”Artikel 12</w:t>
      </w:r>
    </w:p>
    <w:p w14:paraId="4B3396D4" w14:textId="77777777" w:rsidR="00B42845" w:rsidRPr="00A502DC" w:rsidRDefault="00B42845" w:rsidP="00B42845">
      <w:pPr>
        <w:widowControl/>
        <w:shd w:val="clear" w:color="auto" w:fill="FFFFFF"/>
        <w:spacing w:before="120" w:line="360" w:lineRule="auto"/>
        <w:rPr>
          <w:rFonts w:eastAsia="Calibri"/>
          <w:color w:val="000000"/>
          <w:szCs w:val="22"/>
          <w:lang w:eastAsia="en-US"/>
        </w:rPr>
      </w:pPr>
      <w:r w:rsidRPr="00A502DC">
        <w:rPr>
          <w:rFonts w:eastAsia="Calibri"/>
          <w:szCs w:val="22"/>
          <w:lang w:eastAsia="en-US"/>
        </w:rPr>
        <w:t>M</w:t>
      </w:r>
      <w:r w:rsidRPr="00A502DC">
        <w:rPr>
          <w:rFonts w:eastAsia="Calibri"/>
          <w:color w:val="000000"/>
          <w:szCs w:val="22"/>
          <w:lang w:eastAsia="en-US"/>
        </w:rPr>
        <w:t>edlemsstaterna ska säkerställa att åtgärder som vidtagits för iakttagande av kapitlen II, III och IV är konsekventa för och täcker alla delsektorer av offentlig förvaltning. Medlemsstaterna ska för detta ändamål i synnerhet kräva att redovisningsregler och redovisningsförfaranden för offentlig förvaltning är konsekventa och att bakomliggande insamlings- och bearbetningssystem för datauppgifter är tillförlitliga.”.</w:t>
      </w:r>
    </w:p>
    <w:p w14:paraId="152E173D" w14:textId="77777777" w:rsidR="00B42845" w:rsidRPr="00A502DC" w:rsidRDefault="00B42845" w:rsidP="00B42845">
      <w:pPr>
        <w:widowControl/>
        <w:shd w:val="clear" w:color="auto" w:fill="FFFFFF"/>
        <w:spacing w:before="120" w:line="360" w:lineRule="auto"/>
        <w:jc w:val="both"/>
        <w:rPr>
          <w:rFonts w:eastAsia="Calibri"/>
          <w:iCs/>
          <w:szCs w:val="22"/>
          <w:lang w:eastAsia="en-US"/>
        </w:rPr>
      </w:pPr>
    </w:p>
    <w:p w14:paraId="243E38EF" w14:textId="77777777" w:rsidR="00B42845" w:rsidRPr="00A502DC" w:rsidRDefault="00B42845" w:rsidP="00B42845">
      <w:pPr>
        <w:widowControl/>
        <w:shd w:val="clear" w:color="auto" w:fill="FFFFFF"/>
        <w:spacing w:before="120" w:line="360" w:lineRule="auto"/>
        <w:ind w:left="567" w:hanging="567"/>
        <w:rPr>
          <w:rFonts w:eastAsia="Calibri"/>
          <w:iCs/>
          <w:szCs w:val="22"/>
          <w:lang w:eastAsia="en-US"/>
        </w:rPr>
      </w:pPr>
      <w:r w:rsidRPr="00A502DC">
        <w:rPr>
          <w:rFonts w:eastAsia="Calibri"/>
          <w:szCs w:val="22"/>
          <w:lang w:eastAsia="en-US"/>
        </w:rPr>
        <w:lastRenderedPageBreak/>
        <w:t>13.</w:t>
      </w:r>
      <w:r w:rsidRPr="00A502DC">
        <w:rPr>
          <w:rFonts w:eastAsia="Calibri"/>
          <w:szCs w:val="22"/>
          <w:lang w:eastAsia="en-US"/>
        </w:rPr>
        <w:tab/>
        <w:t>Artikel 14 ska ersättas med följande:</w:t>
      </w:r>
    </w:p>
    <w:p w14:paraId="021ADE07" w14:textId="77777777" w:rsidR="00B42845" w:rsidRPr="00A502DC" w:rsidRDefault="00B42845" w:rsidP="00B42845">
      <w:pPr>
        <w:widowControl/>
        <w:spacing w:before="120" w:after="120" w:line="360" w:lineRule="auto"/>
        <w:ind w:left="850"/>
        <w:jc w:val="both"/>
        <w:rPr>
          <w:rFonts w:eastAsia="Calibri"/>
          <w:szCs w:val="22"/>
          <w:lang w:eastAsia="en-US"/>
        </w:rPr>
      </w:pPr>
    </w:p>
    <w:p w14:paraId="5BC464AB" w14:textId="77777777" w:rsidR="00B42845" w:rsidRPr="00A502DC" w:rsidRDefault="00B42845" w:rsidP="00B42845">
      <w:pPr>
        <w:widowControl/>
        <w:shd w:val="clear" w:color="auto" w:fill="FFFFFF"/>
        <w:spacing w:before="120" w:line="360" w:lineRule="auto"/>
        <w:ind w:left="2880" w:firstLine="720"/>
        <w:jc w:val="both"/>
        <w:rPr>
          <w:rFonts w:eastAsia="Calibri"/>
          <w:szCs w:val="22"/>
          <w:lang w:eastAsia="en-US"/>
        </w:rPr>
      </w:pPr>
      <w:r w:rsidRPr="00A502DC">
        <w:rPr>
          <w:rFonts w:eastAsia="Calibri"/>
          <w:szCs w:val="22"/>
          <w:lang w:eastAsia="en-US"/>
        </w:rPr>
        <w:t>”Artikel 14</w:t>
      </w:r>
    </w:p>
    <w:p w14:paraId="1856E1D2" w14:textId="77777777" w:rsidR="00B42845" w:rsidRPr="00A502DC" w:rsidRDefault="00B42845" w:rsidP="00B42845">
      <w:pPr>
        <w:widowControl/>
        <w:spacing w:before="120" w:after="120" w:line="360" w:lineRule="auto"/>
        <w:ind w:left="567" w:hanging="567"/>
        <w:rPr>
          <w:rFonts w:eastAsia="Calibri"/>
          <w:szCs w:val="22"/>
          <w:lang w:eastAsia="en-US"/>
        </w:rPr>
      </w:pPr>
      <w:r w:rsidRPr="00A502DC">
        <w:rPr>
          <w:rFonts w:eastAsia="Calibri"/>
          <w:szCs w:val="22"/>
          <w:lang w:eastAsia="en-US"/>
        </w:rPr>
        <w:t>1.</w:t>
      </w:r>
      <w:r w:rsidRPr="00A502DC">
        <w:rPr>
          <w:rFonts w:eastAsia="Calibri"/>
          <w:szCs w:val="22"/>
          <w:lang w:eastAsia="en-US"/>
        </w:rPr>
        <w:tab/>
        <w:t>Inom ramen för de årliga och fleråriga budgetförfarandena ska medlemsstaterna offentliggöra information om organ och medel som inte ingår i de ordinarie budgetarna men som ingår i offentlig förvaltning, inbegripet i delsektorer av offentlig förvaltning. Medlemsstaterna ska även offentliggöra belopp avseende dessa organs och medels samlade inverkan på offentliga saldon och skulder.</w:t>
      </w:r>
    </w:p>
    <w:p w14:paraId="5821FCC5" w14:textId="77777777" w:rsidR="00B42845" w:rsidRPr="00A502DC" w:rsidRDefault="00B42845" w:rsidP="00B42845">
      <w:pPr>
        <w:widowControl/>
        <w:spacing w:before="120" w:after="120" w:line="360" w:lineRule="auto"/>
        <w:ind w:left="567" w:hanging="567"/>
        <w:rPr>
          <w:rFonts w:eastAsia="Calibri"/>
          <w:szCs w:val="22"/>
          <w:lang w:eastAsia="en-US"/>
        </w:rPr>
      </w:pPr>
      <w:r w:rsidRPr="00A502DC">
        <w:rPr>
          <w:rFonts w:eastAsia="Calibri"/>
          <w:szCs w:val="22"/>
          <w:lang w:eastAsia="en-US"/>
        </w:rPr>
        <w:t>2.</w:t>
      </w:r>
      <w:r w:rsidRPr="00A502DC">
        <w:rPr>
          <w:rFonts w:eastAsia="Calibri"/>
          <w:szCs w:val="22"/>
          <w:lang w:eastAsia="en-US"/>
        </w:rPr>
        <w:tab/>
        <w:t>Medlemsstaterna ska offentliggöra närmare uppgifter om hur skatteutgifter påverkar inkomster.</w:t>
      </w:r>
    </w:p>
    <w:p w14:paraId="2AEAF659" w14:textId="77777777" w:rsidR="00B42845" w:rsidRPr="00A502DC" w:rsidRDefault="00B42845" w:rsidP="00B42845">
      <w:pPr>
        <w:widowControl/>
        <w:spacing w:before="120" w:after="120" w:line="360" w:lineRule="auto"/>
        <w:ind w:left="567" w:hanging="567"/>
        <w:rPr>
          <w:rFonts w:eastAsia="Calibri"/>
          <w:szCs w:val="22"/>
          <w:lang w:eastAsia="en-US"/>
        </w:rPr>
      </w:pPr>
      <w:r w:rsidRPr="00A502DC">
        <w:rPr>
          <w:rFonts w:eastAsia="Calibri"/>
          <w:szCs w:val="22"/>
          <w:lang w:eastAsia="en-US"/>
        </w:rPr>
        <w:t>3.</w:t>
      </w:r>
      <w:r w:rsidRPr="00A502DC">
        <w:rPr>
          <w:rFonts w:eastAsia="Calibri"/>
          <w:szCs w:val="22"/>
          <w:lang w:eastAsia="en-US"/>
        </w:rPr>
        <w:tab/>
        <w:t>För alla delsektorer av offentlig förvaltning ska medlemsstaterna offentliggöra relevanta uppgifter om ansvarsförbindelser med potentiellt stor påverkan på offentliga budgetar, inklusive offentliga garantier, nödlidande lån och skulder som härrör från offentliga bolags verksamhet, inklusive deras omfattning. Medlemsstaterna ska så långt det är möjligt även offentliggöra uppgifter om katastrof- och klimatrelaterade ansvarsförbindelser. De uppgifter som offentliggörs ska i den mån det är möjligt beakta uppgifter om offentligfinansiella kostnader till följd av katastrof- och klimatrelaterade chocker. Medlemsstaterna ska offentliggöra information om den offentliga förvaltningens ägande i privata och offentliga bolag avseende belopp som är ekonomiskt signifikanta.”</w:t>
      </w:r>
    </w:p>
    <w:p w14:paraId="12F97393" w14:textId="77777777" w:rsidR="00B42845" w:rsidRPr="00A502DC" w:rsidRDefault="00B42845" w:rsidP="00B42845">
      <w:pPr>
        <w:widowControl/>
        <w:shd w:val="clear" w:color="auto" w:fill="FFFFFF"/>
        <w:spacing w:before="120" w:line="360" w:lineRule="auto"/>
        <w:jc w:val="both"/>
        <w:rPr>
          <w:color w:val="000000"/>
          <w:szCs w:val="24"/>
          <w:lang w:eastAsia="pt-PT"/>
        </w:rPr>
      </w:pPr>
    </w:p>
    <w:p w14:paraId="06D38D92" w14:textId="77777777" w:rsidR="00B42845" w:rsidRPr="00A502DC" w:rsidRDefault="00B42845" w:rsidP="00B42845">
      <w:pPr>
        <w:widowControl/>
        <w:shd w:val="clear" w:color="auto" w:fill="FFFFFF"/>
        <w:spacing w:before="120" w:line="360" w:lineRule="auto"/>
        <w:ind w:left="567" w:hanging="567"/>
        <w:rPr>
          <w:rFonts w:eastAsia="Calibri"/>
          <w:color w:val="000000"/>
          <w:szCs w:val="22"/>
          <w:lang w:eastAsia="en-US"/>
        </w:rPr>
      </w:pPr>
      <w:r w:rsidRPr="00A502DC">
        <w:rPr>
          <w:rFonts w:eastAsia="Calibri"/>
          <w:color w:val="000000"/>
          <w:szCs w:val="22"/>
          <w:lang w:eastAsia="en-US"/>
        </w:rPr>
        <w:t>14.</w:t>
      </w:r>
      <w:r w:rsidRPr="00A502DC">
        <w:rPr>
          <w:rFonts w:eastAsia="Calibri"/>
          <w:color w:val="000000"/>
          <w:szCs w:val="22"/>
          <w:lang w:eastAsia="en-US"/>
        </w:rPr>
        <w:tab/>
        <w:t>Artikel 15 ska ersättas med följande:</w:t>
      </w:r>
    </w:p>
    <w:p w14:paraId="7CEAD23B" w14:textId="77777777" w:rsidR="00B42845" w:rsidRPr="00A502DC" w:rsidRDefault="00B42845" w:rsidP="00B42845">
      <w:pPr>
        <w:widowControl/>
        <w:spacing w:before="120" w:after="120" w:line="360" w:lineRule="auto"/>
        <w:ind w:left="850"/>
        <w:jc w:val="both"/>
        <w:rPr>
          <w:rFonts w:eastAsia="Calibri"/>
          <w:szCs w:val="22"/>
          <w:lang w:eastAsia="en-US"/>
        </w:rPr>
      </w:pPr>
    </w:p>
    <w:p w14:paraId="57902A7A" w14:textId="77777777" w:rsidR="00B42845" w:rsidRPr="00A502DC" w:rsidRDefault="00B42845" w:rsidP="00B42845">
      <w:pPr>
        <w:widowControl/>
        <w:shd w:val="clear" w:color="auto" w:fill="FFFFFF"/>
        <w:spacing w:before="120" w:line="360" w:lineRule="auto"/>
        <w:ind w:left="2880" w:firstLine="720"/>
        <w:jc w:val="both"/>
        <w:rPr>
          <w:rFonts w:eastAsia="Calibri"/>
          <w:szCs w:val="22"/>
          <w:lang w:eastAsia="en-US"/>
        </w:rPr>
      </w:pPr>
      <w:r w:rsidRPr="00A502DC">
        <w:rPr>
          <w:rFonts w:eastAsia="Calibri"/>
          <w:szCs w:val="22"/>
          <w:lang w:eastAsia="en-US"/>
        </w:rPr>
        <w:t>”Artikel 15</w:t>
      </w:r>
    </w:p>
    <w:p w14:paraId="50BA6CB3" w14:textId="77777777" w:rsidR="00B42845" w:rsidRPr="00A502DC" w:rsidRDefault="00B42845" w:rsidP="00B42845">
      <w:pPr>
        <w:widowControl/>
        <w:shd w:val="clear" w:color="auto" w:fill="FFFFFF"/>
        <w:spacing w:before="120" w:line="360" w:lineRule="auto"/>
        <w:ind w:left="567" w:hanging="567"/>
        <w:rPr>
          <w:rFonts w:eastAsia="Calibri"/>
          <w:color w:val="000000"/>
          <w:szCs w:val="22"/>
          <w:lang w:eastAsia="en-US"/>
        </w:rPr>
      </w:pPr>
      <w:r w:rsidRPr="00A502DC">
        <w:rPr>
          <w:rFonts w:eastAsia="Calibri"/>
          <w:color w:val="000000"/>
          <w:szCs w:val="22"/>
          <w:lang w:eastAsia="en-US"/>
        </w:rPr>
        <w:t>1.</w:t>
      </w:r>
      <w:r w:rsidRPr="00A502DC">
        <w:rPr>
          <w:rFonts w:eastAsia="Calibri"/>
          <w:color w:val="000000"/>
          <w:szCs w:val="22"/>
          <w:lang w:eastAsia="en-US"/>
        </w:rPr>
        <w:tab/>
        <w:t>Medlemsstaterna ska senast den 31 december 2025 sätta i kraft de lagar och andra författningar som är nödvändiga för att följa detta direktiv. De ska genast överlämna texten till dessa bestämmelser till kommissionen. Rådet uppmanar medlemsstaterna att, för egen del och i unionens intresse, upprätta egna jämförelsetabeller som så långt det är möjligt illustrerar korrelationen mellan direktivet och införlivandeåtgärderna samt att offentliggöra dem.</w:t>
      </w:r>
    </w:p>
    <w:p w14:paraId="1AE8FBD3" w14:textId="77777777" w:rsidR="00B42845" w:rsidRPr="00A502DC" w:rsidRDefault="00B42845" w:rsidP="00B42845">
      <w:pPr>
        <w:widowControl/>
        <w:shd w:val="clear" w:color="auto" w:fill="FFFFFF"/>
        <w:spacing w:before="120" w:line="360" w:lineRule="auto"/>
        <w:ind w:left="567" w:hanging="567"/>
        <w:rPr>
          <w:color w:val="000000"/>
          <w:szCs w:val="24"/>
          <w:lang w:eastAsia="en-US"/>
        </w:rPr>
      </w:pPr>
      <w:r w:rsidRPr="00A502DC">
        <w:rPr>
          <w:rFonts w:eastAsia="Calibri"/>
          <w:color w:val="000000"/>
          <w:szCs w:val="22"/>
          <w:lang w:eastAsia="en-US"/>
        </w:rPr>
        <w:lastRenderedPageBreak/>
        <w:t>2.</w:t>
      </w:r>
      <w:r w:rsidRPr="00A502DC">
        <w:rPr>
          <w:rFonts w:eastAsia="Calibri"/>
          <w:color w:val="000000"/>
          <w:szCs w:val="22"/>
          <w:lang w:eastAsia="en-US"/>
        </w:rPr>
        <w:tab/>
        <w:t>När en medlemsstat antar dessa bestämmelser ska de innehålla en hänvisning till detta direktiv eller åtföljas av en sådan hänvisning när de offentliggörs. Närmare föreskrifter om hur hänvisningen ska göras ska varje medlemsstat själv utfärda.</w:t>
      </w:r>
    </w:p>
    <w:p w14:paraId="77119D99" w14:textId="77777777" w:rsidR="00B42845" w:rsidRPr="00A502DC" w:rsidRDefault="00B42845" w:rsidP="00B42845">
      <w:pPr>
        <w:widowControl/>
        <w:shd w:val="clear" w:color="auto" w:fill="FFFFFF"/>
        <w:spacing w:before="120" w:line="360" w:lineRule="auto"/>
        <w:ind w:left="567" w:hanging="567"/>
        <w:rPr>
          <w:rFonts w:eastAsia="Calibri"/>
          <w:color w:val="000000"/>
          <w:szCs w:val="22"/>
          <w:lang w:eastAsia="en-US"/>
        </w:rPr>
      </w:pPr>
      <w:r w:rsidRPr="00A502DC">
        <w:rPr>
          <w:rFonts w:eastAsia="Calibri"/>
          <w:color w:val="000000"/>
          <w:szCs w:val="22"/>
          <w:lang w:eastAsia="en-US"/>
        </w:rPr>
        <w:t>3.</w:t>
      </w:r>
      <w:r w:rsidRPr="00A502DC">
        <w:rPr>
          <w:rFonts w:eastAsia="Calibri"/>
          <w:color w:val="000000"/>
          <w:szCs w:val="22"/>
          <w:lang w:eastAsia="en-US"/>
        </w:rPr>
        <w:tab/>
        <w:t>Kommissionen ska på grundval av relevant information från medlemsstaterna utarbeta en interimsrapport om genomförandet av de viktigaste bestämmelserna i detta direktiv som ska överlämnas till Europaparlamentet och rådet senast den 30 juni 2025</w:t>
      </w:r>
      <w:r w:rsidRPr="00A502DC">
        <w:rPr>
          <w:rFonts w:eastAsia="Calibri"/>
          <w:szCs w:val="22"/>
          <w:lang w:eastAsia="en-US"/>
        </w:rPr>
        <w:t>.</w:t>
      </w:r>
    </w:p>
    <w:p w14:paraId="79D7EF83" w14:textId="77777777" w:rsidR="00B42845" w:rsidRPr="00A502DC" w:rsidRDefault="00B42845" w:rsidP="00B42845">
      <w:pPr>
        <w:widowControl/>
        <w:shd w:val="clear" w:color="auto" w:fill="FFFFFF"/>
        <w:spacing w:before="120" w:line="360" w:lineRule="auto"/>
        <w:ind w:left="567" w:hanging="567"/>
        <w:rPr>
          <w:rFonts w:eastAsia="Calibri"/>
          <w:color w:val="000000"/>
          <w:szCs w:val="22"/>
          <w:lang w:eastAsia="en-US"/>
        </w:rPr>
      </w:pPr>
      <w:r w:rsidRPr="00A502DC">
        <w:rPr>
          <w:rFonts w:eastAsia="Calibri"/>
          <w:color w:val="000000"/>
          <w:szCs w:val="22"/>
          <w:lang w:eastAsia="en-US"/>
        </w:rPr>
        <w:t>4.</w:t>
      </w:r>
      <w:r w:rsidRPr="00A502DC">
        <w:rPr>
          <w:rFonts w:eastAsia="Calibri"/>
          <w:color w:val="000000"/>
          <w:szCs w:val="22"/>
          <w:lang w:eastAsia="en-US"/>
        </w:rPr>
        <w:tab/>
        <w:t>Medlemsstaterna ska underrätta kommissionen om texten till de centrala bestämmelser i nationell rätt som de antar inom det område som omfattas av detta direktiv.”</w:t>
      </w:r>
    </w:p>
    <w:p w14:paraId="6C0C7B62" w14:textId="77777777" w:rsidR="00B42845" w:rsidRPr="00A502DC" w:rsidRDefault="00B42845" w:rsidP="00B42845">
      <w:pPr>
        <w:widowControl/>
        <w:shd w:val="clear" w:color="auto" w:fill="FFFFFF"/>
        <w:spacing w:before="120" w:line="360" w:lineRule="auto"/>
        <w:ind w:left="567" w:hanging="567"/>
        <w:rPr>
          <w:rFonts w:eastAsia="Calibri"/>
          <w:color w:val="000000"/>
          <w:szCs w:val="22"/>
          <w:lang w:eastAsia="en-US"/>
        </w:rPr>
      </w:pPr>
      <w:r w:rsidRPr="00A502DC">
        <w:rPr>
          <w:rFonts w:eastAsia="Calibri"/>
          <w:color w:val="000000"/>
          <w:szCs w:val="22"/>
          <w:lang w:eastAsia="en-US"/>
        </w:rPr>
        <w:t>15.</w:t>
      </w:r>
      <w:r w:rsidRPr="00A502DC">
        <w:rPr>
          <w:rFonts w:eastAsia="Calibri"/>
          <w:color w:val="000000"/>
          <w:szCs w:val="22"/>
          <w:lang w:eastAsia="en-US"/>
        </w:rPr>
        <w:tab/>
        <w:t>Artikel 16 ska utgå.</w:t>
      </w:r>
    </w:p>
    <w:p w14:paraId="35E6561D" w14:textId="77777777" w:rsidR="00B42845" w:rsidRPr="00A502DC" w:rsidRDefault="00B42845" w:rsidP="00B42845">
      <w:pPr>
        <w:widowControl/>
        <w:shd w:val="clear" w:color="auto" w:fill="FFFFFF"/>
        <w:spacing w:before="120" w:line="360" w:lineRule="auto"/>
        <w:jc w:val="both"/>
        <w:rPr>
          <w:rFonts w:eastAsia="Calibri"/>
          <w:color w:val="000000"/>
          <w:szCs w:val="22"/>
          <w:lang w:eastAsia="en-US"/>
        </w:rPr>
      </w:pPr>
    </w:p>
    <w:p w14:paraId="60826595" w14:textId="77777777" w:rsidR="00B42845" w:rsidRPr="00A502DC" w:rsidRDefault="00B42845" w:rsidP="00B42845">
      <w:pPr>
        <w:widowControl/>
        <w:shd w:val="clear" w:color="auto" w:fill="FFFFFF"/>
        <w:spacing w:before="120" w:line="360" w:lineRule="auto"/>
        <w:ind w:left="567" w:hanging="567"/>
        <w:rPr>
          <w:rFonts w:eastAsia="Calibri"/>
          <w:color w:val="000000"/>
          <w:szCs w:val="22"/>
          <w:lang w:eastAsia="en-US"/>
        </w:rPr>
      </w:pPr>
      <w:r w:rsidRPr="00A502DC">
        <w:rPr>
          <w:rFonts w:eastAsia="Calibri"/>
          <w:color w:val="000000"/>
          <w:szCs w:val="22"/>
          <w:lang w:eastAsia="en-US"/>
        </w:rPr>
        <w:t>16.</w:t>
      </w:r>
      <w:r w:rsidRPr="00A502DC">
        <w:rPr>
          <w:rFonts w:eastAsia="Calibri"/>
          <w:color w:val="000000"/>
          <w:szCs w:val="22"/>
          <w:lang w:eastAsia="en-US"/>
        </w:rPr>
        <w:tab/>
        <w:t>Artikel 16a ska läggas till enligt följande:</w:t>
      </w:r>
    </w:p>
    <w:p w14:paraId="057FF72C" w14:textId="77777777" w:rsidR="00B42845" w:rsidRPr="00A502DC" w:rsidRDefault="00B42845" w:rsidP="00B42845">
      <w:pPr>
        <w:widowControl/>
        <w:shd w:val="clear" w:color="auto" w:fill="FFFFFF"/>
        <w:spacing w:before="120" w:line="360" w:lineRule="auto"/>
        <w:ind w:left="2880" w:firstLine="720"/>
        <w:jc w:val="both"/>
        <w:rPr>
          <w:rFonts w:eastAsia="Calibri"/>
          <w:szCs w:val="22"/>
          <w:lang w:eastAsia="en-US"/>
        </w:rPr>
      </w:pPr>
      <w:r w:rsidRPr="00A502DC">
        <w:rPr>
          <w:rFonts w:eastAsia="Calibri"/>
          <w:szCs w:val="22"/>
          <w:lang w:eastAsia="en-US"/>
        </w:rPr>
        <w:t>”Artikel 16a</w:t>
      </w:r>
    </w:p>
    <w:p w14:paraId="193A17FF" w14:textId="77777777" w:rsidR="00B42845" w:rsidRPr="00A502DC" w:rsidRDefault="00B42845" w:rsidP="00B42845">
      <w:pPr>
        <w:widowControl/>
        <w:shd w:val="clear" w:color="auto" w:fill="FFFFFF"/>
        <w:spacing w:before="120" w:line="360" w:lineRule="auto"/>
        <w:ind w:left="567" w:hanging="567"/>
        <w:rPr>
          <w:rFonts w:eastAsia="Calibri"/>
          <w:color w:val="000000"/>
          <w:szCs w:val="22"/>
          <w:lang w:eastAsia="en-US"/>
        </w:rPr>
      </w:pPr>
      <w:r w:rsidRPr="00A502DC">
        <w:rPr>
          <w:rFonts w:eastAsia="Calibri"/>
          <w:color w:val="000000"/>
          <w:szCs w:val="22"/>
          <w:lang w:eastAsia="en-US"/>
        </w:rPr>
        <w:t>1.</w:t>
      </w:r>
      <w:r w:rsidRPr="00A502DC">
        <w:rPr>
          <w:rFonts w:eastAsia="Calibri"/>
          <w:color w:val="000000"/>
          <w:szCs w:val="22"/>
          <w:lang w:eastAsia="en-US"/>
        </w:rPr>
        <w:tab/>
        <w:t>Senast den 31 december 2025, och därefter vart femte år ska kommissionen rapportera om det aktuella läget vad gäller följande:</w:t>
      </w:r>
    </w:p>
    <w:p w14:paraId="64B75046" w14:textId="77777777" w:rsidR="00B42845" w:rsidRPr="00A502DC" w:rsidRDefault="00B42845" w:rsidP="00B42845">
      <w:pPr>
        <w:widowControl/>
        <w:shd w:val="clear" w:color="auto" w:fill="FFFFFF"/>
        <w:spacing w:before="120" w:line="360" w:lineRule="auto"/>
        <w:ind w:left="1134" w:hanging="567"/>
        <w:rPr>
          <w:rFonts w:eastAsia="Calibri"/>
          <w:color w:val="000000"/>
          <w:szCs w:val="22"/>
          <w:lang w:eastAsia="en-US"/>
        </w:rPr>
      </w:pPr>
      <w:r w:rsidRPr="00A502DC">
        <w:rPr>
          <w:rFonts w:eastAsia="Calibri"/>
          <w:color w:val="000000"/>
          <w:szCs w:val="22"/>
          <w:lang w:eastAsia="en-US"/>
        </w:rPr>
        <w:t>a)</w:t>
      </w:r>
      <w:r w:rsidRPr="00A502DC">
        <w:rPr>
          <w:rFonts w:eastAsia="Calibri"/>
          <w:color w:val="000000"/>
          <w:szCs w:val="22"/>
          <w:lang w:eastAsia="en-US"/>
        </w:rPr>
        <w:tab/>
        <w:t>Redovisningen för den offentliga sektorn från den offentliga förvaltningen inom unionen, varvid hänsyn ska tas till de framsteg som har gjorts sedan dess bedömning 2013 av hur ändamålsenliga de internationella redovisningsstandarderna för offentlig sektor är för medlemsstaterna.</w:t>
      </w:r>
    </w:p>
    <w:p w14:paraId="678F87EF" w14:textId="77777777" w:rsidR="00B42845" w:rsidRPr="00A502DC" w:rsidRDefault="00B42845" w:rsidP="00B42845">
      <w:pPr>
        <w:widowControl/>
        <w:shd w:val="clear" w:color="auto" w:fill="FFFFFF"/>
        <w:spacing w:before="120" w:line="360" w:lineRule="auto"/>
        <w:ind w:left="1134" w:hanging="567"/>
        <w:rPr>
          <w:rFonts w:eastAsia="Calibri"/>
          <w:color w:val="000000"/>
          <w:szCs w:val="22"/>
          <w:lang w:eastAsia="en-US"/>
        </w:rPr>
      </w:pPr>
      <w:r w:rsidRPr="00A502DC">
        <w:rPr>
          <w:rFonts w:eastAsia="Calibri"/>
          <w:color w:val="000000"/>
          <w:szCs w:val="22"/>
          <w:lang w:eastAsia="en-US"/>
        </w:rPr>
        <w:t>b)</w:t>
      </w:r>
      <w:r w:rsidRPr="00A502DC">
        <w:rPr>
          <w:rFonts w:eastAsia="Calibri"/>
          <w:color w:val="000000"/>
          <w:szCs w:val="22"/>
          <w:lang w:eastAsia="en-US"/>
        </w:rPr>
        <w:tab/>
        <w:t>EU:s oberoende finanspolitiska institutioners kapacitet och uppgifter, med beaktande av de framsteg som gjorts sedan detta direktiv trädde i kraft, på grundval av resultaten från kommissionens databas för finanspolitisk styrning och samråd med berörda parter, för att utreda minimistandarder.</w:t>
      </w:r>
    </w:p>
    <w:p w14:paraId="085EDB5B" w14:textId="77777777" w:rsidR="00B42845" w:rsidRPr="00A502DC" w:rsidRDefault="00B42845" w:rsidP="00B42845">
      <w:pPr>
        <w:widowControl/>
        <w:shd w:val="clear" w:color="auto" w:fill="FFFFFF"/>
        <w:spacing w:before="120" w:line="360" w:lineRule="auto"/>
        <w:ind w:left="567" w:hanging="567"/>
        <w:rPr>
          <w:rFonts w:eastAsia="Calibri"/>
          <w:color w:val="000000"/>
          <w:szCs w:val="22"/>
          <w:lang w:eastAsia="en-US"/>
        </w:rPr>
      </w:pPr>
      <w:r w:rsidRPr="00A502DC">
        <w:rPr>
          <w:rFonts w:eastAsia="Calibri"/>
          <w:color w:val="000000"/>
          <w:szCs w:val="22"/>
          <w:lang w:eastAsia="en-US"/>
        </w:rPr>
        <w:t>2.</w:t>
      </w:r>
      <w:r w:rsidRPr="00A502DC">
        <w:rPr>
          <w:rFonts w:eastAsia="Calibri"/>
          <w:color w:val="000000"/>
          <w:szCs w:val="22"/>
          <w:lang w:eastAsia="en-US"/>
        </w:rPr>
        <w:tab/>
        <w:t>Senast den 31 december 2030 och därefter vart femte år ska kommissionen offentliggöra en översyn av hur ändamålsenligt detta direktiv är.” </w:t>
      </w:r>
    </w:p>
    <w:p w14:paraId="3A11EB61" w14:textId="77777777" w:rsidR="00B42845" w:rsidRPr="00A502DC" w:rsidRDefault="00B42845" w:rsidP="00B42845">
      <w:pPr>
        <w:widowControl/>
        <w:spacing w:before="120" w:after="120"/>
        <w:rPr>
          <w:rFonts w:eastAsia="Calibri"/>
          <w:szCs w:val="22"/>
          <w:lang w:eastAsia="en-US"/>
        </w:rPr>
      </w:pPr>
    </w:p>
    <w:p w14:paraId="5C7FC05A" w14:textId="77777777" w:rsidR="00B42845" w:rsidRPr="00A502DC" w:rsidRDefault="00B42845" w:rsidP="00B42845">
      <w:pPr>
        <w:keepNext/>
        <w:widowControl/>
        <w:spacing w:before="120"/>
        <w:rPr>
          <w:rFonts w:eastAsia="Calibri"/>
          <w:szCs w:val="22"/>
          <w:lang w:eastAsia="en-US"/>
        </w:rPr>
      </w:pPr>
      <w:r w:rsidRPr="00A502DC">
        <w:rPr>
          <w:rFonts w:eastAsia="Calibri"/>
          <w:szCs w:val="22"/>
          <w:lang w:eastAsia="en-US"/>
        </w:rPr>
        <w:t>Utfärdat i Bryssel den</w:t>
      </w:r>
    </w:p>
    <w:p w14:paraId="2C032DEA" w14:textId="77777777" w:rsidR="00B42845" w:rsidRPr="00A502DC" w:rsidRDefault="00B42845" w:rsidP="00B42845">
      <w:pPr>
        <w:keepNext/>
        <w:widowControl/>
        <w:tabs>
          <w:tab w:val="left" w:pos="4252"/>
        </w:tabs>
        <w:spacing w:before="720"/>
        <w:jc w:val="both"/>
        <w:rPr>
          <w:rFonts w:eastAsia="Calibri"/>
          <w:i/>
          <w:szCs w:val="22"/>
          <w:lang w:eastAsia="en-US"/>
        </w:rPr>
      </w:pPr>
      <w:r w:rsidRPr="00A502DC">
        <w:rPr>
          <w:rFonts w:eastAsia="Calibri"/>
          <w:i/>
          <w:szCs w:val="22"/>
          <w:lang w:eastAsia="en-US"/>
        </w:rPr>
        <w:tab/>
        <w:t>På rådets vägnar</w:t>
      </w:r>
    </w:p>
    <w:p w14:paraId="11052F18" w14:textId="77777777" w:rsidR="00B42845" w:rsidRPr="00A502DC" w:rsidRDefault="00B42845" w:rsidP="00B42845">
      <w:pPr>
        <w:widowControl/>
        <w:tabs>
          <w:tab w:val="left" w:pos="4252"/>
        </w:tabs>
        <w:rPr>
          <w:rFonts w:eastAsia="Calibri"/>
          <w:i/>
          <w:szCs w:val="22"/>
          <w:lang w:eastAsia="en-US"/>
        </w:rPr>
      </w:pPr>
      <w:r w:rsidRPr="00A502DC">
        <w:rPr>
          <w:rFonts w:eastAsia="Calibri"/>
          <w:i/>
          <w:szCs w:val="22"/>
          <w:lang w:eastAsia="en-US"/>
        </w:rPr>
        <w:tab/>
        <w:t>Ordförande</w:t>
      </w:r>
    </w:p>
    <w:p w14:paraId="557925E2" w14:textId="77777777" w:rsidR="00E365E1" w:rsidRPr="00A502DC" w:rsidRDefault="00E365E1" w:rsidP="007D5957">
      <w:pPr>
        <w:spacing w:line="360" w:lineRule="auto"/>
        <w:rPr>
          <w:szCs w:val="24"/>
        </w:rPr>
      </w:pPr>
      <w:bookmarkStart w:id="9" w:name="TextBodyEnd"/>
      <w:bookmarkEnd w:id="9"/>
    </w:p>
    <w:sectPr w:rsidR="00E365E1" w:rsidRPr="00A502DC" w:rsidSect="00EA43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4C8D6C" w14:textId="77777777" w:rsidR="002A2643" w:rsidRPr="00EA4360" w:rsidRDefault="002A2643">
      <w:r w:rsidRPr="00EA4360">
        <w:separator/>
      </w:r>
    </w:p>
  </w:endnote>
  <w:endnote w:type="continuationSeparator" w:id="0">
    <w:p w14:paraId="07B2A9C0" w14:textId="77777777" w:rsidR="002A2643" w:rsidRPr="00EA4360" w:rsidRDefault="002A2643">
      <w:r w:rsidRPr="00EA43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8710B" w14:textId="77777777" w:rsidR="00064002" w:rsidRPr="00EA43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4ECEF" w14:textId="77777777" w:rsidR="00064002" w:rsidRPr="00EA43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DC9D2" w14:textId="77777777" w:rsidR="00064002" w:rsidRPr="00EA43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0FAE7" w14:textId="77777777" w:rsidR="002A2643" w:rsidRPr="00EA4360" w:rsidRDefault="002A2643">
      <w:r w:rsidRPr="00EA4360">
        <w:separator/>
      </w:r>
    </w:p>
  </w:footnote>
  <w:footnote w:type="continuationSeparator" w:id="0">
    <w:p w14:paraId="0B29DE4A" w14:textId="77777777" w:rsidR="002A2643" w:rsidRPr="00EA4360" w:rsidRDefault="002A2643">
      <w:r w:rsidRPr="00EA4360">
        <w:continuationSeparator/>
      </w:r>
    </w:p>
  </w:footnote>
  <w:footnote w:id="1">
    <w:p w14:paraId="522E0873" w14:textId="77777777" w:rsidR="00F8774C" w:rsidRPr="00EA4360" w:rsidRDefault="00F8774C" w:rsidP="007D5957">
      <w:pPr>
        <w:pStyle w:val="FootnoteText"/>
        <w:ind w:left="851" w:hanging="851"/>
        <w:rPr>
          <w:sz w:val="24"/>
          <w:lang w:val="sv-SE"/>
        </w:rPr>
      </w:pPr>
      <w:r w:rsidRPr="00EA4360">
        <w:rPr>
          <w:rStyle w:val="FootnoteReference"/>
          <w:sz w:val="24"/>
          <w:lang w:val="sv-SE"/>
        </w:rPr>
        <w:t>*</w:t>
      </w:r>
      <w:r w:rsidR="00EA4360" w:rsidRPr="00EA4360">
        <w:rPr>
          <w:sz w:val="24"/>
          <w:lang w:val="sv-SE"/>
        </w:rPr>
        <w:t xml:space="preserve"> </w:t>
      </w:r>
      <w:r w:rsidR="00EA4360" w:rsidRPr="00EA4360">
        <w:rPr>
          <w:sz w:val="24"/>
          <w:lang w:val="sv-SE"/>
        </w:rPr>
        <w:tab/>
      </w:r>
      <w:r w:rsidRPr="00EA4360">
        <w:rPr>
          <w:sz w:val="24"/>
          <w:lang w:val="sv-SE"/>
        </w:rPr>
        <w:t xml:space="preserve">Ändringar: Nya textdelar markeras med </w:t>
      </w:r>
      <w:r w:rsidRPr="00EA4360">
        <w:rPr>
          <w:b/>
          <w:bCs/>
          <w:i/>
          <w:iCs/>
          <w:sz w:val="24"/>
          <w:lang w:val="sv-SE"/>
        </w:rPr>
        <w:t>fetkursiv stil</w:t>
      </w:r>
      <w:r w:rsidRPr="00EA4360">
        <w:rPr>
          <w:sz w:val="24"/>
          <w:lang w:val="sv-SE"/>
        </w:rPr>
        <w:t>. och strykningar med symbolen ▌.</w:t>
      </w:r>
    </w:p>
  </w:footnote>
  <w:footnote w:id="2">
    <w:p w14:paraId="1AC00DA8" w14:textId="4878F471"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EUT C 290, 18.8.2023, s.</w:t>
      </w:r>
      <w:r w:rsidR="000235CF">
        <w:rPr>
          <w:sz w:val="24"/>
          <w:szCs w:val="24"/>
          <w:lang w:val="sv-SE"/>
        </w:rPr>
        <w:t xml:space="preserve"> </w:t>
      </w:r>
      <w:bookmarkStart w:id="8" w:name="_GoBack"/>
      <w:bookmarkEnd w:id="8"/>
      <w:r w:rsidRPr="007D5957">
        <w:rPr>
          <w:sz w:val="24"/>
          <w:szCs w:val="24"/>
          <w:lang w:val="sv-SE"/>
        </w:rPr>
        <w:t>17.</w:t>
      </w:r>
    </w:p>
  </w:footnote>
  <w:footnote w:id="3">
    <w:p w14:paraId="54D89982" w14:textId="77777777"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Rådets direktiv 2011/85/EU av den 8 november 2011 om krav på medlemsstaternas budgetramverk (EUT L 306, 23.11.2011, s. 41).</w:t>
      </w:r>
    </w:p>
  </w:footnote>
  <w:footnote w:id="4">
    <w:p w14:paraId="1485E1E7" w14:textId="77777777"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 xml:space="preserve">Europeiska revisionsrättens särskilda rapport från 2019: </w:t>
      </w:r>
      <w:r w:rsidRPr="007D5957">
        <w:rPr>
          <w:i/>
          <w:iCs/>
          <w:sz w:val="24"/>
          <w:szCs w:val="24"/>
          <w:lang w:val="sv-SE"/>
        </w:rPr>
        <w:t>EU:s krav på nationella budgetramverk: kraven behöver skärpas och tillämpningen övervakas bättre</w:t>
      </w:r>
      <w:r w:rsidRPr="007D5957">
        <w:rPr>
          <w:sz w:val="24"/>
          <w:szCs w:val="24"/>
          <w:lang w:val="sv-SE"/>
        </w:rPr>
        <w:t>.</w:t>
      </w:r>
    </w:p>
  </w:footnote>
  <w:footnote w:id="5">
    <w:p w14:paraId="6F380DF1" w14:textId="2710BEEB"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Kom</w:t>
      </w:r>
      <w:r w:rsidR="000235CF">
        <w:rPr>
          <w:sz w:val="24"/>
          <w:szCs w:val="24"/>
          <w:lang w:val="sv-SE"/>
        </w:rPr>
        <w:t>missionens meddelande COM(2020)0055</w:t>
      </w:r>
      <w:r w:rsidRPr="007D5957">
        <w:rPr>
          <w:sz w:val="24"/>
          <w:szCs w:val="24"/>
          <w:lang w:val="sv-SE"/>
        </w:rPr>
        <w:t xml:space="preserve"> av den 5 februari 2020 </w:t>
      </w:r>
      <w:r w:rsidRPr="007D5957">
        <w:rPr>
          <w:i/>
          <w:iCs/>
          <w:sz w:val="24"/>
          <w:szCs w:val="24"/>
          <w:lang w:val="sv-SE"/>
        </w:rPr>
        <w:t>Översyn av den ekonomiska styrningen, rapport om tillämpningen av förordningarna (EU) nr 1173/2011, 1174/2011, 1175/2011, 1176/2011, 1177/2011, 472/2013 och</w:t>
      </w:r>
      <w:r w:rsidR="000235CF">
        <w:rPr>
          <w:i/>
          <w:iCs/>
          <w:sz w:val="24"/>
          <w:szCs w:val="24"/>
          <w:lang w:val="sv-SE"/>
        </w:rPr>
        <w:t xml:space="preserve"> (EU) nr</w:t>
      </w:r>
      <w:r w:rsidRPr="007D5957">
        <w:rPr>
          <w:i/>
          <w:iCs/>
          <w:sz w:val="24"/>
          <w:szCs w:val="24"/>
          <w:lang w:val="sv-SE"/>
        </w:rPr>
        <w:t xml:space="preserve"> 473/2013 och om ändamålsenligheten hos rådets direktiv 2011/85/EU</w:t>
      </w:r>
      <w:r w:rsidRPr="007D5957">
        <w:rPr>
          <w:sz w:val="24"/>
          <w:szCs w:val="24"/>
          <w:lang w:val="sv-SE"/>
        </w:rPr>
        <w:t>.</w:t>
      </w:r>
    </w:p>
  </w:footnote>
  <w:footnote w:id="6">
    <w:p w14:paraId="547BCB23" w14:textId="5458B68A"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Kom</w:t>
      </w:r>
      <w:r w:rsidR="000235CF">
        <w:rPr>
          <w:sz w:val="24"/>
          <w:szCs w:val="24"/>
          <w:lang w:val="sv-SE"/>
        </w:rPr>
        <w:t>missionens meddelande COM(2019)0640</w:t>
      </w:r>
      <w:r w:rsidRPr="007D5957">
        <w:rPr>
          <w:sz w:val="24"/>
          <w:szCs w:val="24"/>
          <w:lang w:val="sv-SE"/>
        </w:rPr>
        <w:t xml:space="preserve"> </w:t>
      </w:r>
      <w:r w:rsidRPr="007D5957">
        <w:rPr>
          <w:i/>
          <w:iCs/>
          <w:sz w:val="24"/>
          <w:szCs w:val="24"/>
          <w:lang w:val="sv-SE"/>
        </w:rPr>
        <w:t>Den europeiska gröna given</w:t>
      </w:r>
      <w:r w:rsidRPr="007D5957">
        <w:rPr>
          <w:sz w:val="24"/>
          <w:szCs w:val="24"/>
          <w:lang w:val="sv-SE"/>
        </w:rPr>
        <w:t>.</w:t>
      </w:r>
    </w:p>
  </w:footnote>
  <w:footnote w:id="7">
    <w:p w14:paraId="2C2CEFD5" w14:textId="1E909ED6"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Kom</w:t>
      </w:r>
      <w:r w:rsidR="000235CF">
        <w:rPr>
          <w:sz w:val="24"/>
          <w:szCs w:val="24"/>
          <w:lang w:val="sv-SE"/>
        </w:rPr>
        <w:t>missionens meddelande COM(2021)0082</w:t>
      </w:r>
      <w:r w:rsidRPr="007D5957">
        <w:rPr>
          <w:sz w:val="24"/>
          <w:szCs w:val="24"/>
          <w:lang w:val="sv-SE"/>
        </w:rPr>
        <w:t xml:space="preserve"> </w:t>
      </w:r>
      <w:r w:rsidRPr="007D5957">
        <w:rPr>
          <w:i/>
          <w:iCs/>
          <w:sz w:val="24"/>
          <w:szCs w:val="24"/>
          <w:lang w:val="sv-SE"/>
        </w:rPr>
        <w:t>Att bygga upp ett klimatresilient Europa – den nya EU-strategin för klimatanpassning</w:t>
      </w:r>
      <w:r w:rsidRPr="007D5957">
        <w:rPr>
          <w:sz w:val="24"/>
          <w:szCs w:val="24"/>
          <w:lang w:val="sv-SE"/>
        </w:rPr>
        <w:t>.</w:t>
      </w:r>
    </w:p>
  </w:footnote>
  <w:footnote w:id="8">
    <w:p w14:paraId="52F98A5B" w14:textId="768C921F"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Kom</w:t>
      </w:r>
      <w:r w:rsidR="000235CF">
        <w:rPr>
          <w:sz w:val="24"/>
          <w:szCs w:val="24"/>
          <w:lang w:val="sv-SE"/>
        </w:rPr>
        <w:t>missionens meddelande COM(2022)0583</w:t>
      </w:r>
      <w:r w:rsidRPr="007D5957">
        <w:rPr>
          <w:sz w:val="24"/>
          <w:szCs w:val="24"/>
          <w:lang w:val="sv-SE"/>
        </w:rPr>
        <w:t xml:space="preserve"> om riktlinjer för en reform av EU:s ramverk för ekonomisk styrning.</w:t>
      </w:r>
    </w:p>
  </w:footnote>
  <w:footnote w:id="9">
    <w:p w14:paraId="4A3DA5F1" w14:textId="77777777" w:rsidR="00B42845" w:rsidRPr="007D5957" w:rsidRDefault="00B42845" w:rsidP="00B42845">
      <w:pPr>
        <w:pStyle w:val="FootnoteText"/>
        <w:ind w:left="851" w:hanging="851"/>
        <w:rPr>
          <w:i/>
          <w:sz w:val="24"/>
          <w:szCs w:val="24"/>
          <w:lang w:val="sv-SE"/>
        </w:rPr>
      </w:pPr>
      <w:r w:rsidRPr="0014166D">
        <w:rPr>
          <w:rStyle w:val="FootnoteReference"/>
          <w:b/>
          <w:bCs/>
          <w:sz w:val="24"/>
          <w:szCs w:val="24"/>
        </w:rPr>
        <w:footnoteRef/>
      </w:r>
      <w:r w:rsidRPr="007D5957">
        <w:rPr>
          <w:sz w:val="24"/>
          <w:szCs w:val="24"/>
          <w:lang w:val="sv-SE"/>
        </w:rPr>
        <w:tab/>
        <w:t>Europaparlamentets och rådets förordning (EU) av den [</w:t>
      </w:r>
      <w:r w:rsidRPr="007D5957">
        <w:rPr>
          <w:i/>
          <w:sz w:val="24"/>
          <w:szCs w:val="24"/>
          <w:lang w:val="sv-SE"/>
        </w:rPr>
        <w:t>infoga datum</w:t>
      </w:r>
      <w:r w:rsidRPr="007D5957">
        <w:rPr>
          <w:sz w:val="24"/>
          <w:szCs w:val="24"/>
          <w:lang w:val="sv-SE"/>
        </w:rPr>
        <w:t>] [</w:t>
      </w:r>
      <w:r w:rsidRPr="007D5957">
        <w:rPr>
          <w:i/>
          <w:sz w:val="24"/>
          <w:szCs w:val="24"/>
          <w:lang w:val="sv-SE"/>
        </w:rPr>
        <w:t>infoga fullständig titel</w:t>
      </w:r>
      <w:r w:rsidRPr="007D5957">
        <w:rPr>
          <w:sz w:val="24"/>
          <w:szCs w:val="24"/>
          <w:lang w:val="sv-SE"/>
        </w:rPr>
        <w:t>] (EUT L ...).</w:t>
      </w:r>
    </w:p>
  </w:footnote>
  <w:footnote w:id="10">
    <w:p w14:paraId="3A13E312" w14:textId="77777777"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Rådets förordning (EG) nr 1466/97 av den 7 juli 1997 om förstärkning av övervakningen av de offentliga finanserna samt övervakningen och samordningen av den ekonomiska politiken (EGT L 209, 2.8.1997, s. 1).</w:t>
      </w:r>
    </w:p>
  </w:footnote>
  <w:footnote w:id="11">
    <w:p w14:paraId="27FAFF2F" w14:textId="77777777"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Rådets förordning (EU) av den [</w:t>
      </w:r>
      <w:r w:rsidRPr="007D5957">
        <w:rPr>
          <w:i/>
          <w:sz w:val="24"/>
          <w:szCs w:val="24"/>
          <w:lang w:val="sv-SE"/>
        </w:rPr>
        <w:t>infoga datum</w:t>
      </w:r>
      <w:r w:rsidRPr="007D5957">
        <w:rPr>
          <w:sz w:val="24"/>
          <w:szCs w:val="24"/>
          <w:lang w:val="sv-SE"/>
        </w:rPr>
        <w:t xml:space="preserve">] </w:t>
      </w:r>
      <w:r w:rsidRPr="007D5957">
        <w:rPr>
          <w:i/>
          <w:sz w:val="24"/>
          <w:szCs w:val="24"/>
          <w:lang w:val="sv-SE"/>
        </w:rPr>
        <w:t>[infoga fullständig titel</w:t>
      </w:r>
      <w:r w:rsidRPr="007D5957">
        <w:rPr>
          <w:sz w:val="24"/>
          <w:szCs w:val="24"/>
          <w:lang w:val="sv-SE"/>
        </w:rPr>
        <w:t>] (EUT L ...).</w:t>
      </w:r>
    </w:p>
  </w:footnote>
  <w:footnote w:id="12">
    <w:p w14:paraId="631C7927" w14:textId="77777777"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Rådets förordning (EG) nr 1467/97 av den 7 juli 1997 om påskyndande och förtydligande av tillämpningen av förfarandet vid alltför stora underskott (EGT L 209, 2.8.1997, s. 6).</w:t>
      </w:r>
    </w:p>
  </w:footnote>
  <w:footnote w:id="13">
    <w:p w14:paraId="5660A728" w14:textId="77777777" w:rsidR="00B42845" w:rsidRPr="007D5957" w:rsidRDefault="00B42845" w:rsidP="00B42845">
      <w:pPr>
        <w:pStyle w:val="FootnoteText"/>
        <w:ind w:left="851" w:hanging="851"/>
        <w:contextualSpacing/>
        <w:rPr>
          <w:sz w:val="24"/>
          <w:szCs w:val="24"/>
          <w:lang w:val="sv-SE"/>
        </w:rPr>
      </w:pPr>
      <w:r w:rsidRPr="0014166D">
        <w:rPr>
          <w:rStyle w:val="FootnoteReference"/>
          <w:b/>
          <w:bCs/>
          <w:sz w:val="24"/>
          <w:szCs w:val="24"/>
        </w:rPr>
        <w:footnoteRef/>
      </w:r>
      <w:r w:rsidRPr="007D5957">
        <w:rPr>
          <w:sz w:val="24"/>
          <w:szCs w:val="24"/>
          <w:lang w:val="sv-SE"/>
        </w:rPr>
        <w:tab/>
        <w:t>Fördraget om stabilitet, samordning och styrning inom Ekonomiska och monetära unionen av den 2 mars 2012.</w:t>
      </w:r>
    </w:p>
  </w:footnote>
  <w:footnote w:id="14">
    <w:p w14:paraId="54F98924" w14:textId="37B31A49"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Kom</w:t>
      </w:r>
      <w:r w:rsidR="000235CF">
        <w:rPr>
          <w:sz w:val="24"/>
          <w:szCs w:val="24"/>
          <w:lang w:val="sv-SE"/>
        </w:rPr>
        <w:t>missionens meddelande COM(2012)0342</w:t>
      </w:r>
      <w:r w:rsidRPr="007D5957">
        <w:rPr>
          <w:sz w:val="24"/>
          <w:szCs w:val="24"/>
          <w:lang w:val="sv-SE"/>
        </w:rPr>
        <w:t xml:space="preserve"> av den 20 juni 2012 </w:t>
      </w:r>
      <w:r w:rsidRPr="007D5957">
        <w:rPr>
          <w:i/>
          <w:iCs/>
          <w:sz w:val="24"/>
          <w:szCs w:val="24"/>
          <w:lang w:val="sv-SE"/>
        </w:rPr>
        <w:t>Gemensamma principer för nationella finanspolitiska korrigeringsmekanismer</w:t>
      </w:r>
      <w:r w:rsidRPr="007D5957">
        <w:rPr>
          <w:sz w:val="24"/>
          <w:szCs w:val="24"/>
          <w:lang w:val="sv-SE"/>
        </w:rPr>
        <w:t>.</w:t>
      </w:r>
    </w:p>
  </w:footnote>
  <w:footnote w:id="15">
    <w:p w14:paraId="040EFB3B" w14:textId="77777777"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Pr="007D5957">
        <w:rPr>
          <w:sz w:val="24"/>
          <w:szCs w:val="24"/>
          <w:lang w:val="sv-SE"/>
        </w:rPr>
        <w:tab/>
        <w:t>Europaparlamentets och rådets förordning (EU) nr 473/2013 av den 21 maj 2013 om gemensamma bestämmelser för övervakning och bedömning av utkast till budgetplaner och säkerställande av korrigering av alltför stora underskott i medlemsstater i euroområdet (EUT L 140, 27.5.2013, s. 11).</w:t>
      </w:r>
    </w:p>
  </w:footnote>
  <w:footnote w:id="16">
    <w:p w14:paraId="4DC8AF0B" w14:textId="178D99D4" w:rsidR="00B42845" w:rsidRPr="007D5957" w:rsidRDefault="00B42845" w:rsidP="00B42845">
      <w:pPr>
        <w:pStyle w:val="FootnoteText"/>
        <w:ind w:left="851" w:hanging="851"/>
        <w:rPr>
          <w:sz w:val="24"/>
          <w:szCs w:val="24"/>
          <w:lang w:val="sv-SE"/>
        </w:rPr>
      </w:pPr>
      <w:r w:rsidRPr="0014166D">
        <w:rPr>
          <w:rStyle w:val="FootnoteReference"/>
          <w:b/>
          <w:bCs/>
          <w:sz w:val="24"/>
          <w:szCs w:val="24"/>
        </w:rPr>
        <w:footnoteRef/>
      </w:r>
      <w:r w:rsidR="000235CF">
        <w:rPr>
          <w:sz w:val="24"/>
          <w:szCs w:val="24"/>
          <w:lang w:val="sv-SE"/>
        </w:rPr>
        <w:tab/>
        <w:t>Meddelande COM(2022)0494</w:t>
      </w:r>
      <w:r w:rsidRPr="007D5957">
        <w:rPr>
          <w:sz w:val="24"/>
          <w:szCs w:val="24"/>
          <w:lang w:val="sv-SE"/>
        </w:rPr>
        <w:t xml:space="preserve"> av den 28 september 2022 från kommissionen – </w:t>
      </w:r>
      <w:r w:rsidRPr="007D5957">
        <w:rPr>
          <w:i/>
          <w:iCs/>
          <w:sz w:val="24"/>
          <w:szCs w:val="24"/>
          <w:lang w:val="sv-SE"/>
        </w:rPr>
        <w:t>Bättre bedömning av fördelningseffekter av medlemsstaternas politik och artikel 6.3 d i Europaparlamentets och rådets förordning (EU) nr 473/2013 av den 21 maj 2013 om gemensamma bestämmelser för övervakning och bedömning av utkast till budgetplaner och säkerställande av korrigering av alltför stora underskott i medlemsstater i euroområdet</w:t>
      </w:r>
      <w:r w:rsidRPr="007D5957">
        <w:rPr>
          <w:sz w:val="24"/>
          <w:szCs w:val="24"/>
          <w:lang w:val="sv-SE"/>
        </w:rPr>
        <w:t xml:space="preserve"> (EUT L 140, 27.5.2013, s.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BD5DD" w14:textId="77777777" w:rsidR="00064002" w:rsidRPr="00EA43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0A057" w14:textId="77777777" w:rsidR="00064002" w:rsidRPr="00EA43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3E47C" w14:textId="77777777" w:rsidR="00064002" w:rsidRPr="00EA43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SV"/>
    <w:docVar w:name="dvnumam" w:val="0"/>
    <w:docVar w:name="dvpe" w:val="757.278"/>
    <w:docVar w:name="dvrapporteur" w:val="Föredragande: "/>
    <w:docVar w:name="dvstar" w:val="*"/>
    <w:docVar w:name="dvtitre" w:val="Europaparlamentets lagstiftningsresolution av den xx xx 2024 om förslaget till rådets direktiv om ändring av direktiv 2011/85/EU om krav på medlemsstaternas budgetramverk(COM(2023)0242 – C9-0171/2023 – 2023/0136(NLE))"/>
  </w:docVars>
  <w:rsids>
    <w:rsidRoot w:val="002A2643"/>
    <w:rsid w:val="00002272"/>
    <w:rsid w:val="00012BE5"/>
    <w:rsid w:val="000235CF"/>
    <w:rsid w:val="00064002"/>
    <w:rsid w:val="000677B9"/>
    <w:rsid w:val="000831BA"/>
    <w:rsid w:val="000A42CC"/>
    <w:rsid w:val="000E7DD9"/>
    <w:rsid w:val="0010095E"/>
    <w:rsid w:val="00116008"/>
    <w:rsid w:val="00125B37"/>
    <w:rsid w:val="001840C3"/>
    <w:rsid w:val="00187494"/>
    <w:rsid w:val="001F32AE"/>
    <w:rsid w:val="002767FF"/>
    <w:rsid w:val="002A2643"/>
    <w:rsid w:val="002B18FE"/>
    <w:rsid w:val="002B5493"/>
    <w:rsid w:val="00343214"/>
    <w:rsid w:val="00361C00"/>
    <w:rsid w:val="00395FA1"/>
    <w:rsid w:val="003A2BC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5957"/>
    <w:rsid w:val="007E22AD"/>
    <w:rsid w:val="00817416"/>
    <w:rsid w:val="00842779"/>
    <w:rsid w:val="00865F67"/>
    <w:rsid w:val="00881A7B"/>
    <w:rsid w:val="008840E5"/>
    <w:rsid w:val="00887B3E"/>
    <w:rsid w:val="008C2AC6"/>
    <w:rsid w:val="00930C23"/>
    <w:rsid w:val="0093193B"/>
    <w:rsid w:val="00935544"/>
    <w:rsid w:val="009509D8"/>
    <w:rsid w:val="00950B64"/>
    <w:rsid w:val="00981893"/>
    <w:rsid w:val="00A1687D"/>
    <w:rsid w:val="00A43E52"/>
    <w:rsid w:val="00A4678D"/>
    <w:rsid w:val="00A502DC"/>
    <w:rsid w:val="00A778C7"/>
    <w:rsid w:val="00AB441E"/>
    <w:rsid w:val="00AB6293"/>
    <w:rsid w:val="00AE0928"/>
    <w:rsid w:val="00AF3B82"/>
    <w:rsid w:val="00B12E95"/>
    <w:rsid w:val="00B22876"/>
    <w:rsid w:val="00B42845"/>
    <w:rsid w:val="00B558F0"/>
    <w:rsid w:val="00BA5A37"/>
    <w:rsid w:val="00BD48FE"/>
    <w:rsid w:val="00BD7BD8"/>
    <w:rsid w:val="00BE6ADC"/>
    <w:rsid w:val="00C05BFE"/>
    <w:rsid w:val="00C23CD4"/>
    <w:rsid w:val="00C61C0C"/>
    <w:rsid w:val="00C941CB"/>
    <w:rsid w:val="00CC2357"/>
    <w:rsid w:val="00CF071A"/>
    <w:rsid w:val="00D058B8"/>
    <w:rsid w:val="00D56C11"/>
    <w:rsid w:val="00D834A0"/>
    <w:rsid w:val="00D850FE"/>
    <w:rsid w:val="00D872DF"/>
    <w:rsid w:val="00D91E21"/>
    <w:rsid w:val="00DA7FCD"/>
    <w:rsid w:val="00E365E1"/>
    <w:rsid w:val="00E536BC"/>
    <w:rsid w:val="00E820A4"/>
    <w:rsid w:val="00EA4360"/>
    <w:rsid w:val="00EB006A"/>
    <w:rsid w:val="00EB4772"/>
    <w:rsid w:val="00ED169E"/>
    <w:rsid w:val="00ED4235"/>
    <w:rsid w:val="00F04346"/>
    <w:rsid w:val="00F075DC"/>
    <w:rsid w:val="00F149E9"/>
    <w:rsid w:val="00F2460B"/>
    <w:rsid w:val="00F5134D"/>
    <w:rsid w:val="00F74202"/>
    <w:rsid w:val="00F87713"/>
    <w:rsid w:val="00F8774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5F0B5"/>
  <w15:chartTrackingRefBased/>
  <w15:docId w15:val="{7CE41114-2553-4835-86A8-D2F013109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A502DC"/>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F8774C"/>
    <w:pPr>
      <w:keepNext/>
      <w:spacing w:after="480"/>
      <w:jc w:val="center"/>
    </w:pPr>
    <w:rPr>
      <w:rFonts w:ascii="Arial" w:hAnsi="Arial" w:cs="Arial"/>
      <w:b/>
    </w:rPr>
  </w:style>
  <w:style w:type="paragraph" w:customStyle="1" w:styleId="NormalBold">
    <w:name w:val="NormalBold"/>
    <w:basedOn w:val="Normal"/>
    <w:rsid w:val="00F8774C"/>
    <w:rPr>
      <w:b/>
    </w:rPr>
  </w:style>
  <w:style w:type="paragraph" w:customStyle="1" w:styleId="NormalHanging12a">
    <w:name w:val="NormalHanging12a"/>
    <w:basedOn w:val="Normal"/>
    <w:rsid w:val="00F8774C"/>
    <w:pPr>
      <w:spacing w:after="240"/>
      <w:ind w:left="567" w:hanging="567"/>
    </w:pPr>
  </w:style>
  <w:style w:type="paragraph" w:customStyle="1" w:styleId="AmNumberTabs">
    <w:name w:val="AmNumberTabs"/>
    <w:basedOn w:val="Normal"/>
    <w:rsid w:val="00F877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F8774C"/>
    <w:pPr>
      <w:spacing w:after="240"/>
    </w:pPr>
    <w:rPr>
      <w:b/>
    </w:rPr>
  </w:style>
  <w:style w:type="paragraph" w:customStyle="1" w:styleId="EPComma">
    <w:name w:val="EPComma"/>
    <w:basedOn w:val="Normal"/>
    <w:rsid w:val="00F8774C"/>
    <w:pPr>
      <w:spacing w:before="480" w:after="240"/>
    </w:pPr>
  </w:style>
  <w:style w:type="paragraph" w:customStyle="1" w:styleId="NormalCenter12a">
    <w:name w:val="NormalCenter12a"/>
    <w:basedOn w:val="Normal"/>
    <w:rsid w:val="00F8774C"/>
    <w:pPr>
      <w:spacing w:after="240"/>
      <w:jc w:val="center"/>
    </w:pPr>
  </w:style>
  <w:style w:type="paragraph" w:customStyle="1" w:styleId="AmHeadingConsam">
    <w:name w:val="AmHeadingConsam"/>
    <w:basedOn w:val="Normal"/>
    <w:next w:val="NormalCenter12a"/>
    <w:rsid w:val="00F8774C"/>
    <w:pPr>
      <w:spacing w:before="720" w:after="240"/>
      <w:jc w:val="center"/>
    </w:pPr>
  </w:style>
  <w:style w:type="paragraph" w:styleId="ListParagraph">
    <w:name w:val="List Paragraph"/>
    <w:basedOn w:val="Normal"/>
    <w:uiPriority w:val="34"/>
    <w:qFormat/>
    <w:rsid w:val="00F8774C"/>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F8774C"/>
    <w:pPr>
      <w:widowControl/>
      <w:spacing w:before="120" w:after="120"/>
      <w:ind w:left="850"/>
      <w:jc w:val="both"/>
    </w:pPr>
    <w:rPr>
      <w:rFonts w:eastAsiaTheme="minorHAnsi"/>
      <w:szCs w:val="22"/>
      <w:lang w:eastAsia="en-US"/>
    </w:rPr>
  </w:style>
  <w:style w:type="paragraph" w:customStyle="1" w:styleId="Text2">
    <w:name w:val="Text 2"/>
    <w:basedOn w:val="Normal"/>
    <w:rsid w:val="00F8774C"/>
    <w:pPr>
      <w:widowControl/>
      <w:spacing w:before="120" w:after="120"/>
      <w:ind w:left="1417"/>
      <w:jc w:val="both"/>
    </w:pPr>
    <w:rPr>
      <w:rFonts w:eastAsiaTheme="minorHAnsi"/>
      <w:szCs w:val="22"/>
      <w:lang w:eastAsia="en-US"/>
    </w:rPr>
  </w:style>
  <w:style w:type="paragraph" w:customStyle="1" w:styleId="Text3">
    <w:name w:val="Text 3"/>
    <w:basedOn w:val="Normal"/>
    <w:rsid w:val="00F8774C"/>
    <w:pPr>
      <w:widowControl/>
      <w:spacing w:before="120" w:after="120"/>
      <w:ind w:left="1984"/>
      <w:jc w:val="both"/>
    </w:pPr>
    <w:rPr>
      <w:rFonts w:eastAsiaTheme="minorHAnsi"/>
      <w:szCs w:val="22"/>
      <w:lang w:eastAsia="en-US"/>
    </w:rPr>
  </w:style>
  <w:style w:type="paragraph" w:customStyle="1" w:styleId="Point3">
    <w:name w:val="Point 3"/>
    <w:basedOn w:val="Normal"/>
    <w:rsid w:val="00F8774C"/>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F8774C"/>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F8774C"/>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F8774C"/>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F8774C"/>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F8774C"/>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F8774C"/>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F8774C"/>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F8774C"/>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F8774C"/>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F8774C"/>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F8774C"/>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F8774C"/>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8774C"/>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8774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8774C"/>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8774C"/>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F8774C"/>
    <w:pPr>
      <w:widowControl/>
      <w:spacing w:before="360"/>
      <w:jc w:val="center"/>
    </w:pPr>
    <w:rPr>
      <w:rFonts w:eastAsiaTheme="minorHAnsi"/>
      <w:b/>
      <w:szCs w:val="22"/>
      <w:lang w:eastAsia="en-US"/>
    </w:rPr>
  </w:style>
  <w:style w:type="paragraph" w:customStyle="1" w:styleId="Titreobjet">
    <w:name w:val="Titre objet"/>
    <w:basedOn w:val="Normal"/>
    <w:next w:val="Normal"/>
    <w:rsid w:val="00F8774C"/>
    <w:pPr>
      <w:widowControl/>
      <w:spacing w:before="360" w:after="360"/>
      <w:jc w:val="center"/>
    </w:pPr>
    <w:rPr>
      <w:rFonts w:eastAsiaTheme="minorHAnsi"/>
      <w:b/>
      <w:szCs w:val="22"/>
      <w:lang w:eastAsia="en-US"/>
    </w:rPr>
  </w:style>
  <w:style w:type="character" w:customStyle="1" w:styleId="Added">
    <w:name w:val="Added"/>
    <w:basedOn w:val="DefaultParagraphFont"/>
    <w:rsid w:val="00F8774C"/>
    <w:rPr>
      <w:b/>
      <w:bCs w:val="0"/>
      <w:u w:val="single"/>
    </w:rPr>
  </w:style>
  <w:style w:type="paragraph" w:styleId="BalloonText">
    <w:name w:val="Balloon Text"/>
    <w:basedOn w:val="Normal"/>
    <w:link w:val="BalloonTextChar"/>
    <w:rsid w:val="00012BE5"/>
    <w:rPr>
      <w:rFonts w:ascii="Segoe UI" w:hAnsi="Segoe UI" w:cs="Segoe UI"/>
      <w:sz w:val="18"/>
      <w:szCs w:val="18"/>
    </w:rPr>
  </w:style>
  <w:style w:type="character" w:customStyle="1" w:styleId="BalloonTextChar">
    <w:name w:val="Balloon Text Char"/>
    <w:basedOn w:val="DefaultParagraphFont"/>
    <w:link w:val="BalloonText"/>
    <w:rsid w:val="00012BE5"/>
    <w:rPr>
      <w:rFonts w:ascii="Segoe UI" w:hAnsi="Segoe UI" w:cs="Segoe UI"/>
      <w:sz w:val="18"/>
      <w:szCs w:val="18"/>
      <w:lang w:val="sv-SE"/>
    </w:rPr>
  </w:style>
  <w:style w:type="character" w:styleId="CommentReference">
    <w:name w:val="annotation reference"/>
    <w:basedOn w:val="DefaultParagraphFont"/>
    <w:rsid w:val="00E536BC"/>
    <w:rPr>
      <w:sz w:val="16"/>
      <w:szCs w:val="16"/>
    </w:rPr>
  </w:style>
  <w:style w:type="paragraph" w:styleId="CommentText">
    <w:name w:val="annotation text"/>
    <w:basedOn w:val="Normal"/>
    <w:link w:val="CommentTextChar"/>
    <w:rsid w:val="00E536BC"/>
    <w:rPr>
      <w:sz w:val="20"/>
    </w:rPr>
  </w:style>
  <w:style w:type="character" w:customStyle="1" w:styleId="CommentTextChar">
    <w:name w:val="Comment Text Char"/>
    <w:basedOn w:val="DefaultParagraphFont"/>
    <w:link w:val="CommentText"/>
    <w:rsid w:val="00E536BC"/>
    <w:rPr>
      <w:lang w:val="sv-SE"/>
    </w:rPr>
  </w:style>
  <w:style w:type="paragraph" w:styleId="CommentSubject">
    <w:name w:val="annotation subject"/>
    <w:basedOn w:val="CommentText"/>
    <w:next w:val="CommentText"/>
    <w:link w:val="CommentSubjectChar"/>
    <w:rsid w:val="00E536BC"/>
    <w:rPr>
      <w:b/>
      <w:bCs/>
    </w:rPr>
  </w:style>
  <w:style w:type="character" w:customStyle="1" w:styleId="CommentSubjectChar">
    <w:name w:val="Comment Subject Char"/>
    <w:basedOn w:val="CommentTextChar"/>
    <w:link w:val="CommentSubject"/>
    <w:rsid w:val="00E536BC"/>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C2F0C-F129-4FEB-9F91-6F8CB7BA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4388</Words>
  <Characters>28882</Characters>
  <Application>Microsoft Office Word</Application>
  <DocSecurity>0</DocSecurity>
  <Lines>240</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2024-10-07T07:34:00Z</dcterms:created>
  <dcterms:modified xsi:type="dcterms:W3CDTF">2024-10-07T07:34:00Z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P9_TA(2024)0313_</vt:lpwstr>
  </property>
  <property fmtid="{D5CDD505-2E9C-101B-9397-08002B2CF9AE}" pid="4" name="&lt;Type&gt;">
    <vt:lpwstr>RR</vt:lpwstr>
  </property>
</Properties>
</file>