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37B36" w:rsidTr="0010095E">
        <w:trPr>
          <w:trHeight w:hRule="exact" w:val="1418"/>
        </w:trPr>
        <w:tc>
          <w:tcPr>
            <w:tcW w:w="6804" w:type="dxa"/>
            <w:shd w:val="clear" w:color="auto" w:fill="auto"/>
            <w:vAlign w:val="center"/>
          </w:tcPr>
          <w:p w:rsidR="00751A4A" w:rsidRPr="00137B36" w:rsidRDefault="007E1DA9" w:rsidP="0010095E">
            <w:pPr>
              <w:pStyle w:val="EPName"/>
            </w:pPr>
            <w:r w:rsidRPr="00137B36">
              <w:t>Европейски</w:t>
            </w:r>
            <w:r w:rsidR="000647B6" w:rsidRPr="00137B36">
              <w:t xml:space="preserve"> парламент</w:t>
            </w:r>
          </w:p>
          <w:p w:rsidR="00751A4A" w:rsidRPr="00137B36" w:rsidRDefault="007E1DA9" w:rsidP="00756632">
            <w:pPr>
              <w:pStyle w:val="EPTerm"/>
              <w:rPr>
                <w:rStyle w:val="HideTWBExt"/>
                <w:noProof w:val="0"/>
                <w:vanish w:val="0"/>
                <w:color w:val="auto"/>
              </w:rPr>
            </w:pPr>
            <w:r>
              <w:t>2019 – </w:t>
            </w:r>
            <w:r w:rsidR="00817416" w:rsidRPr="00137B36">
              <w:t>2024</w:t>
            </w:r>
          </w:p>
        </w:tc>
        <w:tc>
          <w:tcPr>
            <w:tcW w:w="2268" w:type="dxa"/>
            <w:shd w:val="clear" w:color="auto" w:fill="auto"/>
          </w:tcPr>
          <w:p w:rsidR="00751A4A" w:rsidRPr="00137B36" w:rsidRDefault="00187494" w:rsidP="0010095E">
            <w:pPr>
              <w:pStyle w:val="EPLogo"/>
            </w:pPr>
            <w:r w:rsidRPr="00137B3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37B36" w:rsidRDefault="00D058B8" w:rsidP="004C5D52">
      <w:pPr>
        <w:pStyle w:val="LineTop"/>
      </w:pPr>
    </w:p>
    <w:p w:rsidR="00680577" w:rsidRPr="00137B36" w:rsidRDefault="000647B6" w:rsidP="00680577">
      <w:pPr>
        <w:pStyle w:val="EPBodyTA1"/>
      </w:pPr>
      <w:r w:rsidRPr="00137B36">
        <w:t>ПРИЕТИ ТЕКСТОВЕ</w:t>
      </w:r>
    </w:p>
    <w:p w:rsidR="00D058B8" w:rsidRPr="00137B36" w:rsidRDefault="00D058B8" w:rsidP="00D058B8">
      <w:pPr>
        <w:pStyle w:val="LineBottom"/>
      </w:pPr>
    </w:p>
    <w:p w:rsidR="000647B6" w:rsidRPr="00137B36" w:rsidRDefault="000647B6" w:rsidP="000647B6">
      <w:pPr>
        <w:pStyle w:val="ATHeading1"/>
      </w:pPr>
      <w:bookmarkStart w:id="0" w:name="TANumber"/>
      <w:r w:rsidRPr="00137B36">
        <w:t>P9_TA(2024)0</w:t>
      </w:r>
      <w:r w:rsidR="00505F27">
        <w:t>314</w:t>
      </w:r>
      <w:bookmarkEnd w:id="0"/>
    </w:p>
    <w:p w:rsidR="000647B6" w:rsidRPr="00137B36" w:rsidRDefault="00505F27" w:rsidP="000647B6">
      <w:pPr>
        <w:pStyle w:val="ATHeading2"/>
      </w:pPr>
      <w:bookmarkStart w:id="1" w:name="title"/>
      <w:r w:rsidRPr="00505F27">
        <w:t xml:space="preserve">Непредставяне на възражения срещу делегиран акт: добавяне на прекурсора на наркотичното вещество изопропилиденов (2-(3,4-метилендиоксифенил)ацетил)малонат (IMDPAM) и на други вещества в описа на включените в списък вещества </w:t>
      </w:r>
      <w:bookmarkEnd w:id="1"/>
    </w:p>
    <w:p w:rsidR="000647B6" w:rsidRPr="00137B36" w:rsidRDefault="000647B6" w:rsidP="000647B6">
      <w:pPr>
        <w:rPr>
          <w:i/>
          <w:vanish/>
        </w:rPr>
      </w:pPr>
      <w:r w:rsidRPr="00137B36">
        <w:rPr>
          <w:i/>
        </w:rPr>
        <w:fldChar w:fldCharType="begin"/>
      </w:r>
      <w:r w:rsidRPr="00137B36">
        <w:rPr>
          <w:i/>
        </w:rPr>
        <w:instrText xml:space="preserve"> TC"(</w:instrText>
      </w:r>
      <w:bookmarkStart w:id="2" w:name="DocNumber"/>
      <w:r w:rsidRPr="00137B36">
        <w:rPr>
          <w:i/>
        </w:rPr>
        <w:instrText>B9-0213/2024</w:instrText>
      </w:r>
      <w:bookmarkEnd w:id="2"/>
      <w:r w:rsidRPr="00137B36">
        <w:rPr>
          <w:i/>
        </w:rPr>
        <w:instrText xml:space="preserve">)"\l3 \n&gt; \* MERGEFORMAT </w:instrText>
      </w:r>
      <w:r w:rsidRPr="00137B36">
        <w:rPr>
          <w:i/>
        </w:rPr>
        <w:fldChar w:fldCharType="end"/>
      </w:r>
    </w:p>
    <w:p w:rsidR="000647B6" w:rsidRPr="00137B36" w:rsidRDefault="000647B6" w:rsidP="000647B6">
      <w:pPr>
        <w:rPr>
          <w:vanish/>
        </w:rPr>
      </w:pPr>
      <w:bookmarkStart w:id="3" w:name="PE"/>
      <w:r w:rsidRPr="00137B36">
        <w:rPr>
          <w:vanish/>
        </w:rPr>
        <w:t>PE760.991</w:t>
      </w:r>
      <w:bookmarkEnd w:id="3"/>
    </w:p>
    <w:p w:rsidR="000647B6" w:rsidRPr="00137B36" w:rsidRDefault="000647B6" w:rsidP="007E1DA9">
      <w:pPr>
        <w:pStyle w:val="ATHeading3"/>
      </w:pPr>
      <w:bookmarkStart w:id="4" w:name="Sujet"/>
      <w:r w:rsidRPr="00137B36">
        <w:t xml:space="preserve">Решение на Европейския парламент </w:t>
      </w:r>
      <w:r w:rsidR="00F00236" w:rsidRPr="00F00236">
        <w:t xml:space="preserve">да не се представят възражения срещу </w:t>
      </w:r>
      <w:r w:rsidRPr="00137B36">
        <w:t>делегирания регламент на Комисията от 28 февруари 2024 г. за изменение на Регламент (ЕО) № 273/2004 на Европейския парламент и на Съвета и Регламент (ЕО) № 111/2005 на Съвета с цел добавяне на прекурсора на наркотичното вещество изопропилиденов (2-(3,4-метилендиоксифенил)ацетил)малонат (IMDPAM), както и на други вещества, в описа на включените в списък вещества</w:t>
      </w:r>
      <w:bookmarkEnd w:id="4"/>
      <w:r w:rsidRPr="00137B36">
        <w:t xml:space="preserve"> </w:t>
      </w:r>
      <w:bookmarkStart w:id="5" w:name="References"/>
      <w:r w:rsidRPr="00137B36">
        <w:t>(C(2024)01219 - 2024/2606(DEA))</w:t>
      </w:r>
      <w:bookmarkEnd w:id="5"/>
    </w:p>
    <w:p w:rsidR="00A7352C" w:rsidRPr="00137B36" w:rsidRDefault="00A7352C" w:rsidP="00A7352C">
      <w:pPr>
        <w:pStyle w:val="EPComma"/>
      </w:pPr>
      <w:bookmarkStart w:id="6" w:name="TextBodyBegin"/>
      <w:bookmarkEnd w:id="6"/>
      <w:r w:rsidRPr="00137B36">
        <w:rPr>
          <w:i/>
        </w:rPr>
        <w:t>Европейският парламент</w:t>
      </w:r>
      <w:r w:rsidRPr="00137B36">
        <w:t>,</w:t>
      </w:r>
    </w:p>
    <w:p w:rsidR="00A7352C" w:rsidRPr="00137B36" w:rsidRDefault="00A7352C" w:rsidP="00A7352C">
      <w:pPr>
        <w:pStyle w:val="NormalHanging12a"/>
      </w:pPr>
      <w:r w:rsidRPr="00137B36">
        <w:t>–</w:t>
      </w:r>
      <w:r w:rsidRPr="00137B36">
        <w:tab/>
        <w:t>като взе предвид делегирания регламент на Комисията (C(2024)01219),</w:t>
      </w:r>
    </w:p>
    <w:p w:rsidR="00A7352C" w:rsidRPr="00137B36" w:rsidRDefault="00A7352C" w:rsidP="00A7352C">
      <w:pPr>
        <w:pStyle w:val="NormalHanging12a"/>
        <w:rPr>
          <w:spacing w:val="-2"/>
          <w:szCs w:val="24"/>
        </w:rPr>
      </w:pPr>
      <w:r w:rsidRPr="00137B36">
        <w:t>–</w:t>
      </w:r>
      <w:r w:rsidRPr="00137B36">
        <w:tab/>
        <w:t>като взе предвид писмото на Комисията от 13 март 2024 г., с което последната отправя искане към Европейския парламент да заяви, че няма да представя възражения срещу делегирания регламент,</w:t>
      </w:r>
    </w:p>
    <w:p w:rsidR="00A7352C" w:rsidRPr="00137B36" w:rsidRDefault="00A7352C" w:rsidP="00A7352C">
      <w:pPr>
        <w:pStyle w:val="NormalHanging12a"/>
      </w:pPr>
      <w:r w:rsidRPr="00137B36">
        <w:t>–</w:t>
      </w:r>
      <w:r w:rsidRPr="00137B36">
        <w:tab/>
        <w:t>като взе предвид писмото на комисията по граждански свободи, правосъдие и вътрешни работи до председателя на Съвета на председателите на комисии,</w:t>
      </w:r>
    </w:p>
    <w:p w:rsidR="00A7352C" w:rsidRPr="00137B36" w:rsidRDefault="00A7352C" w:rsidP="00A7352C">
      <w:pPr>
        <w:pStyle w:val="NormalHanging12a"/>
      </w:pPr>
      <w:r w:rsidRPr="00137B36">
        <w:t>–</w:t>
      </w:r>
      <w:r w:rsidRPr="00137B36">
        <w:tab/>
        <w:t>като взе предвид член 290 от Договора за функционирането на Европейския съюз,</w:t>
      </w:r>
    </w:p>
    <w:p w:rsidR="00A7352C" w:rsidRPr="00137B36" w:rsidRDefault="00A7352C" w:rsidP="00A7352C">
      <w:pPr>
        <w:pStyle w:val="NormalHanging12a"/>
      </w:pPr>
      <w:r w:rsidRPr="00137B36">
        <w:t>–</w:t>
      </w:r>
      <w:r w:rsidRPr="00137B36">
        <w:tab/>
        <w:t>като взе предвид Регламент (ЕО) № </w:t>
      </w:r>
      <w:bookmarkStart w:id="7" w:name="_GoBack"/>
      <w:bookmarkEnd w:id="7"/>
      <w:r w:rsidRPr="00137B36">
        <w:t>273/2004 на Европейския парламент и на Съвета от 11 февруари 2004 г.</w:t>
      </w:r>
      <w:r w:rsidR="00F00236" w:rsidRPr="00137B36">
        <w:t xml:space="preserve"> относно прекурсорите на наркотичните вещества</w:t>
      </w:r>
      <w:r w:rsidRPr="00137B36">
        <w:rPr>
          <w:rStyle w:val="FootnoteReference"/>
          <w:szCs w:val="24"/>
        </w:rPr>
        <w:footnoteReference w:id="1"/>
      </w:r>
      <w:r w:rsidRPr="00137B36">
        <w:t>, и по-специално член 15 от него,</w:t>
      </w:r>
    </w:p>
    <w:p w:rsidR="00A7352C" w:rsidRPr="00137B36" w:rsidRDefault="00A7352C" w:rsidP="00A7352C">
      <w:pPr>
        <w:pStyle w:val="NormalHanging12a"/>
      </w:pPr>
      <w:r w:rsidRPr="00137B36">
        <w:t>–</w:t>
      </w:r>
      <w:r w:rsidRPr="00137B36">
        <w:tab/>
        <w:t xml:space="preserve">като взе предвид Регламент (ЕО) </w:t>
      </w:r>
      <w:r w:rsidR="002A06F3" w:rsidRPr="00137B36">
        <w:t>№</w:t>
      </w:r>
      <w:r w:rsidR="002A06F3">
        <w:rPr>
          <w:lang w:val="en-GB"/>
        </w:rPr>
        <w:t xml:space="preserve"> </w:t>
      </w:r>
      <w:r w:rsidRPr="00137B36">
        <w:t>111/2005 на Съвета от 22 декември 2004 г.</w:t>
      </w:r>
      <w:r w:rsidR="00F00236" w:rsidRPr="00137B36">
        <w:t xml:space="preserve"> за определяне на правила за мониторинг на търговията между </w:t>
      </w:r>
      <w:r w:rsidR="00F00236">
        <w:t>Общността</w:t>
      </w:r>
      <w:r w:rsidR="00F00236" w:rsidRPr="00137B36">
        <w:t xml:space="preserve"> и трети страни в областта на прекурсорите</w:t>
      </w:r>
      <w:r w:rsidRPr="00137B36">
        <w:rPr>
          <w:rStyle w:val="FootnoteReference"/>
        </w:rPr>
        <w:footnoteReference w:id="2"/>
      </w:r>
      <w:r w:rsidRPr="00137B36">
        <w:t>, и по-специално член 30а и член 30б, параграф 5от него,</w:t>
      </w:r>
    </w:p>
    <w:p w:rsidR="00A7352C" w:rsidRPr="00137B36" w:rsidRDefault="00A7352C" w:rsidP="00A7352C">
      <w:pPr>
        <w:pStyle w:val="NormalHanging12a"/>
      </w:pPr>
      <w:r w:rsidRPr="00137B36">
        <w:t>–</w:t>
      </w:r>
      <w:r w:rsidRPr="00137B36">
        <w:tab/>
        <w:t>като взе предвид член 111, параграф 6 от своя Правилник за дейността,</w:t>
      </w:r>
    </w:p>
    <w:p w:rsidR="00A7352C" w:rsidRDefault="00A7352C" w:rsidP="00A7352C">
      <w:pPr>
        <w:pStyle w:val="NormalHanging12a"/>
      </w:pPr>
      <w:r w:rsidRPr="00137B36">
        <w:lastRenderedPageBreak/>
        <w:t>–</w:t>
      </w:r>
      <w:r w:rsidRPr="00137B36">
        <w:tab/>
        <w:t>като взе предвид препоръката за решение на комисията по граждански свободи, правосъдие и вътрешни работи,</w:t>
      </w:r>
    </w:p>
    <w:p w:rsidR="00505F27" w:rsidRPr="00137B36" w:rsidRDefault="00505F27" w:rsidP="00A7352C">
      <w:pPr>
        <w:pStyle w:val="NormalHanging12a"/>
      </w:pPr>
      <w:r>
        <w:t>–</w:t>
      </w:r>
      <w:r>
        <w:tab/>
      </w:r>
      <w:r w:rsidRPr="00505F27">
        <w:t>като взе предвид обстоятелството, че не са представени възражения в срока, предвиден в член 111, параграф 6, трето и четвърто тире от своя Правилник за де</w:t>
      </w:r>
      <w:r>
        <w:t>йността, който срок изтече на 23</w:t>
      </w:r>
      <w:r w:rsidRPr="00505F27">
        <w:t xml:space="preserve"> април 2024 г.,</w:t>
      </w:r>
    </w:p>
    <w:p w:rsidR="00A7352C" w:rsidRPr="00137B36" w:rsidRDefault="00A7352C" w:rsidP="00A7352C">
      <w:pPr>
        <w:pStyle w:val="NormalHanging12a"/>
      </w:pPr>
      <w:r w:rsidRPr="00137B36">
        <w:t>А.</w:t>
      </w:r>
      <w:r w:rsidRPr="00137B36">
        <w:tab/>
        <w:t>като има предвид, че законодателната рамка на ЕС относно мерките за контрол на достъпа до вещества, използвани при производството на забранени наркотични вещества, трябва да се актуализира непрекъснато, за да се противодейства на разпространението на т.нар. „дизайнерски прекурсори“, които са близки по химичен състав на традиционните прекурсори на наркотични вещества, създадени с цел заобикаляне на съществуващите правила;</w:t>
      </w:r>
    </w:p>
    <w:p w:rsidR="00A7352C" w:rsidRPr="00137B36" w:rsidRDefault="00A7352C" w:rsidP="00A7352C">
      <w:pPr>
        <w:pStyle w:val="ManualConsidrant"/>
        <w:ind w:left="567" w:hanging="567"/>
        <w:jc w:val="left"/>
        <w:rPr>
          <w:noProof/>
        </w:rPr>
      </w:pPr>
      <w:r w:rsidRPr="00137B36">
        <w:t>Б.</w:t>
      </w:r>
      <w:r w:rsidRPr="00137B36">
        <w:tab/>
        <w:t>като има предвид, че натриевата сол на изопропилиденов (2-(3,4-метилендиоксифенил)ацетил)малонат (IMDPAM) е идентифицирана като новоразработен прекурсор на наркотични вещества, използван при производството на MDMA (3,4-метилендиоксиметамфетамин), известен като „екстази“;</w:t>
      </w:r>
    </w:p>
    <w:p w:rsidR="00A7352C" w:rsidRPr="00137B36" w:rsidRDefault="00A7352C" w:rsidP="00A7352C">
      <w:pPr>
        <w:pStyle w:val="ManualConsidrant"/>
        <w:ind w:left="567" w:hanging="567"/>
        <w:jc w:val="left"/>
        <w:rPr>
          <w:noProof/>
        </w:rPr>
      </w:pPr>
      <w:r w:rsidRPr="00137B36">
        <w:t>В.</w:t>
      </w:r>
      <w:r w:rsidRPr="00137B36">
        <w:tab/>
        <w:t>като има предвид, че седем естера на 2-метил-3-фенилоксиран-2-карбоксилната киселина (BMK глицидната киселина) и шест естера на 3-(1,3-бензодиоксол-5-ил)-2-метилоксиран-2-карбоксилната киселина (PMK глицидната киселина) са идентифицирани като възможни заместители на BMK глицидната киселина и PMK глицидната киселина, които са контролирани прекурсори съгласно законодателството на ЕС при производството на незаконни наркотици като MDMA, метамфетамин и амфетамин;</w:t>
      </w:r>
    </w:p>
    <w:p w:rsidR="00A7352C" w:rsidRPr="00137B36" w:rsidRDefault="00A7352C" w:rsidP="00A7352C">
      <w:pPr>
        <w:pStyle w:val="ManualConsidrant"/>
        <w:ind w:left="567" w:hanging="567"/>
        <w:jc w:val="left"/>
        <w:rPr>
          <w:noProof/>
        </w:rPr>
      </w:pPr>
      <w:r w:rsidRPr="00137B36">
        <w:t>Г.</w:t>
      </w:r>
      <w:r w:rsidRPr="00137B36">
        <w:tab/>
        <w:t>като има предвид, че е необходимо да се измени описът на включените в списък вещества, съдържащ се в приложение I към Регламент (ЕО) № 273/2004 и в приложението към Регламент (ЕО) № 111/2005, с оглед на това IMDPAM и идентифицираните естери на BMK глицидната киселина и PMK глицидната киселина да бъдат обхванати от хармонизираните мерки за контрол и мониторинг, предвидени в тези регламенти;</w:t>
      </w:r>
    </w:p>
    <w:p w:rsidR="00A7352C" w:rsidRPr="00137B36" w:rsidRDefault="00A7352C" w:rsidP="00A7352C">
      <w:pPr>
        <w:pStyle w:val="ManualConsidrant"/>
        <w:ind w:left="567" w:hanging="567"/>
        <w:jc w:val="left"/>
        <w:rPr>
          <w:noProof/>
        </w:rPr>
      </w:pPr>
      <w:r w:rsidRPr="00137B36">
        <w:t xml:space="preserve">Д. </w:t>
      </w:r>
      <w:r w:rsidRPr="00137B36">
        <w:tab/>
        <w:t>като има предвид, че мерките за контрол на достъпа до новите вещества, класифицирани съгласно Регламенти (ЕО) № 273/2004 и (ЕО) № 111/2005, следва да влязат в сила възможно най-скоро, за да се предотврати употребата на тези прекурсори на наркотични вещества за производството и пускането на пазара на забранени наркотични вещества;</w:t>
      </w:r>
    </w:p>
    <w:p w:rsidR="00A7352C" w:rsidRPr="00137B36" w:rsidRDefault="00A7352C" w:rsidP="00A7352C">
      <w:pPr>
        <w:pStyle w:val="ManualConsidrant"/>
        <w:spacing w:after="240"/>
        <w:ind w:left="567" w:hanging="567"/>
        <w:jc w:val="left"/>
        <w:rPr>
          <w:spacing w:val="-2"/>
          <w:szCs w:val="24"/>
        </w:rPr>
      </w:pPr>
      <w:r w:rsidRPr="00137B36">
        <w:t>Е.</w:t>
      </w:r>
      <w:r w:rsidRPr="00137B36">
        <w:tab/>
        <w:t>като има предвид, че в пътната карта на ЕС за борба с трафика на наркотици и организираната престъпност (COM(2023)0641) Европейската комисия се ангажира да положи всички усилия, в сътрудничество с Парламента и Съвета, за ускоряване на процедурата за приемане на бъдещи делегирани актове за добавяне на допълнителни вещества в обхвата на регламенти (ЕО) № 273/2004 и (ЕО) № 111/2005;</w:t>
      </w:r>
    </w:p>
    <w:p w:rsidR="00A7352C" w:rsidRPr="00137B36" w:rsidRDefault="00A7352C" w:rsidP="00A7352C">
      <w:pPr>
        <w:pStyle w:val="NormalHanging12a"/>
      </w:pPr>
      <w:r w:rsidRPr="00137B36">
        <w:t>1.</w:t>
      </w:r>
      <w:r w:rsidRPr="00137B36">
        <w:tab/>
        <w:t>заявява, че не възразява срещу делегирания регламент;</w:t>
      </w:r>
    </w:p>
    <w:p w:rsidR="00E365E1" w:rsidRPr="00137B36" w:rsidRDefault="00A7352C" w:rsidP="007E1DA9">
      <w:pPr>
        <w:ind w:left="567" w:hanging="567"/>
      </w:pPr>
      <w:r w:rsidRPr="00137B36">
        <w:t>2.</w:t>
      </w:r>
      <w:r w:rsidRPr="00137B36">
        <w:tab/>
        <w:t xml:space="preserve">възлага на своя председател да предаде настоящото решение </w:t>
      </w:r>
      <w:r w:rsidR="00137B36" w:rsidRPr="00137B36">
        <w:t>на Съвета и на Комисията.</w:t>
      </w:r>
      <w:bookmarkStart w:id="8" w:name="TextBodyEnd"/>
      <w:bookmarkEnd w:id="8"/>
    </w:p>
    <w:sectPr w:rsidR="00E365E1" w:rsidRPr="00137B36" w:rsidSect="00137B3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647B6" w:rsidRPr="00137B36" w:rsidRDefault="000647B6">
      <w:r w:rsidRPr="00137B36">
        <w:separator/>
      </w:r>
    </w:p>
  </w:endnote>
  <w:endnote w:type="continuationSeparator" w:id="0">
    <w:p w:rsidR="000647B6" w:rsidRPr="00137B36" w:rsidRDefault="000647B6">
      <w:r w:rsidRPr="00137B3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37B3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37B3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37B3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647B6" w:rsidRPr="00137B36" w:rsidRDefault="000647B6">
      <w:r w:rsidRPr="00137B36">
        <w:separator/>
      </w:r>
    </w:p>
  </w:footnote>
  <w:footnote w:type="continuationSeparator" w:id="0">
    <w:p w:rsidR="000647B6" w:rsidRPr="00137B36" w:rsidRDefault="000647B6">
      <w:r w:rsidRPr="00137B36">
        <w:continuationSeparator/>
      </w:r>
    </w:p>
  </w:footnote>
  <w:footnote w:id="1">
    <w:p w:rsidR="00A7352C" w:rsidRPr="00137B36" w:rsidRDefault="00A7352C" w:rsidP="00137B36">
      <w:pPr>
        <w:pStyle w:val="FootnoteText"/>
        <w:ind w:left="567" w:hanging="567"/>
        <w:rPr>
          <w:sz w:val="24"/>
          <w:lang w:val="bg-BG"/>
        </w:rPr>
      </w:pPr>
      <w:r w:rsidRPr="00137B36">
        <w:rPr>
          <w:rStyle w:val="FootnoteReference"/>
          <w:sz w:val="24"/>
          <w:lang w:val="bg-BG"/>
        </w:rPr>
        <w:footnoteRef/>
      </w:r>
      <w:r w:rsidR="00137B36" w:rsidRPr="00137B36">
        <w:rPr>
          <w:sz w:val="24"/>
          <w:lang w:val="bg-BG"/>
        </w:rPr>
        <w:t xml:space="preserve"> </w:t>
      </w:r>
      <w:r w:rsidR="00137B36" w:rsidRPr="00137B36">
        <w:rPr>
          <w:sz w:val="24"/>
          <w:lang w:val="bg-BG"/>
        </w:rPr>
        <w:tab/>
      </w:r>
      <w:r w:rsidRPr="00137B36">
        <w:rPr>
          <w:sz w:val="24"/>
          <w:lang w:val="bg-BG"/>
        </w:rPr>
        <w:t>ОВ L 47, 18.2.2004 г., стр. 1.</w:t>
      </w:r>
    </w:p>
  </w:footnote>
  <w:footnote w:id="2">
    <w:p w:rsidR="00A7352C" w:rsidRPr="00137B36" w:rsidRDefault="00A7352C" w:rsidP="00137B36">
      <w:pPr>
        <w:pStyle w:val="FootnoteText"/>
        <w:ind w:left="567" w:hanging="567"/>
        <w:rPr>
          <w:sz w:val="24"/>
          <w:lang w:val="bg-BG"/>
        </w:rPr>
      </w:pPr>
      <w:r w:rsidRPr="00137B36">
        <w:rPr>
          <w:rStyle w:val="FootnoteReference"/>
          <w:sz w:val="24"/>
          <w:lang w:val="bg-BG"/>
        </w:rPr>
        <w:footnoteRef/>
      </w:r>
      <w:r w:rsidR="00137B36" w:rsidRPr="00137B36">
        <w:rPr>
          <w:sz w:val="24"/>
          <w:lang w:val="bg-BG"/>
        </w:rPr>
        <w:t xml:space="preserve"> </w:t>
      </w:r>
      <w:r w:rsidR="00137B36" w:rsidRPr="00137B36">
        <w:rPr>
          <w:sz w:val="24"/>
          <w:lang w:val="bg-BG"/>
        </w:rPr>
        <w:tab/>
      </w:r>
      <w:r w:rsidRPr="00137B36">
        <w:rPr>
          <w:sz w:val="24"/>
          <w:lang w:val="bg-BG"/>
        </w:rPr>
        <w:t>ОВ L 22, 26.1.2005 г., стр.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37B3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37B3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37B3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213/2024"/>
    <w:docVar w:name="dvlangue" w:val="BG"/>
    <w:docVar w:name="dvnumam" w:val="0"/>
    <w:docVar w:name="dvpe" w:val="760.991"/>
    <w:docVar w:name="dvtitre" w:val="Решение на Европейския парламент от ... 2024 г. за непротивопоставяне на делегирания регламент на Комисията от 28 февруари 2024 г. за изменение на Регламент (ЕО) № 273/2004 на Европейския парламент и на Съвета и Регламент (ЕО) № 111/2005 на Съвета с цел добавяне на прекурсора на наркотичното вещество изопропилиденов (2-(3,4-метилендиоксифенил)ацетил)малонат (IMDPAM), както и на други вещества, в описа на включените в списък вещества(C(2024)01219 - 2024/2606(DEA))"/>
  </w:docVars>
  <w:rsids>
    <w:rsidRoot w:val="000647B6"/>
    <w:rsid w:val="00002272"/>
    <w:rsid w:val="00064002"/>
    <w:rsid w:val="000647B6"/>
    <w:rsid w:val="000677B9"/>
    <w:rsid w:val="000831BA"/>
    <w:rsid w:val="000A42CC"/>
    <w:rsid w:val="000E7DD9"/>
    <w:rsid w:val="0010095E"/>
    <w:rsid w:val="00125B37"/>
    <w:rsid w:val="00137B36"/>
    <w:rsid w:val="00187494"/>
    <w:rsid w:val="001F32AE"/>
    <w:rsid w:val="002767FF"/>
    <w:rsid w:val="002A06F3"/>
    <w:rsid w:val="002B18FE"/>
    <w:rsid w:val="002B3AA1"/>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5F27"/>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1DA9"/>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352C"/>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0236"/>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0BC989"/>
  <w15:chartTrackingRefBased/>
  <w15:docId w15:val="{9B9E76C5-EBCA-415D-9FDD-C006FB6EE4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7352C"/>
    <w:pPr>
      <w:spacing w:before="480" w:after="240"/>
    </w:pPr>
  </w:style>
  <w:style w:type="paragraph" w:customStyle="1" w:styleId="NormalHanging12a">
    <w:name w:val="NormalHanging12a"/>
    <w:basedOn w:val="Normal"/>
    <w:rsid w:val="00A7352C"/>
    <w:pPr>
      <w:spacing w:after="240"/>
      <w:ind w:left="567" w:hanging="567"/>
    </w:pPr>
  </w:style>
  <w:style w:type="paragraph" w:customStyle="1" w:styleId="ManualConsidrant">
    <w:name w:val="Manual Considérant"/>
    <w:basedOn w:val="Normal"/>
    <w:rsid w:val="00A7352C"/>
    <w:pPr>
      <w:widowControl/>
      <w:spacing w:before="120" w:after="120"/>
      <w:ind w:left="709" w:hanging="709"/>
      <w:jc w:val="both"/>
    </w:pPr>
    <w:rPr>
      <w:rFonts w:eastAsiaTheme="minorHAnsi"/>
      <w:szCs w:val="22"/>
      <w:lang w:eastAsia="en-US"/>
    </w:rPr>
  </w:style>
  <w:style w:type="paragraph" w:styleId="BalloonText">
    <w:name w:val="Balloon Text"/>
    <w:basedOn w:val="Normal"/>
    <w:link w:val="BalloonTextChar"/>
    <w:rsid w:val="00F00236"/>
    <w:rPr>
      <w:rFonts w:ascii="Segoe UI" w:hAnsi="Segoe UI" w:cs="Segoe UI"/>
      <w:sz w:val="18"/>
      <w:szCs w:val="18"/>
    </w:rPr>
  </w:style>
  <w:style w:type="character" w:customStyle="1" w:styleId="BalloonTextChar">
    <w:name w:val="Balloon Text Char"/>
    <w:basedOn w:val="DefaultParagraphFont"/>
    <w:link w:val="BalloonText"/>
    <w:rsid w:val="00F00236"/>
    <w:rPr>
      <w:rFonts w:ascii="Segoe UI" w:hAnsi="Segoe UI" w:cs="Segoe UI"/>
      <w:sz w:val="18"/>
      <w:szCs w:val="18"/>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D677C9-E389-4BA6-B1D7-2B44CF3A98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639</Words>
  <Characters>3936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Kiril GIRGINOV</dc:creator>
  <cp:keywords/>
  <cp:lastModifiedBy>DIMITROV Cvetan</cp:lastModifiedBy>
  <cp:revision>2</cp:revision>
  <cp:lastPrinted>2004-11-19T15:42:00Z</cp:lastPrinted>
  <dcterms:created xsi:type="dcterms:W3CDTF">2024-06-12T06:50:00Z</dcterms:created>
  <dcterms:modified xsi:type="dcterms:W3CDTF">2024-06-12T06:50:00Z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P9_TA(2024)0314_</vt:lpwstr>
  </property>
  <property fmtid="{D5CDD505-2E9C-101B-9397-08002B2CF9AE}" pid="4" name="&lt;Type&gt;">
    <vt:lpwstr>RR</vt:lpwstr>
  </property>
</Properties>
</file>