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2C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2CA1" w:rsidRDefault="001D29BE" w:rsidP="0010095E">
            <w:pPr>
              <w:pStyle w:val="EPName"/>
            </w:pPr>
            <w:bookmarkStart w:id="0" w:name="_GoBack"/>
            <w:bookmarkEnd w:id="0"/>
            <w:r w:rsidRPr="00282CA1">
              <w:t>Evropský parlament</w:t>
            </w:r>
          </w:p>
          <w:p w:rsidR="00751A4A" w:rsidRPr="00282C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2C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82CA1" w:rsidRDefault="00187494" w:rsidP="0010095E">
            <w:pPr>
              <w:pStyle w:val="EPLogo"/>
            </w:pPr>
            <w:r w:rsidRPr="00282C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2CA1" w:rsidRDefault="00D058B8" w:rsidP="004C5D52">
      <w:pPr>
        <w:pStyle w:val="LineTop"/>
      </w:pPr>
    </w:p>
    <w:p w:rsidR="00680577" w:rsidRPr="00282CA1" w:rsidRDefault="001D29BE" w:rsidP="00680577">
      <w:pPr>
        <w:pStyle w:val="EPBodyTA1"/>
      </w:pPr>
      <w:r w:rsidRPr="00282CA1">
        <w:t>PŘIJATÉ TEXTY</w:t>
      </w:r>
    </w:p>
    <w:p w:rsidR="00D058B8" w:rsidRPr="00282CA1" w:rsidRDefault="00D058B8" w:rsidP="00D058B8">
      <w:pPr>
        <w:pStyle w:val="LineBottom"/>
      </w:pPr>
    </w:p>
    <w:p w:rsidR="001D29BE" w:rsidRPr="00282CA1" w:rsidRDefault="001D29BE" w:rsidP="001D29BE">
      <w:pPr>
        <w:pStyle w:val="ATHeading1"/>
      </w:pPr>
      <w:bookmarkStart w:id="1" w:name="TANumber"/>
      <w:r w:rsidRPr="00282CA1">
        <w:t>P9_TA(2024)0</w:t>
      </w:r>
      <w:bookmarkEnd w:id="1"/>
      <w:r w:rsidR="009842D3">
        <w:t>314</w:t>
      </w:r>
    </w:p>
    <w:p w:rsidR="001D29BE" w:rsidRPr="00282CA1" w:rsidRDefault="009842D3" w:rsidP="001D29BE">
      <w:pPr>
        <w:pStyle w:val="ATHeading2"/>
      </w:pPr>
      <w:r w:rsidRPr="009842D3">
        <w:t>Nevyslovení námitky vůči aktu v přenesené pravomoci: zařazení prekurs</w:t>
      </w:r>
      <w:r>
        <w:t xml:space="preserve">oru drog </w:t>
      </w:r>
      <w:proofErr w:type="spellStart"/>
      <w:r>
        <w:t>isopropylidenu</w:t>
      </w:r>
      <w:proofErr w:type="spellEnd"/>
      <w:r>
        <w:t xml:space="preserve"> [2-(3,4-</w:t>
      </w:r>
      <w:r w:rsidRPr="009842D3">
        <w:t>methylendioxyfenyl)acetyl]</w:t>
      </w:r>
      <w:proofErr w:type="spellStart"/>
      <w:r w:rsidRPr="009842D3">
        <w:t>malonátu</w:t>
      </w:r>
      <w:proofErr w:type="spellEnd"/>
      <w:r w:rsidRPr="009842D3">
        <w:t xml:space="preserve"> (IMDPAM) a dalších látek na seznam uvedených látek </w:t>
      </w:r>
    </w:p>
    <w:p w:rsidR="001D29BE" w:rsidRPr="00282CA1" w:rsidRDefault="001D29BE" w:rsidP="001D29BE">
      <w:pPr>
        <w:rPr>
          <w:i/>
          <w:vanish/>
        </w:rPr>
      </w:pPr>
      <w:r w:rsidRPr="00282CA1">
        <w:rPr>
          <w:i/>
        </w:rPr>
        <w:fldChar w:fldCharType="begin"/>
      </w:r>
      <w:r w:rsidRPr="00282CA1">
        <w:rPr>
          <w:i/>
        </w:rPr>
        <w:instrText xml:space="preserve"> TC"(</w:instrText>
      </w:r>
      <w:bookmarkStart w:id="2" w:name="DocNumber"/>
      <w:r w:rsidRPr="00282CA1">
        <w:rPr>
          <w:i/>
        </w:rPr>
        <w:instrText>B9-0213/2024</w:instrText>
      </w:r>
      <w:bookmarkEnd w:id="2"/>
      <w:r w:rsidRPr="00282CA1">
        <w:rPr>
          <w:i/>
        </w:rPr>
        <w:instrText xml:space="preserve">)"\l3 \n&gt; \* MERGEFORMAT </w:instrText>
      </w:r>
      <w:r w:rsidRPr="00282CA1">
        <w:rPr>
          <w:i/>
        </w:rPr>
        <w:fldChar w:fldCharType="end"/>
      </w:r>
    </w:p>
    <w:p w:rsidR="001D29BE" w:rsidRPr="00282CA1" w:rsidRDefault="001D29BE" w:rsidP="001D29BE">
      <w:pPr>
        <w:rPr>
          <w:vanish/>
        </w:rPr>
      </w:pPr>
      <w:bookmarkStart w:id="3" w:name="PE"/>
      <w:r w:rsidRPr="00282CA1">
        <w:rPr>
          <w:vanish/>
        </w:rPr>
        <w:t>PE760.991</w:t>
      </w:r>
      <w:bookmarkEnd w:id="3"/>
    </w:p>
    <w:p w:rsidR="001D29BE" w:rsidRPr="00282CA1" w:rsidRDefault="001D29BE" w:rsidP="001D29BE">
      <w:pPr>
        <w:pStyle w:val="ATHeading3"/>
      </w:pPr>
      <w:bookmarkStart w:id="4" w:name="Sujet"/>
      <w:r w:rsidRPr="00282CA1">
        <w:t>Rozhodnutí Evrop</w:t>
      </w:r>
      <w:r w:rsidR="009842D3">
        <w:t>ského parlamentu</w:t>
      </w:r>
      <w:r w:rsidRPr="00282CA1">
        <w:t xml:space="preserve"> nevznést námitku </w:t>
      </w:r>
      <w:r w:rsidR="009842D3">
        <w:t>vůči</w:t>
      </w:r>
      <w:r w:rsidRPr="00282CA1">
        <w:t xml:space="preserve"> nařízení Komise v přenesené pravomoci ze dne 28. února 2024, kterým se mění nařízení Evropského parlamentu a Rady (ES) č. 273/2004 a nařízení Rady (ES) č. 111/2005, pokud jde o zařazení prekursoru drog </w:t>
      </w:r>
      <w:proofErr w:type="spellStart"/>
      <w:r w:rsidRPr="00282CA1">
        <w:t>isopropylidenu</w:t>
      </w:r>
      <w:proofErr w:type="spellEnd"/>
      <w:r w:rsidRPr="00282CA1">
        <w:t xml:space="preserve"> [2-(3,4-methylendioxyfenyl)acetyl]</w:t>
      </w:r>
      <w:proofErr w:type="spellStart"/>
      <w:r w:rsidRPr="00282CA1">
        <w:t>malonátu</w:t>
      </w:r>
      <w:proofErr w:type="spellEnd"/>
      <w:r w:rsidRPr="00282CA1">
        <w:t xml:space="preserve"> (IMDPAM) a dalších látek na seznam uvedených látek</w:t>
      </w:r>
      <w:bookmarkEnd w:id="4"/>
      <w:r w:rsidRPr="00282CA1">
        <w:t xml:space="preserve"> </w:t>
      </w:r>
      <w:bookmarkStart w:id="5" w:name="References"/>
      <w:r w:rsidRPr="00282CA1">
        <w:t>(C(2024)01219 - 2024/2606(DEA))</w:t>
      </w:r>
      <w:bookmarkEnd w:id="5"/>
    </w:p>
    <w:p w:rsidR="001D29BE" w:rsidRPr="00282CA1" w:rsidRDefault="001D29BE" w:rsidP="001D29BE"/>
    <w:p w:rsidR="00DC5912" w:rsidRPr="00282CA1" w:rsidRDefault="00DC5912" w:rsidP="00DC5912">
      <w:pPr>
        <w:pStyle w:val="EPComma"/>
      </w:pPr>
      <w:bookmarkStart w:id="6" w:name="TextBodyBegin"/>
      <w:bookmarkEnd w:id="6"/>
      <w:r w:rsidRPr="00282CA1">
        <w:rPr>
          <w:i/>
        </w:rPr>
        <w:t>Evropský parlament</w:t>
      </w:r>
      <w:r w:rsidRPr="00282CA1">
        <w:t>,</w:t>
      </w:r>
    </w:p>
    <w:p w:rsidR="00DC5912" w:rsidRPr="00282CA1" w:rsidRDefault="00DC5912" w:rsidP="00DC5912">
      <w:pPr>
        <w:pStyle w:val="NormalHanging12a"/>
      </w:pPr>
      <w:r w:rsidRPr="00282CA1">
        <w:t>–</w:t>
      </w:r>
      <w:r w:rsidRPr="00282CA1">
        <w:tab/>
        <w:t>s ohledem na nařízení Komise v přenesené pravomoci (C(2024)01219),</w:t>
      </w:r>
    </w:p>
    <w:p w:rsidR="00DC5912" w:rsidRPr="00282CA1" w:rsidRDefault="00DC5912" w:rsidP="00DC5912">
      <w:pPr>
        <w:pStyle w:val="NormalHanging12a"/>
        <w:rPr>
          <w:spacing w:val="-2"/>
          <w:szCs w:val="24"/>
        </w:rPr>
      </w:pPr>
      <w:r w:rsidRPr="00282CA1">
        <w:t>–</w:t>
      </w:r>
      <w:r w:rsidRPr="00282CA1">
        <w:tab/>
        <w:t>s ohledem na dopis Komise ze dne 13. března 2024, kterým Komise žádá Evropský parlament, aby uvedl, že nevysloví námitku proti nařízení v přenesené pravomoci,</w:t>
      </w:r>
    </w:p>
    <w:p w:rsidR="00DC5912" w:rsidRPr="00282CA1" w:rsidRDefault="00DC5912" w:rsidP="00DC5912">
      <w:pPr>
        <w:pStyle w:val="NormalHanging12a"/>
      </w:pPr>
      <w:r w:rsidRPr="00282CA1">
        <w:t>–</w:t>
      </w:r>
      <w:r w:rsidRPr="00282CA1">
        <w:tab/>
        <w:t>s ohledem na dopis Výboru pro občanské svobody, spravedlnost a vnitřní věci předsedovi Konference předsedů výborů,</w:t>
      </w:r>
    </w:p>
    <w:p w:rsidR="00DC5912" w:rsidRPr="00282CA1" w:rsidRDefault="00DC5912" w:rsidP="00DC5912">
      <w:pPr>
        <w:pStyle w:val="NormalHanging12a"/>
      </w:pPr>
      <w:r w:rsidRPr="00282CA1">
        <w:t>–</w:t>
      </w:r>
      <w:r w:rsidRPr="00282CA1">
        <w:tab/>
        <w:t>s ohledem na článek 290 Smlouvy o fungování Evropské unie,</w:t>
      </w:r>
    </w:p>
    <w:p w:rsidR="00DC5912" w:rsidRPr="00282CA1" w:rsidRDefault="00DC5912" w:rsidP="00DC5912">
      <w:pPr>
        <w:pStyle w:val="NormalHanging12a"/>
      </w:pPr>
      <w:r w:rsidRPr="00282CA1">
        <w:t>–</w:t>
      </w:r>
      <w:r w:rsidRPr="00282CA1">
        <w:tab/>
        <w:t xml:space="preserve">s ohledem na nařízení Evropského parlamentu a Rady (ES) č. 273/2004 ze dne 11. února 2004 o prekursorech drog </w:t>
      </w:r>
      <w:r w:rsidRPr="00282CA1">
        <w:rPr>
          <w:rStyle w:val="FootnoteReference"/>
          <w:szCs w:val="24"/>
        </w:rPr>
        <w:footnoteReference w:id="1"/>
      </w:r>
      <w:r w:rsidRPr="00282CA1">
        <w:t>, a zejména na čl. 15a čl. 15 a odst. 5 uvedeného nařízení,</w:t>
      </w:r>
    </w:p>
    <w:p w:rsidR="00DC5912" w:rsidRPr="00282CA1" w:rsidRDefault="00DC5912" w:rsidP="00DC5912">
      <w:pPr>
        <w:pStyle w:val="NormalHanging12a"/>
      </w:pPr>
      <w:r w:rsidRPr="00282CA1">
        <w:t>–</w:t>
      </w:r>
      <w:r w:rsidRPr="00282CA1">
        <w:tab/>
        <w:t>s ohledem na nařízení Rady (ES) č. 111/2005 ze dne 22. prosince 2004</w:t>
      </w:r>
      <w:r w:rsidRPr="00282CA1">
        <w:rPr>
          <w:rStyle w:val="FootnoteReference"/>
        </w:rPr>
        <w:footnoteReference w:id="2"/>
      </w:r>
      <w:r w:rsidRPr="00282CA1">
        <w:t>, kterým se stanoví pravidla pro sledování obchodu s prekursory drog mezi Unií a třetími zeměmi, a zejména na čl. 30a a čl. 30b odst. 5 uvedeného nařízení,</w:t>
      </w:r>
    </w:p>
    <w:p w:rsidR="00DC5912" w:rsidRPr="00282CA1" w:rsidRDefault="00DC5912" w:rsidP="00DC5912">
      <w:pPr>
        <w:pStyle w:val="NormalHanging12a"/>
      </w:pPr>
      <w:r w:rsidRPr="00282CA1">
        <w:lastRenderedPageBreak/>
        <w:t>–</w:t>
      </w:r>
      <w:r w:rsidRPr="00282CA1">
        <w:tab/>
        <w:t>s ohledem na čl. 111 odst. 6 jednacího řádu,</w:t>
      </w:r>
    </w:p>
    <w:p w:rsidR="00DC5912" w:rsidRDefault="00DC5912" w:rsidP="00DC5912">
      <w:pPr>
        <w:pStyle w:val="NormalHanging12a"/>
      </w:pPr>
      <w:r w:rsidRPr="00282CA1">
        <w:t>–</w:t>
      </w:r>
      <w:r w:rsidRPr="00282CA1">
        <w:tab/>
        <w:t>s ohledem na doporučení k rozhodnutí Výboru pro občanské svobody, spravedlnost a vnitřní věci,</w:t>
      </w:r>
    </w:p>
    <w:p w:rsidR="009842D3" w:rsidRPr="00282CA1" w:rsidRDefault="009842D3" w:rsidP="00DC5912">
      <w:pPr>
        <w:pStyle w:val="NormalHanging12a"/>
      </w:pPr>
      <w:r w:rsidRPr="009842D3">
        <w:t>–</w:t>
      </w:r>
      <w:r w:rsidRPr="009842D3">
        <w:tab/>
        <w:t>s ohledem na to, že ve lhůtě stanovené v čl. 111 odst. 6 třetí a čtvrté odrážce jedna</w:t>
      </w:r>
      <w:r>
        <w:t>cího řádu, která uplynula dne 23</w:t>
      </w:r>
      <w:r w:rsidRPr="009842D3">
        <w:t>. dubna 2024, nebyla vyslovena žádná námitka,</w:t>
      </w:r>
    </w:p>
    <w:p w:rsidR="00DC5912" w:rsidRPr="00282CA1" w:rsidRDefault="00DC5912" w:rsidP="00DC5912">
      <w:pPr>
        <w:pStyle w:val="NormalHanging12a"/>
      </w:pPr>
      <w:r w:rsidRPr="00282CA1">
        <w:t>A.</w:t>
      </w:r>
      <w:r w:rsidRPr="00282CA1">
        <w:tab/>
        <w:t>vzhledem k tomu, že legislativní rámec EU týkající se opatření pro kontrolu přístupu k látkám používaným při výrobě nelegálních drog musí být průběžně aktualizován, aby se zabránilo šíření tzv. „prekurzorů na zakázku“, což jsou chemické prekurzory blízce příbuzné tradičním drogám a vytvořené za účelem obejít stávající pravidla;</w:t>
      </w:r>
    </w:p>
    <w:p w:rsidR="00DC5912" w:rsidRPr="00282CA1" w:rsidRDefault="00DC5912" w:rsidP="00DC5912">
      <w:pPr>
        <w:pStyle w:val="ManualConsidrant"/>
        <w:ind w:left="567" w:hanging="567"/>
        <w:jc w:val="left"/>
        <w:rPr>
          <w:noProof/>
        </w:rPr>
      </w:pPr>
      <w:r w:rsidRPr="00282CA1">
        <w:t>B.</w:t>
      </w:r>
      <w:r w:rsidRPr="00282CA1">
        <w:tab/>
        <w:t xml:space="preserve">vzhledem k tomu, že sodná sůl </w:t>
      </w:r>
      <w:proofErr w:type="spellStart"/>
      <w:r w:rsidRPr="00282CA1">
        <w:t>isopropylidanu</w:t>
      </w:r>
      <w:proofErr w:type="spellEnd"/>
      <w:r w:rsidRPr="00282CA1">
        <w:t xml:space="preserve"> (2-(3,4-methylendioxyfenyl)acetyl)</w:t>
      </w:r>
      <w:proofErr w:type="spellStart"/>
      <w:r w:rsidRPr="00282CA1">
        <w:t>malonátu</w:t>
      </w:r>
      <w:proofErr w:type="spellEnd"/>
      <w:r w:rsidRPr="00282CA1">
        <w:t xml:space="preserve"> (IMDPAM) byla označena za nově vyvinutý prekursor drog používaný při výrobě MDMA (3,4-methylendioxymetamfetaminu), obecně známého jako „extáze“;</w:t>
      </w:r>
    </w:p>
    <w:p w:rsidR="00DC5912" w:rsidRPr="00282CA1" w:rsidRDefault="00DC5912" w:rsidP="00DC5912">
      <w:pPr>
        <w:pStyle w:val="ManualConsidrant"/>
        <w:ind w:left="567" w:hanging="567"/>
        <w:jc w:val="left"/>
        <w:rPr>
          <w:noProof/>
        </w:rPr>
      </w:pPr>
      <w:r w:rsidRPr="00282CA1">
        <w:t>C.</w:t>
      </w:r>
      <w:r w:rsidRPr="00282CA1">
        <w:tab/>
        <w:t>vzhledem k tomu, že při výrobě nedovolených drog, jako je MDMA, metamfetaminu a amfetaminu bylo identifikováno sedm esterů 2-methyl-3-fenyloxiran-2-karboxylové kyseliny (BMK glycidové kyseliny) a šest esterů 3-(1,3-benzodioxol-5-yl)-2-methyloxiran-2-karboxylové kyseliny (PMK glycidové kyseliny) jako možné náhrady BMK glycidové kyseliny a PMK glycidové kyseliny, jež jsou kontrolovanými prekurzory podle právních předpisů EU.</w:t>
      </w:r>
    </w:p>
    <w:p w:rsidR="00DC5912" w:rsidRPr="00282CA1" w:rsidRDefault="00DC5912" w:rsidP="00DC5912">
      <w:pPr>
        <w:pStyle w:val="ManualConsidrant"/>
        <w:ind w:left="567" w:hanging="567"/>
        <w:jc w:val="left"/>
        <w:rPr>
          <w:noProof/>
        </w:rPr>
      </w:pPr>
      <w:r w:rsidRPr="00282CA1">
        <w:t>D.</w:t>
      </w:r>
      <w:r w:rsidRPr="00282CA1">
        <w:tab/>
        <w:t>vzhledem k tomu, že je nezbytné změnit seznam uvedených látek uvedených v příloze I nařízení (ES) č. 273/2004 a v příloze nařízení (ES) č. 111/2005 tak, aby IMDPAM a identifikované estery BMK glycidové kyseliny a PMK glycidové kyseliny podléhaly harmonizovaným kontrolním a monitorovacím opatřením stanoveným těmito nařízeními;</w:t>
      </w:r>
    </w:p>
    <w:p w:rsidR="00DC5912" w:rsidRPr="00282CA1" w:rsidRDefault="00DC5912" w:rsidP="00DC5912">
      <w:pPr>
        <w:pStyle w:val="ManualConsidrant"/>
        <w:ind w:left="567" w:hanging="567"/>
        <w:jc w:val="left"/>
        <w:rPr>
          <w:noProof/>
        </w:rPr>
      </w:pPr>
      <w:r w:rsidRPr="00282CA1">
        <w:t xml:space="preserve">E. </w:t>
      </w:r>
      <w:r w:rsidRPr="00282CA1">
        <w:tab/>
        <w:t>vzhledem k tomu, že opatření ke kontrole přístupu k nově uvedeným látkám podle nařízení (ES) č. 273/2004 a (ES) č. 111/2005 by měla vstoupit v platnost co nejdříve, aby se zabránilo užívání těchto prekursorů drog pro výrobu nedovolených drog a jejich uvádění na trh;</w:t>
      </w:r>
    </w:p>
    <w:p w:rsidR="00DC5912" w:rsidRPr="00282CA1" w:rsidRDefault="00DC5912" w:rsidP="00DC5912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282CA1">
        <w:t>F.</w:t>
      </w:r>
      <w:r w:rsidRPr="00282CA1">
        <w:tab/>
        <w:t>vzhledem k tomu, že v plánu EU pro boj proti obchodu s drogami a organizované trestné činnosti (</w:t>
      </w:r>
      <w:proofErr w:type="gramStart"/>
      <w:r w:rsidRPr="00282CA1">
        <w:t>COM(2023</w:t>
      </w:r>
      <w:proofErr w:type="gramEnd"/>
      <w:r w:rsidRPr="00282CA1">
        <w:t>)0641) se Evropská komise zavázala, že ve spolupráci s Parlamentem a Radou vynaloží veškeré úsilí, aby urychlila postup přijímání budoucích aktů v přenesené pravomoci, které zařadí další látky na seznam podle nařízení (ES) č. 273/2004 a (ES) č. 111/2005;</w:t>
      </w:r>
    </w:p>
    <w:p w:rsidR="00DC5912" w:rsidRPr="00282CA1" w:rsidRDefault="00DC5912" w:rsidP="00DC5912">
      <w:pPr>
        <w:pStyle w:val="NormalHanging12a"/>
      </w:pPr>
      <w:r w:rsidRPr="00282CA1">
        <w:t>1.</w:t>
      </w:r>
      <w:r w:rsidRPr="00282CA1">
        <w:tab/>
        <w:t>prohlašuje, že nevysloví námitku vůči nařízení v přenesené pravomoci;</w:t>
      </w:r>
    </w:p>
    <w:p w:rsidR="00DC5912" w:rsidRPr="00282CA1" w:rsidRDefault="00DC5912" w:rsidP="00DC5912">
      <w:pPr>
        <w:pStyle w:val="NormalHanging12a"/>
      </w:pPr>
      <w:r w:rsidRPr="00282CA1">
        <w:t>2.</w:t>
      </w:r>
      <w:r w:rsidRPr="00282CA1">
        <w:tab/>
        <w:t>pověřuje svou předsedkyni, aby předala toto usnesení Radě a Komisi.</w:t>
      </w:r>
    </w:p>
    <w:p w:rsidR="00DC5912" w:rsidRPr="00282CA1" w:rsidRDefault="00DC5912" w:rsidP="00DC5912"/>
    <w:sectPr w:rsidR="00DC5912" w:rsidRPr="00282CA1" w:rsidSect="00282C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9BE" w:rsidRPr="00282CA1" w:rsidRDefault="001D29BE">
      <w:r w:rsidRPr="00282CA1">
        <w:separator/>
      </w:r>
    </w:p>
  </w:endnote>
  <w:endnote w:type="continuationSeparator" w:id="0">
    <w:p w:rsidR="001D29BE" w:rsidRPr="00282CA1" w:rsidRDefault="001D29BE">
      <w:r w:rsidRPr="00282C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2C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2C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2C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9BE" w:rsidRPr="00282CA1" w:rsidRDefault="001D29BE">
      <w:r w:rsidRPr="00282CA1">
        <w:separator/>
      </w:r>
    </w:p>
  </w:footnote>
  <w:footnote w:type="continuationSeparator" w:id="0">
    <w:p w:rsidR="001D29BE" w:rsidRPr="00282CA1" w:rsidRDefault="001D29BE">
      <w:r w:rsidRPr="00282CA1">
        <w:continuationSeparator/>
      </w:r>
    </w:p>
  </w:footnote>
  <w:footnote w:id="1">
    <w:p w:rsidR="00DC5912" w:rsidRPr="00282CA1" w:rsidRDefault="00DC5912" w:rsidP="00282CA1">
      <w:pPr>
        <w:pStyle w:val="FootnoteText"/>
        <w:ind w:left="567" w:hanging="567"/>
        <w:rPr>
          <w:sz w:val="24"/>
          <w:lang w:val="cs-CZ"/>
        </w:rPr>
      </w:pPr>
      <w:r w:rsidRPr="00282CA1">
        <w:rPr>
          <w:rStyle w:val="FootnoteReference"/>
          <w:sz w:val="24"/>
          <w:lang w:val="cs-CZ"/>
        </w:rPr>
        <w:footnoteRef/>
      </w:r>
      <w:r w:rsidR="00282CA1" w:rsidRPr="00282CA1">
        <w:rPr>
          <w:sz w:val="24"/>
          <w:lang w:val="cs-CZ"/>
        </w:rPr>
        <w:t xml:space="preserve"> </w:t>
      </w:r>
      <w:r w:rsidR="00282CA1" w:rsidRPr="00282CA1">
        <w:rPr>
          <w:sz w:val="24"/>
          <w:lang w:val="cs-CZ"/>
        </w:rPr>
        <w:tab/>
      </w:r>
      <w:proofErr w:type="spellStart"/>
      <w:r w:rsidRPr="00282CA1">
        <w:rPr>
          <w:sz w:val="24"/>
          <w:lang w:val="cs-CZ"/>
        </w:rPr>
        <w:t>Úř</w:t>
      </w:r>
      <w:proofErr w:type="spellEnd"/>
      <w:r w:rsidRPr="00282CA1">
        <w:rPr>
          <w:sz w:val="24"/>
          <w:lang w:val="cs-CZ"/>
        </w:rPr>
        <w:t xml:space="preserve">. </w:t>
      </w:r>
      <w:proofErr w:type="spellStart"/>
      <w:proofErr w:type="gramStart"/>
      <w:r w:rsidRPr="00282CA1">
        <w:rPr>
          <w:sz w:val="24"/>
          <w:lang w:val="cs-CZ"/>
        </w:rPr>
        <w:t>věst</w:t>
      </w:r>
      <w:proofErr w:type="spellEnd"/>
      <w:proofErr w:type="gramEnd"/>
      <w:r w:rsidRPr="00282CA1">
        <w:rPr>
          <w:sz w:val="24"/>
          <w:lang w:val="cs-CZ"/>
        </w:rPr>
        <w:t xml:space="preserve">. L 47, </w:t>
      </w:r>
      <w:proofErr w:type="gramStart"/>
      <w:r w:rsidRPr="00282CA1">
        <w:rPr>
          <w:sz w:val="24"/>
          <w:lang w:val="cs-CZ"/>
        </w:rPr>
        <w:t>18.2.2004</w:t>
      </w:r>
      <w:proofErr w:type="gramEnd"/>
      <w:r w:rsidRPr="00282CA1">
        <w:rPr>
          <w:sz w:val="24"/>
          <w:lang w:val="cs-CZ"/>
        </w:rPr>
        <w:t>, s.</w:t>
      </w:r>
      <w:r w:rsidR="009842D3">
        <w:rPr>
          <w:sz w:val="24"/>
          <w:lang w:val="cs-CZ"/>
        </w:rPr>
        <w:t xml:space="preserve"> </w:t>
      </w:r>
      <w:r w:rsidRPr="00282CA1">
        <w:rPr>
          <w:sz w:val="24"/>
          <w:lang w:val="cs-CZ"/>
        </w:rPr>
        <w:t>1.</w:t>
      </w:r>
    </w:p>
  </w:footnote>
  <w:footnote w:id="2">
    <w:p w:rsidR="00DC5912" w:rsidRPr="00282CA1" w:rsidRDefault="00DC5912" w:rsidP="00282CA1">
      <w:pPr>
        <w:pStyle w:val="FootnoteText"/>
        <w:ind w:left="567" w:hanging="567"/>
        <w:rPr>
          <w:sz w:val="24"/>
          <w:lang w:val="cs-CZ"/>
        </w:rPr>
      </w:pPr>
      <w:r w:rsidRPr="00282CA1">
        <w:rPr>
          <w:rStyle w:val="FootnoteReference"/>
          <w:sz w:val="24"/>
          <w:lang w:val="cs-CZ"/>
        </w:rPr>
        <w:footnoteRef/>
      </w:r>
      <w:r w:rsidR="00282CA1" w:rsidRPr="00282CA1">
        <w:rPr>
          <w:sz w:val="24"/>
          <w:lang w:val="cs-CZ"/>
        </w:rPr>
        <w:t xml:space="preserve"> </w:t>
      </w:r>
      <w:r w:rsidR="00282CA1" w:rsidRPr="00282CA1">
        <w:rPr>
          <w:sz w:val="24"/>
          <w:lang w:val="cs-CZ"/>
        </w:rPr>
        <w:tab/>
      </w:r>
      <w:proofErr w:type="spellStart"/>
      <w:r w:rsidRPr="00282CA1">
        <w:rPr>
          <w:sz w:val="24"/>
          <w:lang w:val="cs-CZ"/>
        </w:rPr>
        <w:t>Úř</w:t>
      </w:r>
      <w:proofErr w:type="spellEnd"/>
      <w:r w:rsidRPr="00282CA1">
        <w:rPr>
          <w:sz w:val="24"/>
          <w:lang w:val="cs-CZ"/>
        </w:rPr>
        <w:t xml:space="preserve">. </w:t>
      </w:r>
      <w:proofErr w:type="spellStart"/>
      <w:proofErr w:type="gramStart"/>
      <w:r w:rsidRPr="00282CA1">
        <w:rPr>
          <w:sz w:val="24"/>
          <w:lang w:val="cs-CZ"/>
        </w:rPr>
        <w:t>věst</w:t>
      </w:r>
      <w:proofErr w:type="spellEnd"/>
      <w:proofErr w:type="gramEnd"/>
      <w:r w:rsidRPr="00282CA1">
        <w:rPr>
          <w:sz w:val="24"/>
          <w:lang w:val="cs-CZ"/>
        </w:rPr>
        <w:t xml:space="preserve">. L 22, </w:t>
      </w:r>
      <w:proofErr w:type="gramStart"/>
      <w:r w:rsidRPr="00282CA1">
        <w:rPr>
          <w:sz w:val="24"/>
          <w:lang w:val="cs-CZ"/>
        </w:rPr>
        <w:t>26.1.2005</w:t>
      </w:r>
      <w:proofErr w:type="gramEnd"/>
      <w:r w:rsidRPr="00282CA1">
        <w:rPr>
          <w:sz w:val="24"/>
          <w:lang w:val="cs-CZ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2C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2C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2C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CS"/>
    <w:docVar w:name="dvnumam" w:val="0"/>
    <w:docVar w:name="dvpe" w:val="760.991"/>
    <w:docVar w:name="dvtitre" w:val="Rozhodnutí Evropského parlamentu ze dne.... 2024 nevznést námitku proti nařízení Komise v přenesené pravomoci ze dne 28. února 2024, kterým se mění nařízení Evropského parlamentu a Rady (ES) č. 273/2004 a nařízení Rady (ES) č. 111/2005, pokud jde o zařazení prekursoru drog isopropylidenu [2-(3,4-methylendioxyfenyl)acetyl]malonátu (IMDPAM) a dalších látek na seznam uvedených látek(C(2024)01219 - 2024/2606(DEA))"/>
  </w:docVars>
  <w:rsids>
    <w:rsidRoot w:val="001D29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9BE"/>
    <w:rsid w:val="001F32AE"/>
    <w:rsid w:val="002767FF"/>
    <w:rsid w:val="00282CA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B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C37"/>
    <w:rsid w:val="00930C23"/>
    <w:rsid w:val="0093193B"/>
    <w:rsid w:val="009509D8"/>
    <w:rsid w:val="00950B64"/>
    <w:rsid w:val="00981893"/>
    <w:rsid w:val="009842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912"/>
    <w:rsid w:val="00DD075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DD58E-9F6B-4803-80A0-E18405D4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5912"/>
    <w:pPr>
      <w:spacing w:before="480" w:after="240"/>
    </w:pPr>
  </w:style>
  <w:style w:type="paragraph" w:customStyle="1" w:styleId="NormalBold">
    <w:name w:val="NormalBold"/>
    <w:basedOn w:val="Normal"/>
    <w:rsid w:val="00DC5912"/>
    <w:rPr>
      <w:b/>
    </w:rPr>
  </w:style>
  <w:style w:type="paragraph" w:customStyle="1" w:styleId="NormalHanging12a">
    <w:name w:val="NormalHanging12a"/>
    <w:basedOn w:val="Normal"/>
    <w:rsid w:val="00DC5912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DC591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F099B-FD67-46C3-B082-11C9EA1D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2024-04-24T11:00:00Z</dcterms:created>
  <dcterms:modified xsi:type="dcterms:W3CDTF">2024-04-24T11:00:00Z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