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5A2A" w:rsidTr="0010095E">
        <w:trPr>
          <w:trHeight w:hRule="exact" w:val="1418"/>
        </w:trPr>
        <w:tc>
          <w:tcPr>
            <w:tcW w:w="6804" w:type="dxa"/>
            <w:shd w:val="clear" w:color="auto" w:fill="auto"/>
            <w:vAlign w:val="center"/>
          </w:tcPr>
          <w:p w:rsidR="00751A4A" w:rsidRPr="00945A2A" w:rsidRDefault="004F18E6" w:rsidP="0010095E">
            <w:pPr>
              <w:pStyle w:val="EPName"/>
            </w:pPr>
            <w:r w:rsidRPr="00945A2A">
              <w:t>Europa-Parlamentet</w:t>
            </w:r>
          </w:p>
          <w:p w:rsidR="00751A4A" w:rsidRPr="00945A2A" w:rsidRDefault="00817416" w:rsidP="00756632">
            <w:pPr>
              <w:pStyle w:val="EPTerm"/>
              <w:rPr>
                <w:rStyle w:val="HideTWBExt"/>
                <w:noProof w:val="0"/>
                <w:vanish w:val="0"/>
                <w:color w:val="auto"/>
              </w:rPr>
            </w:pPr>
            <w:r w:rsidRPr="00945A2A">
              <w:t>2019-2024</w:t>
            </w:r>
          </w:p>
        </w:tc>
        <w:tc>
          <w:tcPr>
            <w:tcW w:w="2268" w:type="dxa"/>
            <w:shd w:val="clear" w:color="auto" w:fill="auto"/>
          </w:tcPr>
          <w:p w:rsidR="00751A4A" w:rsidRPr="00945A2A" w:rsidRDefault="00187494" w:rsidP="0010095E">
            <w:pPr>
              <w:pStyle w:val="EPLogo"/>
            </w:pPr>
            <w:r w:rsidRPr="00945A2A">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5A2A" w:rsidRDefault="00D058B8" w:rsidP="004C5D52">
      <w:pPr>
        <w:pStyle w:val="LineTop"/>
      </w:pPr>
    </w:p>
    <w:p w:rsidR="00680577" w:rsidRPr="00945A2A" w:rsidRDefault="004F18E6" w:rsidP="00680577">
      <w:pPr>
        <w:pStyle w:val="EPBodyTA1"/>
      </w:pPr>
      <w:r w:rsidRPr="00945A2A">
        <w:t>VEDTAGNE TEKSTER</w:t>
      </w:r>
    </w:p>
    <w:p w:rsidR="00D058B8" w:rsidRPr="00945A2A" w:rsidRDefault="00D058B8" w:rsidP="00D058B8">
      <w:pPr>
        <w:pStyle w:val="LineBottom"/>
      </w:pPr>
    </w:p>
    <w:p w:rsidR="004F18E6" w:rsidRPr="00945A2A" w:rsidRDefault="004F18E6" w:rsidP="004F18E6">
      <w:pPr>
        <w:pStyle w:val="ATHeading1"/>
      </w:pPr>
      <w:bookmarkStart w:id="0" w:name="TANumber"/>
      <w:r w:rsidRPr="00945A2A">
        <w:t>P9_TA(2024)0</w:t>
      </w:r>
      <w:bookmarkEnd w:id="0"/>
      <w:r w:rsidR="00FE14DB">
        <w:t>314</w:t>
      </w:r>
      <w:bookmarkStart w:id="1" w:name="_GoBack"/>
      <w:bookmarkEnd w:id="1"/>
    </w:p>
    <w:p w:rsidR="004F18E6" w:rsidRPr="00945A2A" w:rsidRDefault="00F56781" w:rsidP="004F18E6">
      <w:pPr>
        <w:pStyle w:val="ATHeading2"/>
      </w:pPr>
      <w:r w:rsidRPr="001F6BA2">
        <w:rPr>
          <w:szCs w:val="22"/>
          <w:lang w:eastAsia="da-DK" w:bidi="da-DK"/>
        </w:rPr>
        <w:t>Afgørelse om ikke at gøre indsigelse mod en delegeret retsakt:</w:t>
      </w:r>
      <w:r>
        <w:rPr>
          <w:szCs w:val="22"/>
          <w:lang w:eastAsia="da-DK" w:bidi="da-DK"/>
        </w:rPr>
        <w:t xml:space="preserve"> </w:t>
      </w:r>
      <w:r>
        <w:t>O</w:t>
      </w:r>
      <w:r w:rsidRPr="00945A2A">
        <w:t xml:space="preserve">ptagelse af </w:t>
      </w:r>
      <w:proofErr w:type="spellStart"/>
      <w:r w:rsidRPr="00945A2A">
        <w:t>narkotikaprækursoren</w:t>
      </w:r>
      <w:proofErr w:type="spellEnd"/>
      <w:r w:rsidRPr="00945A2A">
        <w:t xml:space="preserve"> </w:t>
      </w:r>
      <w:proofErr w:type="spellStart"/>
      <w:r w:rsidRPr="00945A2A">
        <w:t>isopropyliden</w:t>
      </w:r>
      <w:proofErr w:type="spellEnd"/>
      <w:r w:rsidRPr="00945A2A">
        <w:t>-(2-(3,4-</w:t>
      </w:r>
      <w:proofErr w:type="gramStart"/>
      <w:r w:rsidRPr="00945A2A">
        <w:t>methylendioxyphenyl)acetyl</w:t>
      </w:r>
      <w:proofErr w:type="gramEnd"/>
      <w:r w:rsidRPr="00945A2A">
        <w:t>)</w:t>
      </w:r>
      <w:proofErr w:type="spellStart"/>
      <w:r w:rsidRPr="00945A2A">
        <w:t>malonat</w:t>
      </w:r>
      <w:proofErr w:type="spellEnd"/>
      <w:r w:rsidRPr="00945A2A">
        <w:t xml:space="preserve"> (IMDPAM) og andre stoffer</w:t>
      </w:r>
      <w:r>
        <w:t xml:space="preserve"> </w:t>
      </w:r>
      <w:r w:rsidRPr="00945A2A">
        <w:t>på listen over registrerede stoffer</w:t>
      </w:r>
    </w:p>
    <w:p w:rsidR="004F18E6" w:rsidRPr="00945A2A" w:rsidRDefault="004F18E6" w:rsidP="004F18E6">
      <w:pPr>
        <w:rPr>
          <w:i/>
          <w:vanish/>
        </w:rPr>
      </w:pPr>
      <w:r w:rsidRPr="00945A2A">
        <w:rPr>
          <w:i/>
        </w:rPr>
        <w:fldChar w:fldCharType="begin"/>
      </w:r>
      <w:r w:rsidRPr="00945A2A">
        <w:rPr>
          <w:i/>
        </w:rPr>
        <w:instrText xml:space="preserve"> TC"(</w:instrText>
      </w:r>
      <w:bookmarkStart w:id="2" w:name="DocNumber"/>
      <w:r w:rsidRPr="00945A2A">
        <w:rPr>
          <w:i/>
        </w:rPr>
        <w:instrText>B9-0213/2024</w:instrText>
      </w:r>
      <w:bookmarkEnd w:id="2"/>
      <w:r w:rsidRPr="00945A2A">
        <w:rPr>
          <w:i/>
        </w:rPr>
        <w:instrText xml:space="preserve">)"\l3 \n&gt; \* MERGEFORMAT </w:instrText>
      </w:r>
      <w:r w:rsidRPr="00945A2A">
        <w:rPr>
          <w:i/>
        </w:rPr>
        <w:fldChar w:fldCharType="end"/>
      </w:r>
    </w:p>
    <w:p w:rsidR="004F18E6" w:rsidRPr="00945A2A" w:rsidRDefault="004F18E6" w:rsidP="004F18E6">
      <w:pPr>
        <w:rPr>
          <w:vanish/>
        </w:rPr>
      </w:pPr>
      <w:bookmarkStart w:id="3" w:name="PE"/>
      <w:r w:rsidRPr="00945A2A">
        <w:rPr>
          <w:vanish/>
        </w:rPr>
        <w:t>PE760.991</w:t>
      </w:r>
      <w:bookmarkEnd w:id="3"/>
    </w:p>
    <w:p w:rsidR="004F18E6" w:rsidRPr="00945A2A" w:rsidRDefault="004F18E6" w:rsidP="004F18E6">
      <w:pPr>
        <w:pStyle w:val="ATHeading3"/>
      </w:pPr>
      <w:bookmarkStart w:id="4" w:name="Sujet"/>
      <w:r w:rsidRPr="00945A2A">
        <w:t xml:space="preserve">Europa-Parlamentets afgørelse om ikke at gøre indsigelse mod Kommissionens delegerede forordning af 28. februar 2024 om ændring af Europa-Parlamentets og Rådets forordning (EF) nr. 273/2004 og Rådets forordning (EF) nr. 111/2005 for så vidt angår optagelse af </w:t>
      </w:r>
      <w:proofErr w:type="spellStart"/>
      <w:r w:rsidRPr="00945A2A">
        <w:t>narkotikaprækursoren</w:t>
      </w:r>
      <w:proofErr w:type="spellEnd"/>
      <w:r w:rsidRPr="00945A2A">
        <w:t xml:space="preserve"> </w:t>
      </w:r>
      <w:proofErr w:type="spellStart"/>
      <w:r w:rsidRPr="00945A2A">
        <w:t>isopropyliden</w:t>
      </w:r>
      <w:proofErr w:type="spellEnd"/>
      <w:r w:rsidRPr="00945A2A">
        <w:t>-(2-(3,4-</w:t>
      </w:r>
      <w:proofErr w:type="gramStart"/>
      <w:r w:rsidRPr="00945A2A">
        <w:t>methylendioxyphenyl)acetyl</w:t>
      </w:r>
      <w:proofErr w:type="gramEnd"/>
      <w:r w:rsidRPr="00945A2A">
        <w:t>)</w:t>
      </w:r>
      <w:proofErr w:type="spellStart"/>
      <w:r w:rsidRPr="00945A2A">
        <w:t>malonat</w:t>
      </w:r>
      <w:proofErr w:type="spellEnd"/>
      <w:r w:rsidRPr="00945A2A">
        <w:t xml:space="preserve"> (IMDPAM) og andre stoffer på listen over registrerede stoffer</w:t>
      </w:r>
      <w:bookmarkEnd w:id="4"/>
      <w:r w:rsidRPr="00945A2A">
        <w:t xml:space="preserve"> </w:t>
      </w:r>
      <w:bookmarkStart w:id="5" w:name="References"/>
      <w:r w:rsidRPr="00945A2A">
        <w:t>(C(2024)01219 - 2024/2606(DEA))</w:t>
      </w:r>
      <w:bookmarkEnd w:id="5"/>
    </w:p>
    <w:p w:rsidR="004F18E6" w:rsidRPr="00945A2A" w:rsidRDefault="004F18E6" w:rsidP="004F18E6"/>
    <w:p w:rsidR="00442D76" w:rsidRPr="00945A2A" w:rsidRDefault="00442D76" w:rsidP="00442D76">
      <w:pPr>
        <w:pStyle w:val="EPComma"/>
      </w:pPr>
      <w:bookmarkStart w:id="6" w:name="TextBodyBegin"/>
      <w:bookmarkEnd w:id="6"/>
      <w:r w:rsidRPr="00945A2A">
        <w:rPr>
          <w:i/>
          <w:iCs/>
        </w:rPr>
        <w:t>Europa-Parlamentet,</w:t>
      </w:r>
    </w:p>
    <w:p w:rsidR="00442D76" w:rsidRPr="00945A2A" w:rsidRDefault="00442D76" w:rsidP="00442D76">
      <w:pPr>
        <w:pStyle w:val="NormalHanging12a"/>
      </w:pPr>
      <w:r w:rsidRPr="00945A2A">
        <w:t>–</w:t>
      </w:r>
      <w:r w:rsidRPr="00945A2A">
        <w:tab/>
        <w:t>der henviser til Kommissionens delegerede forordning (</w:t>
      </w:r>
      <w:proofErr w:type="gramStart"/>
      <w:r w:rsidRPr="00945A2A">
        <w:t>C(</w:t>
      </w:r>
      <w:proofErr w:type="gramEnd"/>
      <w:r w:rsidRPr="00945A2A">
        <w:t>2024)01219),</w:t>
      </w:r>
    </w:p>
    <w:p w:rsidR="00442D76" w:rsidRPr="00945A2A" w:rsidRDefault="00442D76" w:rsidP="00442D76">
      <w:pPr>
        <w:pStyle w:val="NormalHanging12a"/>
        <w:rPr>
          <w:spacing w:val="-2"/>
          <w:szCs w:val="24"/>
        </w:rPr>
      </w:pPr>
      <w:r w:rsidRPr="00945A2A">
        <w:t>–</w:t>
      </w:r>
      <w:r w:rsidRPr="00945A2A">
        <w:tab/>
        <w:t>der henviser til Kommissionens skrivelse af 13. marts 2024, hvori den anmoder Parlamentet om at erklære, at det ikke vil gøre indsigelse mod den delegerede forordning,</w:t>
      </w:r>
    </w:p>
    <w:p w:rsidR="00442D76" w:rsidRPr="00945A2A" w:rsidRDefault="00442D76" w:rsidP="00442D76">
      <w:pPr>
        <w:pStyle w:val="NormalHanging12a"/>
      </w:pPr>
      <w:r w:rsidRPr="00945A2A">
        <w:t>–</w:t>
      </w:r>
      <w:r w:rsidRPr="00945A2A">
        <w:tab/>
        <w:t>der henviser til skrivelse fra Udvalget om Borgernes Rettigheder og Retlige og Indre Anliggender til Udvalgsformandskonferencens formand,</w:t>
      </w:r>
    </w:p>
    <w:p w:rsidR="00442D76" w:rsidRPr="00945A2A" w:rsidRDefault="00442D76" w:rsidP="00442D76">
      <w:pPr>
        <w:pStyle w:val="NormalHanging12a"/>
      </w:pPr>
      <w:r w:rsidRPr="00945A2A">
        <w:t>–</w:t>
      </w:r>
      <w:r w:rsidRPr="00945A2A">
        <w:tab/>
        <w:t>der henviser til artikel 290 i traktaten om Den Europæiske Unions funktionsmåde,</w:t>
      </w:r>
    </w:p>
    <w:p w:rsidR="00442D76" w:rsidRPr="00945A2A" w:rsidRDefault="00442D76" w:rsidP="00442D76">
      <w:pPr>
        <w:pStyle w:val="NormalHanging12a"/>
      </w:pPr>
      <w:r w:rsidRPr="00945A2A">
        <w:t>–</w:t>
      </w:r>
      <w:r w:rsidRPr="00945A2A">
        <w:tab/>
        <w:t>der henviser til Europa-Parlamentets og Rådets forordning (EF) nr. 273/2004 af 11. februar 2004</w:t>
      </w:r>
      <w:r w:rsidRPr="00945A2A">
        <w:rPr>
          <w:rStyle w:val="FootnoteReference"/>
          <w:szCs w:val="24"/>
        </w:rPr>
        <w:footnoteReference w:id="1"/>
      </w:r>
      <w:r w:rsidRPr="00945A2A">
        <w:t xml:space="preserve"> om </w:t>
      </w:r>
      <w:proofErr w:type="spellStart"/>
      <w:r w:rsidRPr="00945A2A">
        <w:t>narkotikaprækursorer</w:t>
      </w:r>
      <w:proofErr w:type="spellEnd"/>
      <w:r w:rsidRPr="00945A2A">
        <w:t>, særlig artikel 15 og artikel 15a, stk. 5,</w:t>
      </w:r>
    </w:p>
    <w:p w:rsidR="00442D76" w:rsidRPr="00945A2A" w:rsidRDefault="00442D76" w:rsidP="00442D76">
      <w:pPr>
        <w:pStyle w:val="NormalHanging12a"/>
      </w:pPr>
      <w:r w:rsidRPr="00945A2A">
        <w:t>–</w:t>
      </w:r>
      <w:r w:rsidRPr="00945A2A">
        <w:tab/>
        <w:t>der henviser til Rådets forordning (EF) nr. 111/2005 af 22. december 2004</w:t>
      </w:r>
      <w:r w:rsidRPr="00945A2A">
        <w:rPr>
          <w:rStyle w:val="FootnoteReference"/>
        </w:rPr>
        <w:footnoteReference w:id="2"/>
      </w:r>
      <w:r w:rsidRPr="00945A2A">
        <w:t xml:space="preserve"> om regler for overvågning af handel med </w:t>
      </w:r>
      <w:proofErr w:type="spellStart"/>
      <w:r w:rsidRPr="00945A2A">
        <w:t>narkotikaprækursorer</w:t>
      </w:r>
      <w:proofErr w:type="spellEnd"/>
      <w:r w:rsidRPr="00945A2A">
        <w:t xml:space="preserve"> mellem Unionen og tredjelande, særlig artikel 30a og artikel 30b, stk. 5,</w:t>
      </w:r>
    </w:p>
    <w:p w:rsidR="00442D76" w:rsidRPr="00945A2A" w:rsidRDefault="00442D76" w:rsidP="00442D76">
      <w:pPr>
        <w:pStyle w:val="NormalHanging12a"/>
      </w:pPr>
      <w:r w:rsidRPr="00945A2A">
        <w:t>–</w:t>
      </w:r>
      <w:r w:rsidRPr="00945A2A">
        <w:tab/>
        <w:t>der henviser til forretningsordenens artikel 111, stk. 6,</w:t>
      </w:r>
    </w:p>
    <w:p w:rsidR="00442D76" w:rsidRPr="00945A2A" w:rsidRDefault="00442D76" w:rsidP="00442D76">
      <w:pPr>
        <w:pStyle w:val="NormalHanging12a"/>
      </w:pPr>
      <w:r w:rsidRPr="00945A2A">
        <w:t>–</w:t>
      </w:r>
      <w:r w:rsidRPr="00945A2A">
        <w:tab/>
        <w:t xml:space="preserve">der henviser til henstilling til afgørelse fra Udvalget om Borgernes Rettigheder og </w:t>
      </w:r>
      <w:r w:rsidRPr="00945A2A">
        <w:lastRenderedPageBreak/>
        <w:t>Retlige og Indre Anliggender,</w:t>
      </w:r>
    </w:p>
    <w:p w:rsidR="00F56781" w:rsidRPr="000A11E6" w:rsidRDefault="00F56781" w:rsidP="00F56781">
      <w:pPr>
        <w:spacing w:after="240"/>
        <w:ind w:left="567" w:hanging="567"/>
      </w:pPr>
      <w:r w:rsidRPr="0032137E">
        <w:t>–</w:t>
      </w:r>
      <w:r w:rsidRPr="0032137E">
        <w:tab/>
        <w:t xml:space="preserve">der henviser til, at der ikke er gjort indsigelse inden for den frist, der er fastsat i forretningsordenens artikel 111, stk. 6, tredje og fjerde led, og som udløb den </w:t>
      </w:r>
      <w:r>
        <w:t>23. april</w:t>
      </w:r>
      <w:r w:rsidRPr="0032137E">
        <w:t xml:space="preserve"> 202</w:t>
      </w:r>
      <w:r>
        <w:t>4</w:t>
      </w:r>
      <w:r w:rsidRPr="0032137E">
        <w:t>,</w:t>
      </w:r>
    </w:p>
    <w:p w:rsidR="00442D76" w:rsidRPr="00945A2A" w:rsidRDefault="00442D76" w:rsidP="00442D76">
      <w:pPr>
        <w:pStyle w:val="NormalHanging12a"/>
      </w:pPr>
      <w:r w:rsidRPr="00945A2A">
        <w:t>A.</w:t>
      </w:r>
      <w:r w:rsidRPr="00945A2A">
        <w:tab/>
        <w:t>der henviser til, at EU's lovgivningsmæssige ramme for foranstaltninger til kontrol af adgangen til stoffer, der anvendes til fremstilling af ulovlige stoffer, løbende skal ajourføres for at modvirke udbredelsen af de såkaldte "</w:t>
      </w:r>
      <w:proofErr w:type="spellStart"/>
      <w:r w:rsidRPr="00945A2A">
        <w:t>designerprækursorer</w:t>
      </w:r>
      <w:proofErr w:type="spellEnd"/>
      <w:r w:rsidRPr="00945A2A">
        <w:t xml:space="preserve">", som er nære kemiske slægtninge til traditionelle </w:t>
      </w:r>
      <w:proofErr w:type="spellStart"/>
      <w:r w:rsidRPr="00945A2A">
        <w:t>narkotikaprækursorer</w:t>
      </w:r>
      <w:proofErr w:type="spellEnd"/>
      <w:r w:rsidRPr="00945A2A">
        <w:t>, og som er udviklet for at omgå de eksisterende regler;</w:t>
      </w:r>
    </w:p>
    <w:p w:rsidR="00442D76" w:rsidRPr="00945A2A" w:rsidRDefault="00442D76" w:rsidP="00442D76">
      <w:pPr>
        <w:pStyle w:val="ManualConsidrant"/>
        <w:ind w:left="567" w:hanging="567"/>
        <w:jc w:val="left"/>
        <w:rPr>
          <w:noProof/>
        </w:rPr>
      </w:pPr>
      <w:r w:rsidRPr="00945A2A">
        <w:t>B.</w:t>
      </w:r>
      <w:r w:rsidRPr="00945A2A">
        <w:tab/>
        <w:t xml:space="preserve">der henviser til, at natriumsalt af </w:t>
      </w:r>
      <w:proofErr w:type="spellStart"/>
      <w:r w:rsidRPr="00945A2A">
        <w:t>isopropyliden</w:t>
      </w:r>
      <w:proofErr w:type="spellEnd"/>
      <w:r w:rsidRPr="00945A2A">
        <w:t>-(2- (3,4-</w:t>
      </w:r>
      <w:proofErr w:type="gramStart"/>
      <w:r w:rsidRPr="00945A2A">
        <w:t>methylendioxyphenyl)acetyl</w:t>
      </w:r>
      <w:proofErr w:type="gramEnd"/>
      <w:r w:rsidRPr="00945A2A">
        <w:t>)</w:t>
      </w:r>
      <w:proofErr w:type="spellStart"/>
      <w:r w:rsidRPr="00945A2A">
        <w:t>malonat</w:t>
      </w:r>
      <w:proofErr w:type="spellEnd"/>
      <w:r w:rsidRPr="00945A2A">
        <w:t xml:space="preserve"> (IMDPAM) er blevet identificeret som en nyudviklet </w:t>
      </w:r>
      <w:proofErr w:type="spellStart"/>
      <w:r w:rsidRPr="00945A2A">
        <w:t>narkotikaprækursor</w:t>
      </w:r>
      <w:proofErr w:type="spellEnd"/>
      <w:r w:rsidRPr="00945A2A">
        <w:t>, der anvendes til fremstilling af MDMA (3,4-methylendioxymethamphetamin), almindeligt kendt som "ecstasy";</w:t>
      </w:r>
    </w:p>
    <w:p w:rsidR="00442D76" w:rsidRPr="00945A2A" w:rsidRDefault="00442D76" w:rsidP="00442D76">
      <w:pPr>
        <w:pStyle w:val="ManualConsidrant"/>
        <w:ind w:left="567" w:hanging="567"/>
        <w:jc w:val="left"/>
        <w:rPr>
          <w:noProof/>
        </w:rPr>
      </w:pPr>
      <w:r w:rsidRPr="00945A2A">
        <w:t>C.</w:t>
      </w:r>
      <w:r w:rsidRPr="00945A2A">
        <w:tab/>
        <w:t>der henviser til, at syv estere af 2-methyl-3-phenyloxiran-2-carboxylsyre (BMK-</w:t>
      </w:r>
      <w:proofErr w:type="spellStart"/>
      <w:r w:rsidRPr="00945A2A">
        <w:t>glycidsyre</w:t>
      </w:r>
      <w:proofErr w:type="spellEnd"/>
      <w:r w:rsidRPr="00945A2A">
        <w:t>) og seks estere af 3-(1,3-benzodioxol-5-</w:t>
      </w:r>
      <w:proofErr w:type="gramStart"/>
      <w:r w:rsidRPr="00945A2A">
        <w:t>yl)-</w:t>
      </w:r>
      <w:proofErr w:type="gramEnd"/>
      <w:r w:rsidRPr="00945A2A">
        <w:t>2-methyloxiran-2-carboxylsyre (PMK-</w:t>
      </w:r>
      <w:proofErr w:type="spellStart"/>
      <w:r w:rsidRPr="00945A2A">
        <w:t>glycidsyre</w:t>
      </w:r>
      <w:proofErr w:type="spellEnd"/>
      <w:r w:rsidRPr="00945A2A">
        <w:t>) er blevet identificeret som mulige erstatninger for BMK-</w:t>
      </w:r>
      <w:proofErr w:type="spellStart"/>
      <w:r w:rsidRPr="00945A2A">
        <w:t>glycidsyre</w:t>
      </w:r>
      <w:proofErr w:type="spellEnd"/>
      <w:r w:rsidRPr="00945A2A">
        <w:t xml:space="preserve"> og PMK-</w:t>
      </w:r>
      <w:proofErr w:type="spellStart"/>
      <w:r w:rsidRPr="00945A2A">
        <w:t>glycidsyre</w:t>
      </w:r>
      <w:proofErr w:type="spellEnd"/>
      <w:r w:rsidRPr="00945A2A">
        <w:t xml:space="preserve">, som er kontrollerede </w:t>
      </w:r>
      <w:proofErr w:type="spellStart"/>
      <w:r w:rsidRPr="00945A2A">
        <w:t>prækursorer</w:t>
      </w:r>
      <w:proofErr w:type="spellEnd"/>
      <w:r w:rsidRPr="00945A2A">
        <w:t xml:space="preserve"> i henhold til EU-retten, i fremstillingen af ulovlige stoffer som MDMA, metamfetamin og amfetamin;</w:t>
      </w:r>
    </w:p>
    <w:p w:rsidR="00442D76" w:rsidRPr="00945A2A" w:rsidRDefault="00442D76" w:rsidP="00442D76">
      <w:pPr>
        <w:pStyle w:val="ManualConsidrant"/>
        <w:ind w:left="567" w:hanging="567"/>
        <w:jc w:val="left"/>
        <w:rPr>
          <w:noProof/>
        </w:rPr>
      </w:pPr>
      <w:r w:rsidRPr="00945A2A">
        <w:t>D.</w:t>
      </w:r>
      <w:r w:rsidRPr="00945A2A">
        <w:tab/>
        <w:t>der henviser til, at det er nødvendigt at ændre listen over de registrerede stoffer, som er opført i bilag I til forordning (EF) nr. 273/2004 og i bilaget til forordning (EF) nr. 111/2005, for at underkaste IMDPAM og de identificerede estere af BMK-</w:t>
      </w:r>
      <w:proofErr w:type="spellStart"/>
      <w:r w:rsidRPr="00945A2A">
        <w:t>glycidsyre</w:t>
      </w:r>
      <w:proofErr w:type="spellEnd"/>
      <w:r w:rsidRPr="00945A2A">
        <w:t xml:space="preserve"> og PMK-</w:t>
      </w:r>
      <w:proofErr w:type="spellStart"/>
      <w:r w:rsidRPr="00945A2A">
        <w:t>glycidsyre</w:t>
      </w:r>
      <w:proofErr w:type="spellEnd"/>
      <w:r w:rsidRPr="00945A2A">
        <w:t xml:space="preserve"> de harmoniserede kontrol- og overvågningsforanstaltninger, der er fastsat i disse forordninger;</w:t>
      </w:r>
    </w:p>
    <w:p w:rsidR="00442D76" w:rsidRPr="00945A2A" w:rsidRDefault="00442D76" w:rsidP="00442D76">
      <w:pPr>
        <w:pStyle w:val="ManualConsidrant"/>
        <w:ind w:left="567" w:hanging="567"/>
        <w:jc w:val="left"/>
        <w:rPr>
          <w:noProof/>
        </w:rPr>
      </w:pPr>
      <w:r w:rsidRPr="00945A2A">
        <w:t xml:space="preserve">E. </w:t>
      </w:r>
      <w:r w:rsidRPr="00945A2A">
        <w:tab/>
        <w:t xml:space="preserve">der henviser til, at foranstaltninger til kontrol af adgangen til nyligt registrerede stoffer i henhold til forordning (EF) nr. 273/2004 og (EF) nr. 111/2005 bør træde i kraft hurtigst muligt for at forhindre brugen af disse </w:t>
      </w:r>
      <w:proofErr w:type="spellStart"/>
      <w:r w:rsidRPr="00945A2A">
        <w:t>narkotikaprækursorer</w:t>
      </w:r>
      <w:proofErr w:type="spellEnd"/>
      <w:r w:rsidRPr="00945A2A">
        <w:t xml:space="preserve"> til fremstilling og markedsføring af ulovlige stoffer;</w:t>
      </w:r>
    </w:p>
    <w:p w:rsidR="00442D76" w:rsidRPr="00945A2A" w:rsidRDefault="00442D76" w:rsidP="00442D76">
      <w:pPr>
        <w:pStyle w:val="ManualConsidrant"/>
        <w:spacing w:after="240"/>
        <w:ind w:left="567" w:hanging="567"/>
        <w:jc w:val="left"/>
        <w:rPr>
          <w:spacing w:val="-2"/>
          <w:szCs w:val="24"/>
        </w:rPr>
      </w:pPr>
      <w:r w:rsidRPr="00945A2A">
        <w:t>F.</w:t>
      </w:r>
      <w:r w:rsidRPr="00945A2A">
        <w:tab/>
        <w:t>der henviser til, at Kommissionen i EU's køreplan for bekæmpelse af narkotikahandel og organiseret kriminalitet (</w:t>
      </w:r>
      <w:proofErr w:type="gramStart"/>
      <w:r w:rsidRPr="00945A2A">
        <w:t>COM(</w:t>
      </w:r>
      <w:proofErr w:type="gramEnd"/>
      <w:r w:rsidRPr="00945A2A">
        <w:t>2023)0641) forpligtede sig til i samarbejde med Parlamentet og Rådet at gøre sit yderste for at fremskynde proceduren for vedtagelse af fremtidige delegerede retsakter, der registrerer nye stoffer i henhold til forordning (EF) nr. 273/2004 og (EF) nr. 111/2005;</w:t>
      </w:r>
    </w:p>
    <w:p w:rsidR="00442D76" w:rsidRPr="00945A2A" w:rsidRDefault="00442D76" w:rsidP="00442D76">
      <w:pPr>
        <w:pStyle w:val="NormalHanging12a"/>
      </w:pPr>
      <w:r w:rsidRPr="00945A2A">
        <w:t>1.</w:t>
      </w:r>
      <w:r w:rsidRPr="00945A2A">
        <w:tab/>
        <w:t>erklærer, at det ikke gør indsigelse mod den delegerede forordning;</w:t>
      </w:r>
    </w:p>
    <w:p w:rsidR="00E365E1" w:rsidRPr="00945A2A" w:rsidRDefault="00442D76" w:rsidP="00282BBC">
      <w:pPr>
        <w:pStyle w:val="NormalHanging12a"/>
      </w:pPr>
      <w:r w:rsidRPr="00945A2A">
        <w:t>2.</w:t>
      </w:r>
      <w:r w:rsidRPr="00945A2A">
        <w:tab/>
        <w:t xml:space="preserve">pålægger sin formand at sende denne afgørelse til Rådet </w:t>
      </w:r>
      <w:r w:rsidR="00945A2A" w:rsidRPr="00945A2A">
        <w:t>og Kommissionen.</w:t>
      </w:r>
      <w:bookmarkStart w:id="7" w:name="TextBodyEnd"/>
      <w:bookmarkEnd w:id="7"/>
    </w:p>
    <w:sectPr w:rsidR="00E365E1" w:rsidRPr="00945A2A" w:rsidSect="00945A2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8E6" w:rsidRPr="00945A2A" w:rsidRDefault="004F18E6">
      <w:r w:rsidRPr="00945A2A">
        <w:separator/>
      </w:r>
    </w:p>
  </w:endnote>
  <w:endnote w:type="continuationSeparator" w:id="0">
    <w:p w:rsidR="004F18E6" w:rsidRPr="00945A2A" w:rsidRDefault="004F18E6">
      <w:r w:rsidRPr="00945A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A2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A2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A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8E6" w:rsidRPr="00945A2A" w:rsidRDefault="004F18E6">
      <w:r w:rsidRPr="00945A2A">
        <w:separator/>
      </w:r>
    </w:p>
  </w:footnote>
  <w:footnote w:type="continuationSeparator" w:id="0">
    <w:p w:rsidR="004F18E6" w:rsidRPr="00945A2A" w:rsidRDefault="004F18E6">
      <w:r w:rsidRPr="00945A2A">
        <w:continuationSeparator/>
      </w:r>
    </w:p>
  </w:footnote>
  <w:footnote w:id="1">
    <w:p w:rsidR="00442D76" w:rsidRPr="00945A2A" w:rsidRDefault="00442D76" w:rsidP="00945A2A">
      <w:pPr>
        <w:pStyle w:val="FootnoteText"/>
        <w:ind w:left="567" w:hanging="567"/>
        <w:rPr>
          <w:sz w:val="24"/>
          <w:lang w:val="da-DK"/>
        </w:rPr>
      </w:pPr>
      <w:r w:rsidRPr="00945A2A">
        <w:rPr>
          <w:rStyle w:val="FootnoteReference"/>
          <w:sz w:val="24"/>
          <w:lang w:val="da-DK"/>
        </w:rPr>
        <w:footnoteRef/>
      </w:r>
      <w:r w:rsidR="00945A2A" w:rsidRPr="00945A2A">
        <w:rPr>
          <w:sz w:val="24"/>
          <w:lang w:val="da-DK"/>
        </w:rPr>
        <w:t xml:space="preserve"> </w:t>
      </w:r>
      <w:r w:rsidR="00945A2A" w:rsidRPr="00945A2A">
        <w:rPr>
          <w:sz w:val="24"/>
          <w:lang w:val="da-DK"/>
        </w:rPr>
        <w:tab/>
      </w:r>
      <w:r w:rsidRPr="00945A2A">
        <w:rPr>
          <w:sz w:val="24"/>
          <w:lang w:val="da-DK"/>
        </w:rPr>
        <w:t>EUT L 47 af 18.2.2004, s. 1.</w:t>
      </w:r>
    </w:p>
  </w:footnote>
  <w:footnote w:id="2">
    <w:p w:rsidR="00442D76" w:rsidRPr="00945A2A" w:rsidRDefault="00442D76" w:rsidP="00945A2A">
      <w:pPr>
        <w:pStyle w:val="FootnoteText"/>
        <w:ind w:left="567" w:hanging="567"/>
        <w:rPr>
          <w:sz w:val="24"/>
          <w:lang w:val="da-DK"/>
        </w:rPr>
      </w:pPr>
      <w:r w:rsidRPr="00945A2A">
        <w:rPr>
          <w:rStyle w:val="FootnoteReference"/>
          <w:sz w:val="24"/>
          <w:lang w:val="da-DK"/>
        </w:rPr>
        <w:footnoteRef/>
      </w:r>
      <w:r w:rsidR="00945A2A" w:rsidRPr="00945A2A">
        <w:rPr>
          <w:sz w:val="24"/>
          <w:lang w:val="da-DK"/>
        </w:rPr>
        <w:t xml:space="preserve"> </w:t>
      </w:r>
      <w:r w:rsidR="00945A2A" w:rsidRPr="00945A2A">
        <w:rPr>
          <w:sz w:val="24"/>
          <w:lang w:val="da-DK"/>
        </w:rPr>
        <w:tab/>
      </w:r>
      <w:r w:rsidRPr="00945A2A">
        <w:rPr>
          <w:sz w:val="24"/>
          <w:lang w:val="da-DK"/>
        </w:rPr>
        <w:t>EUT L 22 af 26.1.2005,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A2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A2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5A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13/2024"/>
    <w:docVar w:name="dvlangue" w:val="DA"/>
    <w:docVar w:name="dvnumam" w:val="0"/>
    <w:docVar w:name="dvpe" w:val="760.991"/>
    <w:docVar w:name="dvtitre" w:val="Europa-Parlamentets afgørelse af xx.xx 2024 om ikke at gøre indsigelse mod Kommissionens delegerede forordning af 28. februar 2024 om ændring af Europa-Parlamentets og Rådets forordning (EF) nr. 273/2004 og Rådets forordning (EF) nr. 111/2005 for så vidt angår optagelse af narkotikaprækursoren isopropyliden-(2-(3,4-methylendioxyphenyl)acetyl)malonat (IMDPAM) og andre stoffer på listen over registrerede stoffer(C(2024)01219 - 2024/2606(DEA))"/>
  </w:docVars>
  <w:rsids>
    <w:rsidRoot w:val="004F18E6"/>
    <w:rsid w:val="00002272"/>
    <w:rsid w:val="00064002"/>
    <w:rsid w:val="000677B9"/>
    <w:rsid w:val="000831BA"/>
    <w:rsid w:val="000A42CC"/>
    <w:rsid w:val="000E7DD9"/>
    <w:rsid w:val="0010095E"/>
    <w:rsid w:val="00125B37"/>
    <w:rsid w:val="00187494"/>
    <w:rsid w:val="001F32AE"/>
    <w:rsid w:val="002767FF"/>
    <w:rsid w:val="00282BBC"/>
    <w:rsid w:val="002B18FE"/>
    <w:rsid w:val="002B5493"/>
    <w:rsid w:val="00343214"/>
    <w:rsid w:val="00361C00"/>
    <w:rsid w:val="00395FA1"/>
    <w:rsid w:val="003E15D4"/>
    <w:rsid w:val="00411CCE"/>
    <w:rsid w:val="0041666E"/>
    <w:rsid w:val="00421060"/>
    <w:rsid w:val="00442D76"/>
    <w:rsid w:val="00471C19"/>
    <w:rsid w:val="004867E3"/>
    <w:rsid w:val="00494A28"/>
    <w:rsid w:val="004C0004"/>
    <w:rsid w:val="004C5D52"/>
    <w:rsid w:val="004F18E6"/>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667D"/>
    <w:rsid w:val="00817416"/>
    <w:rsid w:val="00842779"/>
    <w:rsid w:val="00865F67"/>
    <w:rsid w:val="00881A7B"/>
    <w:rsid w:val="008840E5"/>
    <w:rsid w:val="00887B3E"/>
    <w:rsid w:val="008C2AC6"/>
    <w:rsid w:val="00930C23"/>
    <w:rsid w:val="0093193B"/>
    <w:rsid w:val="00945A2A"/>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6781"/>
    <w:rsid w:val="00F74202"/>
    <w:rsid w:val="00F87713"/>
    <w:rsid w:val="00FB4360"/>
    <w:rsid w:val="00FD0C70"/>
    <w:rsid w:val="00FE14D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7A93D"/>
  <w15:chartTrackingRefBased/>
  <w15:docId w15:val="{EA4023CF-0AC3-47C8-A667-2AB766748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42D76"/>
    <w:pPr>
      <w:spacing w:before="480" w:after="240"/>
    </w:pPr>
  </w:style>
  <w:style w:type="paragraph" w:customStyle="1" w:styleId="NormalHanging12a">
    <w:name w:val="NormalHanging12a"/>
    <w:basedOn w:val="Normal"/>
    <w:rsid w:val="00442D76"/>
    <w:pPr>
      <w:spacing w:after="240"/>
      <w:ind w:left="567" w:hanging="567"/>
    </w:pPr>
  </w:style>
  <w:style w:type="paragraph" w:customStyle="1" w:styleId="ManualConsidrant">
    <w:name w:val="Manual Considérant"/>
    <w:basedOn w:val="Normal"/>
    <w:rsid w:val="00442D76"/>
    <w:pPr>
      <w:widowControl/>
      <w:spacing w:before="120" w:after="120"/>
      <w:ind w:left="709" w:hanging="709"/>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4D895-3F64-4672-8BAF-7CC9832F6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3702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2024-04-24T11:19:00Z</dcterms:created>
  <dcterms:modified xsi:type="dcterms:W3CDTF">2024-04-24T11:19:00Z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B9-0213/2024</vt:lpwstr>
  </property>
  <property fmtid="{D5CDD505-2E9C-101B-9397-08002B2CF9AE}" pid="4" name="&lt;Type&gt;">
    <vt:lpwstr>RR</vt:lpwstr>
  </property>
</Properties>
</file>