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569C3" w:rsidTr="0010095E">
        <w:trPr>
          <w:trHeight w:hRule="exact" w:val="1418"/>
        </w:trPr>
        <w:tc>
          <w:tcPr>
            <w:tcW w:w="6804" w:type="dxa"/>
            <w:shd w:val="clear" w:color="auto" w:fill="auto"/>
            <w:vAlign w:val="center"/>
          </w:tcPr>
          <w:p w:rsidR="00751A4A" w:rsidRPr="00E569C3" w:rsidRDefault="001862B2" w:rsidP="0010095E">
            <w:pPr>
              <w:pStyle w:val="EPName"/>
            </w:pPr>
            <w:bookmarkStart w:id="0" w:name="_GoBack"/>
            <w:bookmarkEnd w:id="0"/>
            <w:r w:rsidRPr="00E569C3">
              <w:t>Ευρωπαϊκό Κοινοβούλιο</w:t>
            </w:r>
          </w:p>
          <w:p w:rsidR="00751A4A" w:rsidRPr="00E569C3" w:rsidRDefault="00817416" w:rsidP="00756632">
            <w:pPr>
              <w:pStyle w:val="EPTerm"/>
              <w:rPr>
                <w:rStyle w:val="HideTWBExt"/>
                <w:noProof w:val="0"/>
                <w:vanish w:val="0"/>
                <w:color w:val="auto"/>
              </w:rPr>
            </w:pPr>
            <w:r w:rsidRPr="00E569C3">
              <w:t>2019-2024</w:t>
            </w:r>
          </w:p>
        </w:tc>
        <w:tc>
          <w:tcPr>
            <w:tcW w:w="2268" w:type="dxa"/>
            <w:shd w:val="clear" w:color="auto" w:fill="auto"/>
          </w:tcPr>
          <w:p w:rsidR="00751A4A" w:rsidRPr="00E569C3" w:rsidRDefault="00187494" w:rsidP="0010095E">
            <w:pPr>
              <w:pStyle w:val="EPLogo"/>
            </w:pPr>
            <w:r w:rsidRPr="00E569C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569C3" w:rsidRDefault="00D058B8" w:rsidP="004C5D52">
      <w:pPr>
        <w:pStyle w:val="LineTop"/>
      </w:pPr>
    </w:p>
    <w:p w:rsidR="00680577" w:rsidRPr="00E569C3" w:rsidRDefault="001862B2" w:rsidP="00680577">
      <w:pPr>
        <w:pStyle w:val="EPBodyTA1"/>
      </w:pPr>
      <w:r w:rsidRPr="00E569C3">
        <w:t>ΚΕΙΜΕΝΑ ΠΟΥ ΕΓΚΡΙΘΗΚΑΝ</w:t>
      </w:r>
    </w:p>
    <w:p w:rsidR="00D058B8" w:rsidRPr="00E569C3" w:rsidRDefault="00D058B8" w:rsidP="00D058B8">
      <w:pPr>
        <w:pStyle w:val="LineBottom"/>
      </w:pPr>
    </w:p>
    <w:p w:rsidR="001862B2" w:rsidRPr="00C31141" w:rsidRDefault="001862B2" w:rsidP="001862B2">
      <w:pPr>
        <w:pStyle w:val="ATHeading1"/>
      </w:pPr>
      <w:bookmarkStart w:id="1" w:name="TANumber"/>
      <w:r w:rsidRPr="00E569C3">
        <w:t>P9_TA(2024)</w:t>
      </w:r>
      <w:bookmarkEnd w:id="1"/>
      <w:r w:rsidR="00C31141" w:rsidRPr="00E569C3">
        <w:t>0</w:t>
      </w:r>
      <w:r w:rsidR="00C31141" w:rsidRPr="001A23D8">
        <w:t>314</w:t>
      </w:r>
    </w:p>
    <w:p w:rsidR="001862B2" w:rsidRPr="00E569C3" w:rsidRDefault="001862B2" w:rsidP="001862B2">
      <w:pPr>
        <w:pStyle w:val="ATHeading2"/>
      </w:pPr>
      <w:bookmarkStart w:id="2" w:name="title"/>
      <w:r w:rsidRPr="00E569C3">
        <w:t>Απόφαση περί μη διατύπωσης αντίρρησης σε κατ’ εξουσιοδότηση πράξη: προσθήκη της πρόδρομης ουσίας ναρκωτικών [2-(3,4-μεθυλενοδιοξυφαινυλο)</w:t>
      </w:r>
      <w:proofErr w:type="spellStart"/>
      <w:r w:rsidRPr="00E569C3">
        <w:t>ακετυλο</w:t>
      </w:r>
      <w:proofErr w:type="spellEnd"/>
      <w:r w:rsidRPr="00E569C3">
        <w:t>]</w:t>
      </w:r>
      <w:proofErr w:type="spellStart"/>
      <w:r w:rsidRPr="00E569C3">
        <w:t>μηλονικό</w:t>
      </w:r>
      <w:proofErr w:type="spellEnd"/>
      <w:r w:rsidRPr="00E569C3">
        <w:t xml:space="preserve"> </w:t>
      </w:r>
      <w:proofErr w:type="spellStart"/>
      <w:r w:rsidRPr="00E569C3">
        <w:t>ισοπροπυλιδένιο</w:t>
      </w:r>
      <w:proofErr w:type="spellEnd"/>
      <w:r w:rsidRPr="00E569C3">
        <w:t xml:space="preserve"> (IMDPAM) και άλλων ουσιών στον κατάλογο των διαβαθμισμένων ουσιών</w:t>
      </w:r>
      <w:bookmarkEnd w:id="2"/>
    </w:p>
    <w:p w:rsidR="001862B2" w:rsidRPr="00E569C3" w:rsidRDefault="001862B2" w:rsidP="001862B2">
      <w:pPr>
        <w:rPr>
          <w:i/>
          <w:vanish/>
        </w:rPr>
      </w:pPr>
      <w:r w:rsidRPr="00E569C3">
        <w:rPr>
          <w:i/>
        </w:rPr>
        <w:fldChar w:fldCharType="begin"/>
      </w:r>
      <w:r w:rsidRPr="00E569C3">
        <w:rPr>
          <w:i/>
        </w:rPr>
        <w:instrText xml:space="preserve"> TC"(</w:instrText>
      </w:r>
      <w:bookmarkStart w:id="3" w:name="DocNumber"/>
      <w:r w:rsidRPr="00E569C3">
        <w:rPr>
          <w:i/>
        </w:rPr>
        <w:instrText>B9-0213/2024</w:instrText>
      </w:r>
      <w:bookmarkEnd w:id="3"/>
      <w:r w:rsidRPr="00E569C3">
        <w:rPr>
          <w:i/>
        </w:rPr>
        <w:instrText xml:space="preserve">)"\l3 \n&gt; \* MERGEFORMAT </w:instrText>
      </w:r>
      <w:r w:rsidRPr="00E569C3">
        <w:rPr>
          <w:i/>
        </w:rPr>
        <w:fldChar w:fldCharType="end"/>
      </w:r>
    </w:p>
    <w:p w:rsidR="001862B2" w:rsidRPr="00E569C3" w:rsidRDefault="001862B2" w:rsidP="001862B2">
      <w:pPr>
        <w:rPr>
          <w:vanish/>
        </w:rPr>
      </w:pPr>
      <w:bookmarkStart w:id="4" w:name="PE"/>
      <w:r w:rsidRPr="00E569C3">
        <w:rPr>
          <w:vanish/>
        </w:rPr>
        <w:t>PE760.991</w:t>
      </w:r>
      <w:bookmarkEnd w:id="4"/>
    </w:p>
    <w:p w:rsidR="001862B2" w:rsidRPr="00E569C3" w:rsidRDefault="001862B2" w:rsidP="001862B2">
      <w:pPr>
        <w:pStyle w:val="ATHeading3"/>
      </w:pPr>
      <w:bookmarkStart w:id="5" w:name="Sujet"/>
      <w:r w:rsidRPr="00E569C3">
        <w:t>Απόφαση του Ευρωπαϊκού Κοινοβουλίου περί μη διατύπωσης αντίρρησης σχετικά με τον κατ’ εξουσιοδότηση κανονισμό της Επιτροπής, της 28ης Φεβρουαρίου 2024, για την τροποποίηση του κανονισμού (ΕΚ) αριθ. 273/2004 του Ευρωπαϊκού Κοινοβουλίου και του Συμβουλίου και του κανονισμού (ΕΚ) αριθ. 111/2005 του Συμβουλίου όσον αφορά την προσθήκη της πρόδρομης ουσίας ναρκωτικών [2-(3,4-μεθυλενοδιοξυφαινυλο)</w:t>
      </w:r>
      <w:proofErr w:type="spellStart"/>
      <w:r w:rsidRPr="00E569C3">
        <w:t>ακετυλο</w:t>
      </w:r>
      <w:proofErr w:type="spellEnd"/>
      <w:r w:rsidRPr="00E569C3">
        <w:t>]</w:t>
      </w:r>
      <w:proofErr w:type="spellStart"/>
      <w:r w:rsidRPr="00E569C3">
        <w:t>μηλονικό</w:t>
      </w:r>
      <w:proofErr w:type="spellEnd"/>
      <w:r w:rsidRPr="00E569C3">
        <w:t xml:space="preserve"> </w:t>
      </w:r>
      <w:proofErr w:type="spellStart"/>
      <w:r w:rsidRPr="00E569C3">
        <w:t>ισοπροπυλιδένιο</w:t>
      </w:r>
      <w:proofErr w:type="spellEnd"/>
      <w:r w:rsidRPr="00E569C3">
        <w:t xml:space="preserve"> (IMDPAM) και άλλων ουσιών στον κατάλογο των διαβαθμισμένων ουσιών</w:t>
      </w:r>
      <w:bookmarkEnd w:id="5"/>
      <w:r w:rsidRPr="00E569C3">
        <w:t xml:space="preserve"> </w:t>
      </w:r>
      <w:bookmarkStart w:id="6" w:name="References"/>
      <w:r w:rsidRPr="00E569C3">
        <w:t>(C(2024)01219 - 2024/2606(DEA))</w:t>
      </w:r>
      <w:bookmarkEnd w:id="6"/>
    </w:p>
    <w:p w:rsidR="00CD325B" w:rsidRPr="00E569C3" w:rsidRDefault="00CD325B" w:rsidP="00CD325B">
      <w:pPr>
        <w:pStyle w:val="EPComma"/>
      </w:pPr>
      <w:bookmarkStart w:id="7" w:name="TextBodyBegin"/>
      <w:bookmarkEnd w:id="7"/>
      <w:r w:rsidRPr="00E569C3">
        <w:rPr>
          <w:i/>
        </w:rPr>
        <w:t>Το Ευρωπαϊκό Κοινοβούλιο</w:t>
      </w:r>
      <w:r w:rsidRPr="00E569C3">
        <w:t>,</w:t>
      </w:r>
    </w:p>
    <w:p w:rsidR="00CD325B" w:rsidRPr="00E569C3" w:rsidRDefault="00CD325B" w:rsidP="00CD325B">
      <w:pPr>
        <w:pStyle w:val="NormalHanging12a"/>
      </w:pPr>
      <w:r w:rsidRPr="00E569C3">
        <w:t>–</w:t>
      </w:r>
      <w:r w:rsidRPr="00E569C3">
        <w:tab/>
        <w:t>έχοντας υπόψη τον κατ’ εξουσιοδότηση κανονισμό της Επιτροπής (C(2024)01219),</w:t>
      </w:r>
    </w:p>
    <w:p w:rsidR="00CD325B" w:rsidRPr="00E569C3" w:rsidRDefault="00CD325B" w:rsidP="00CD325B">
      <w:pPr>
        <w:pStyle w:val="NormalHanging12a"/>
        <w:rPr>
          <w:spacing w:val="-2"/>
          <w:szCs w:val="24"/>
        </w:rPr>
      </w:pPr>
      <w:r w:rsidRPr="00E569C3">
        <w:t>–</w:t>
      </w:r>
      <w:r w:rsidRPr="00E569C3">
        <w:tab/>
        <w:t>έχοντας υπόψη την επιστολή της Επιτροπής της 13ης Μαρτίου 2024 διά της οποίας του ζητείται να δηλώσει ότι δεν θα διατυπώσει αντίρρηση σχετικά με τον κατ’ εξουσιοδότηση κανονισμό,</w:t>
      </w:r>
    </w:p>
    <w:p w:rsidR="00CD325B" w:rsidRPr="00E569C3" w:rsidRDefault="00CD325B" w:rsidP="00CD325B">
      <w:pPr>
        <w:pStyle w:val="NormalHanging12a"/>
      </w:pPr>
      <w:r w:rsidRPr="00E569C3">
        <w:t>–</w:t>
      </w:r>
      <w:r w:rsidRPr="00E569C3">
        <w:tab/>
        <w:t>έχοντας υπόψη την επιστολή της Επιτροπής Πολιτικών Ελευθεριών, Δικαιοσύνης και Εσωτερικών Υποθέσεων προς τον Πρόεδρο της Διάσκεψης των Προέδρων των Επιτροπών,</w:t>
      </w:r>
    </w:p>
    <w:p w:rsidR="00CD325B" w:rsidRPr="00E569C3" w:rsidRDefault="00CD325B" w:rsidP="00CD325B">
      <w:pPr>
        <w:pStyle w:val="NormalHanging12a"/>
      </w:pPr>
      <w:r w:rsidRPr="00E569C3">
        <w:t>–</w:t>
      </w:r>
      <w:r w:rsidRPr="00E569C3">
        <w:tab/>
        <w:t>έχοντας υπόψη το άρθρο 290 της Συνθήκης για τη λειτουργία της Ευρωπαϊκής Ένωσης,</w:t>
      </w:r>
    </w:p>
    <w:p w:rsidR="00CD325B" w:rsidRPr="00E569C3" w:rsidRDefault="00CD325B" w:rsidP="00CD325B">
      <w:pPr>
        <w:pStyle w:val="NormalHanging12a"/>
      </w:pPr>
      <w:r w:rsidRPr="00E569C3">
        <w:t>–</w:t>
      </w:r>
      <w:r w:rsidRPr="00E569C3">
        <w:tab/>
        <w:t>έχοντας υπόψη τον κανονισμό (ΕΚ) αριθ. 273/2004 του Ευρωπαϊκού Κοινοβουλίου και του Συμβουλίου, της 11ης Φεβρουαρίου 2004</w:t>
      </w:r>
      <w:r w:rsidRPr="00E569C3">
        <w:rPr>
          <w:rStyle w:val="FootnoteReference"/>
          <w:szCs w:val="24"/>
        </w:rPr>
        <w:footnoteReference w:id="1"/>
      </w:r>
      <w:r w:rsidRPr="00E569C3">
        <w:t>, περί των προδρόμων ουσιών των ναρκωτικών, και ιδίως το άρθρο 15 και το άρθρο 15α παράγραφος 5,</w:t>
      </w:r>
    </w:p>
    <w:p w:rsidR="00CD325B" w:rsidRPr="00E569C3" w:rsidRDefault="00CD325B" w:rsidP="00CD325B">
      <w:pPr>
        <w:pStyle w:val="NormalHanging12a"/>
      </w:pPr>
      <w:r w:rsidRPr="00E569C3">
        <w:t>–</w:t>
      </w:r>
      <w:r w:rsidRPr="00E569C3">
        <w:tab/>
        <w:t>έχοντας υπόψη τον κανονισμό (ΕΚ) αριθ. 111/2005 του Συμβουλίου, της 22ας Δεκεμβρίου 2004</w:t>
      </w:r>
      <w:r w:rsidRPr="00E569C3">
        <w:rPr>
          <w:rStyle w:val="FootnoteReference"/>
        </w:rPr>
        <w:footnoteReference w:id="2"/>
      </w:r>
      <w:r w:rsidRPr="00E569C3">
        <w:t xml:space="preserve">, σχετικά με τη θέσπιση κανόνων για την παρακολούθηση του </w:t>
      </w:r>
      <w:r w:rsidRPr="00E569C3">
        <w:lastRenderedPageBreak/>
        <w:t>εμπορίου πρόδρομων ουσιών ναρκωτικών μεταξύ της Ένωσης και τρίτων χωρών, και ιδίως το άρθρο 30α και το άρθρο 30β παράγραφος 5,</w:t>
      </w:r>
    </w:p>
    <w:p w:rsidR="00CD325B" w:rsidRPr="00E569C3" w:rsidRDefault="00CD325B" w:rsidP="00CD325B">
      <w:pPr>
        <w:pStyle w:val="NormalHanging12a"/>
      </w:pPr>
      <w:r w:rsidRPr="00E569C3">
        <w:t>–</w:t>
      </w:r>
      <w:r w:rsidRPr="00E569C3">
        <w:tab/>
        <w:t>έχοντας υπόψη το άρθρο 111 παράγραφος 6 του Κανονισμού του,</w:t>
      </w:r>
    </w:p>
    <w:p w:rsidR="00CD325B" w:rsidRDefault="00CD325B" w:rsidP="00CD325B">
      <w:pPr>
        <w:pStyle w:val="NormalHanging12a"/>
      </w:pPr>
      <w:r w:rsidRPr="00E569C3">
        <w:t>–</w:t>
      </w:r>
      <w:r w:rsidRPr="00E569C3">
        <w:tab/>
        <w:t>έχοντας υπόψη τη σύσταση απόφασης της Επιτροπής Πολιτικών Ελευθεριών, Δικαιοσύνης και Εσωτερικών Υποθέσεων,</w:t>
      </w:r>
    </w:p>
    <w:p w:rsidR="00C31141" w:rsidRPr="00E569C3" w:rsidRDefault="00C31141" w:rsidP="00CD325B">
      <w:pPr>
        <w:pStyle w:val="NormalHanging12a"/>
      </w:pPr>
      <w:r w:rsidRPr="00E569C3">
        <w:t>–</w:t>
      </w:r>
      <w:r w:rsidRPr="00E569C3">
        <w:tab/>
      </w:r>
      <w:r w:rsidRPr="00C31141">
        <w:t xml:space="preserve">έχοντας υπόψη ότι δεν διατυπώθηκαν αντιρρήσεις εντός της προθεσμίας που ορίζεται στο άρθρο 111 παράγραφος 6 τρίτη και τέταρτη περίπτωση του Κανονισμού του, η οποία έληξε στις </w:t>
      </w:r>
      <w:r>
        <w:t>23</w:t>
      </w:r>
      <w:r w:rsidRPr="00C31141">
        <w:t xml:space="preserve"> </w:t>
      </w:r>
      <w:r>
        <w:t>Απριλίου</w:t>
      </w:r>
      <w:r w:rsidRPr="00C31141">
        <w:t xml:space="preserve"> 202</w:t>
      </w:r>
      <w:r>
        <w:t>4</w:t>
      </w:r>
      <w:r w:rsidRPr="00C31141">
        <w:t>,</w:t>
      </w:r>
    </w:p>
    <w:p w:rsidR="00CD325B" w:rsidRPr="00E569C3" w:rsidRDefault="00CD325B" w:rsidP="00CD325B">
      <w:pPr>
        <w:pStyle w:val="NormalHanging12a"/>
      </w:pPr>
      <w:r w:rsidRPr="00E569C3">
        <w:t>Α.</w:t>
      </w:r>
      <w:r w:rsidRPr="00E569C3">
        <w:tab/>
        <w:t>λαμβάνοντας υπόψη ότι το νομοθετικό πλαίσιο της ΕΕ για τα μέτρα ελέγχου της πρόσβασης σε ουσίες που χρησιμοποιούνται στην παρασκευή παράνομων ναρκωτικών πρέπει να επικαιροποιείται συνεχώς, ώστε να καταπολεμηθεί η διάδοση των λεγόμενων «πρόδρομων ουσιών νέας γενιάς», οι οποίες είναι στενοί χημικοί συγγενείς παραδοσιακών πρόδρομων ουσιών ναρκωτικών που δημιουργήθηκαν για την παράκαμψη των υφιστάμενων κανόνων·</w:t>
      </w:r>
    </w:p>
    <w:p w:rsidR="00CD325B" w:rsidRPr="00E569C3" w:rsidRDefault="00CD325B" w:rsidP="00CD325B">
      <w:pPr>
        <w:pStyle w:val="ManualConsidrant"/>
        <w:ind w:left="567" w:hanging="567"/>
        <w:jc w:val="left"/>
        <w:rPr>
          <w:noProof/>
        </w:rPr>
      </w:pPr>
      <w:r w:rsidRPr="00E569C3">
        <w:t>Β.</w:t>
      </w:r>
      <w:r w:rsidRPr="00E569C3">
        <w:tab/>
        <w:t>λαμβάνοντας υπόψη ότι το άλας νατρίου του [2-(3,4-μεθυλενοδιοξυφαινυλο)</w:t>
      </w:r>
      <w:proofErr w:type="spellStart"/>
      <w:r w:rsidRPr="00E569C3">
        <w:t>ακετυλο</w:t>
      </w:r>
      <w:proofErr w:type="spellEnd"/>
      <w:r w:rsidRPr="00E569C3">
        <w:t>]</w:t>
      </w:r>
      <w:proofErr w:type="spellStart"/>
      <w:r w:rsidRPr="00E569C3">
        <w:t>μηλονικού</w:t>
      </w:r>
      <w:proofErr w:type="spellEnd"/>
      <w:r w:rsidRPr="00E569C3">
        <w:t xml:space="preserve"> </w:t>
      </w:r>
      <w:proofErr w:type="spellStart"/>
      <w:r w:rsidRPr="00E569C3">
        <w:t>ισοπροπυλιδενίου</w:t>
      </w:r>
      <w:proofErr w:type="spellEnd"/>
      <w:r w:rsidRPr="00E569C3">
        <w:t xml:space="preserve"> (IMDPAM) έχει προσδιοριστεί ως πρόδρομη ουσία ναρκωτικών που αναπτύχθηκε πρόσφατα και χρησιμοποιείται στην παραγωγή MDMA (3,4-μεθυλενοδιοξυμεθαμφεταμίνη), κοινώς γνωστής ως «έκσταση»·</w:t>
      </w:r>
    </w:p>
    <w:p w:rsidR="00CD325B" w:rsidRPr="00E569C3" w:rsidRDefault="00CD325B" w:rsidP="00CD325B">
      <w:pPr>
        <w:pStyle w:val="ManualConsidrant"/>
        <w:ind w:left="567" w:hanging="567"/>
        <w:jc w:val="left"/>
        <w:rPr>
          <w:noProof/>
        </w:rPr>
      </w:pPr>
      <w:r w:rsidRPr="00E569C3">
        <w:t>Γ.</w:t>
      </w:r>
      <w:r w:rsidRPr="00E569C3">
        <w:tab/>
        <w:t>λαμβάνοντας υπόψη ότι επτά εστέρες του 2-μεθυλο-3-φαινυλοξιρανο-2-καρβοξυλικού οξέος (</w:t>
      </w:r>
      <w:r w:rsidR="00295B96">
        <w:t>«</w:t>
      </w:r>
      <w:r w:rsidRPr="00E569C3">
        <w:t xml:space="preserve">BMK </w:t>
      </w:r>
      <w:proofErr w:type="spellStart"/>
      <w:r w:rsidRPr="00E569C3">
        <w:t>γλυκιδικό</w:t>
      </w:r>
      <w:proofErr w:type="spellEnd"/>
      <w:r w:rsidRPr="00E569C3">
        <w:t xml:space="preserve"> οξύ</w:t>
      </w:r>
      <w:r w:rsidR="00295B96">
        <w:t>»</w:t>
      </w:r>
      <w:r w:rsidRPr="00E569C3">
        <w:t>) και έξι εστέρες του 3-(1,3-βενζοδιοξολο-5-υλο)-2-μεθυλοξιρανο-2-καρβοξυλικού οξέος (</w:t>
      </w:r>
      <w:r w:rsidR="00295B96">
        <w:t>«</w:t>
      </w:r>
      <w:r w:rsidRPr="00E569C3">
        <w:t xml:space="preserve">PMK </w:t>
      </w:r>
      <w:proofErr w:type="spellStart"/>
      <w:r w:rsidRPr="00E569C3">
        <w:t>γλυκιδικό</w:t>
      </w:r>
      <w:proofErr w:type="spellEnd"/>
      <w:r w:rsidRPr="00E569C3">
        <w:t xml:space="preserve"> οξύ</w:t>
      </w:r>
      <w:r w:rsidR="00295B96">
        <w:t>»</w:t>
      </w:r>
      <w:r w:rsidRPr="00E569C3">
        <w:t xml:space="preserve">) έχουν προσδιοριστεί ως πιθανά υποκατάστατα του BMK </w:t>
      </w:r>
      <w:proofErr w:type="spellStart"/>
      <w:r w:rsidRPr="00E569C3">
        <w:t>γλυκιδικού</w:t>
      </w:r>
      <w:proofErr w:type="spellEnd"/>
      <w:r w:rsidRPr="00E569C3">
        <w:t xml:space="preserve"> οξέος και του PMK </w:t>
      </w:r>
      <w:proofErr w:type="spellStart"/>
      <w:r w:rsidRPr="00E569C3">
        <w:t>γλυκιδικού</w:t>
      </w:r>
      <w:proofErr w:type="spellEnd"/>
      <w:r w:rsidRPr="00E569C3">
        <w:t xml:space="preserve"> οξέος, τα οποία είναι ελεγχόμενες πρόδρομες ουσίες στο πλαίσιο του ενωσιακού δικαίου, στην παραγωγή παράνομων ναρκωτικών όπως η MDMA, η </w:t>
      </w:r>
      <w:proofErr w:type="spellStart"/>
      <w:r w:rsidRPr="00E569C3">
        <w:t>μεθαμφεταμίνη</w:t>
      </w:r>
      <w:proofErr w:type="spellEnd"/>
      <w:r w:rsidRPr="00E569C3">
        <w:t xml:space="preserve"> και η αμφεταμίνη·</w:t>
      </w:r>
    </w:p>
    <w:p w:rsidR="00CD325B" w:rsidRPr="00E569C3" w:rsidRDefault="00CD325B" w:rsidP="00CD325B">
      <w:pPr>
        <w:pStyle w:val="ManualConsidrant"/>
        <w:ind w:left="567" w:hanging="567"/>
        <w:jc w:val="left"/>
        <w:rPr>
          <w:noProof/>
        </w:rPr>
      </w:pPr>
      <w:r w:rsidRPr="00E569C3">
        <w:t>Δ.</w:t>
      </w:r>
      <w:r w:rsidRPr="00E569C3">
        <w:tab/>
        <w:t xml:space="preserve">λαμβάνοντας υπόψη ότι είναι αναγκαίο να τροποποιηθεί ο κατάλογος των διαβαθμισμένων ουσιών που περιλαμβάνονται στο παράρτημα I του κανονισμού (ΕΚ) αριθ. 273/2004 και στο παράρτημα του κανονισμού (ΕΚ) αριθ. 111/2005, ώστε να υπαχθούν το IMDPAM και οι προσδιορισμένοι εστέρες του BMK </w:t>
      </w:r>
      <w:proofErr w:type="spellStart"/>
      <w:r w:rsidRPr="00E569C3">
        <w:t>γλυκιδικού</w:t>
      </w:r>
      <w:proofErr w:type="spellEnd"/>
      <w:r w:rsidRPr="00E569C3">
        <w:t xml:space="preserve"> οξέος και του PMK </w:t>
      </w:r>
      <w:proofErr w:type="spellStart"/>
      <w:r w:rsidRPr="00E569C3">
        <w:t>γλυκιδικού</w:t>
      </w:r>
      <w:proofErr w:type="spellEnd"/>
      <w:r w:rsidRPr="00E569C3">
        <w:t xml:space="preserve"> οξέος στα εναρμονισμένα μέτρα ελέγχου και παρακολούθησης που προβλέπονται από τους εν λόγω κανονισμούς·</w:t>
      </w:r>
    </w:p>
    <w:p w:rsidR="00CD325B" w:rsidRPr="00E569C3" w:rsidRDefault="00CD325B" w:rsidP="00CD325B">
      <w:pPr>
        <w:pStyle w:val="ManualConsidrant"/>
        <w:ind w:left="567" w:hanging="567"/>
        <w:jc w:val="left"/>
        <w:rPr>
          <w:noProof/>
        </w:rPr>
      </w:pPr>
      <w:r w:rsidRPr="00E569C3">
        <w:t xml:space="preserve">Ε. </w:t>
      </w:r>
      <w:r w:rsidRPr="00E569C3">
        <w:tab/>
        <w:t>λαμβάνοντας υπόψη ότι τα μέτρα για τον έλεγχο της πρόσβασης σε πρόσφατα διαβαθμισμένες ουσίες δυνάμει των κανονισμών (ΕΚ) αριθ. 273/2004 και (ΕΚ) αριθ. 111/2005 θα πρέπει να τεθούν σε ισχύ το συντομότερο δυνατόν, ώστε να αποτραπεί η χρήση των εν λόγω πρόδρομων ουσιών ναρκωτικών για την παραγωγή και τη διάθεση παράνομων ναρκωτικών στην αγορά·</w:t>
      </w:r>
    </w:p>
    <w:p w:rsidR="00CD325B" w:rsidRPr="00E569C3" w:rsidRDefault="00CD325B" w:rsidP="00CD325B">
      <w:pPr>
        <w:pStyle w:val="ManualConsidrant"/>
        <w:spacing w:after="240"/>
        <w:ind w:left="567" w:hanging="567"/>
        <w:jc w:val="left"/>
        <w:rPr>
          <w:spacing w:val="-2"/>
          <w:szCs w:val="24"/>
        </w:rPr>
      </w:pPr>
      <w:r w:rsidRPr="00E569C3">
        <w:t>ΣΤ.</w:t>
      </w:r>
      <w:r w:rsidRPr="00E569C3">
        <w:tab/>
        <w:t>λαμβάνοντας υπόψη ότι στον οδικό χάρτη της ΕΕ για την καταπολέμηση του εμπορίου ναρκωτικών και του οργανωμένου εγκλήματος (COM(2023)0641), η Ευρωπαϊκή Επιτροπή δεσμεύτηκε να καταβάλει κάθε δυνατή προσπάθεια, σε συνεργασία με το Κοινοβούλιο και το Συμβούλιο, για την επιτάχυνση της διαδικασίας έγκρισης μελλοντικών κατ’ εξουσιοδότηση πράξεων που διαβαθμίζουν πρόσθετες ουσίες βάσει των κανονισμών (ΕΚ) αριθ. 273/2004 και (ΕΚ) αριθ. 111/2005·</w:t>
      </w:r>
    </w:p>
    <w:p w:rsidR="00CD325B" w:rsidRPr="00E569C3" w:rsidRDefault="00CD325B" w:rsidP="00CD325B">
      <w:pPr>
        <w:pStyle w:val="NormalHanging12a"/>
      </w:pPr>
      <w:r w:rsidRPr="00E569C3">
        <w:t>1.</w:t>
      </w:r>
      <w:r w:rsidRPr="00E569C3">
        <w:tab/>
        <w:t>δηλώνει ότι δεν διατυπώνει αντίρρηση σχετικά με τον κατ’ εξουσιοδότηση κανονισμό·</w:t>
      </w:r>
    </w:p>
    <w:p w:rsidR="00E365E1" w:rsidRPr="00E569C3" w:rsidRDefault="00CD325B" w:rsidP="00295B96">
      <w:pPr>
        <w:pStyle w:val="NormalHanging12a"/>
      </w:pPr>
      <w:r w:rsidRPr="00E569C3">
        <w:t>2.</w:t>
      </w:r>
      <w:r w:rsidRPr="00E569C3">
        <w:tab/>
        <w:t xml:space="preserve">αναθέτει στην Πρόεδρό του να διαβιβάσει την παρούσα απόφαση στο </w:t>
      </w:r>
      <w:r w:rsidR="00E569C3" w:rsidRPr="00E569C3">
        <w:t>Συμβούλιο και στην Επιτροπή.</w:t>
      </w:r>
      <w:bookmarkStart w:id="8" w:name="TextBodyEnd"/>
      <w:bookmarkEnd w:id="8"/>
    </w:p>
    <w:sectPr w:rsidR="00E365E1" w:rsidRPr="00E569C3" w:rsidSect="00E569C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62B2" w:rsidRPr="00E569C3" w:rsidRDefault="001862B2">
      <w:r w:rsidRPr="00E569C3">
        <w:separator/>
      </w:r>
    </w:p>
  </w:endnote>
  <w:endnote w:type="continuationSeparator" w:id="0">
    <w:p w:rsidR="001862B2" w:rsidRPr="00E569C3" w:rsidRDefault="001862B2">
      <w:r w:rsidRPr="00E569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69C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69C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69C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62B2" w:rsidRPr="00E569C3" w:rsidRDefault="001862B2">
      <w:r w:rsidRPr="00E569C3">
        <w:separator/>
      </w:r>
    </w:p>
  </w:footnote>
  <w:footnote w:type="continuationSeparator" w:id="0">
    <w:p w:rsidR="001862B2" w:rsidRPr="00E569C3" w:rsidRDefault="001862B2">
      <w:r w:rsidRPr="00E569C3">
        <w:continuationSeparator/>
      </w:r>
    </w:p>
  </w:footnote>
  <w:footnote w:id="1">
    <w:p w:rsidR="00CD325B" w:rsidRPr="00E569C3" w:rsidRDefault="00CD325B" w:rsidP="00E569C3">
      <w:pPr>
        <w:pStyle w:val="FootnoteText"/>
        <w:ind w:left="567" w:hanging="567"/>
        <w:rPr>
          <w:sz w:val="24"/>
          <w:lang w:val="el-GR"/>
        </w:rPr>
      </w:pPr>
      <w:r w:rsidRPr="00E569C3">
        <w:rPr>
          <w:rStyle w:val="FootnoteReference"/>
          <w:sz w:val="24"/>
          <w:lang w:val="el-GR"/>
        </w:rPr>
        <w:footnoteRef/>
      </w:r>
      <w:r w:rsidR="00E569C3" w:rsidRPr="00E569C3">
        <w:rPr>
          <w:sz w:val="24"/>
          <w:lang w:val="el-GR"/>
        </w:rPr>
        <w:t xml:space="preserve"> </w:t>
      </w:r>
      <w:r w:rsidR="00E569C3" w:rsidRPr="00E569C3">
        <w:rPr>
          <w:sz w:val="24"/>
          <w:lang w:val="el-GR"/>
        </w:rPr>
        <w:tab/>
      </w:r>
      <w:r w:rsidRPr="00E569C3">
        <w:rPr>
          <w:sz w:val="24"/>
          <w:lang w:val="el-GR"/>
        </w:rPr>
        <w:t>ΕΕ L 47 της 18.2.2004, σ. 1.</w:t>
      </w:r>
    </w:p>
  </w:footnote>
  <w:footnote w:id="2">
    <w:p w:rsidR="00CD325B" w:rsidRPr="00E569C3" w:rsidRDefault="00CD325B" w:rsidP="00E569C3">
      <w:pPr>
        <w:pStyle w:val="FootnoteText"/>
        <w:ind w:left="567" w:hanging="567"/>
        <w:rPr>
          <w:sz w:val="24"/>
          <w:lang w:val="el-GR"/>
        </w:rPr>
      </w:pPr>
      <w:r w:rsidRPr="00E569C3">
        <w:rPr>
          <w:rStyle w:val="FootnoteReference"/>
          <w:sz w:val="24"/>
          <w:lang w:val="el-GR"/>
        </w:rPr>
        <w:footnoteRef/>
      </w:r>
      <w:r w:rsidR="00E569C3" w:rsidRPr="00E569C3">
        <w:rPr>
          <w:sz w:val="24"/>
          <w:lang w:val="el-GR"/>
        </w:rPr>
        <w:t xml:space="preserve"> </w:t>
      </w:r>
      <w:r w:rsidR="00E569C3" w:rsidRPr="00E569C3">
        <w:rPr>
          <w:sz w:val="24"/>
          <w:lang w:val="el-GR"/>
        </w:rPr>
        <w:tab/>
      </w:r>
      <w:r w:rsidRPr="00E569C3">
        <w:rPr>
          <w:sz w:val="24"/>
          <w:lang w:val="el-GR"/>
        </w:rPr>
        <w:t>ΕΕ L 22 της 26.1.2005, σ.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69C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69C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69C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13/2024"/>
    <w:docVar w:name="dvlangue" w:val="EL"/>
    <w:docVar w:name="dvnumam" w:val="0"/>
    <w:docVar w:name="dvpe" w:val="760.991"/>
    <w:docVar w:name="dvtitre" w:val="Απόφαση του Ευρωπαϊκού Κοινοβουλίου περί μη διατύπωσης αντίρρησης σχετικά με τον κατ’ εξουσιοδότηση κανονισμό της Επιτροπής, της 28ης Φεβρουαρίου 2024, για την τροποποίηση του κανονισμού (ΕΚ) αριθ. 273/2004 του Ευρωπαϊκού Κοινοβουλίου και του Συμβουλίου και του κανονισμού (ΕΚ) αριθ. 111/2005 του Συμβουλίου όσον αφορά την προσθήκη της πρόδρομης ουσίας ναρκωτικών [2-(3,4-μεθυλενοδιοξυφαινυλο)ακετυλο]μηλονικό ισοπροπυλιδένιο (IMDPAM) και άλλων ουσιών στον κατάλογο των διαβαθμισμένων ουσιών(C(2024)01219 - 2024/2606(DEA))"/>
  </w:docVars>
  <w:rsids>
    <w:rsidRoot w:val="001862B2"/>
    <w:rsid w:val="00002272"/>
    <w:rsid w:val="00064002"/>
    <w:rsid w:val="000677B9"/>
    <w:rsid w:val="000831BA"/>
    <w:rsid w:val="000A42CC"/>
    <w:rsid w:val="000E7DD9"/>
    <w:rsid w:val="0010095E"/>
    <w:rsid w:val="00125B37"/>
    <w:rsid w:val="001862B2"/>
    <w:rsid w:val="00187494"/>
    <w:rsid w:val="001A23D8"/>
    <w:rsid w:val="001F32AE"/>
    <w:rsid w:val="002767FF"/>
    <w:rsid w:val="00295B96"/>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1141"/>
    <w:rsid w:val="00C61C0C"/>
    <w:rsid w:val="00C941CB"/>
    <w:rsid w:val="00CC2357"/>
    <w:rsid w:val="00CD325B"/>
    <w:rsid w:val="00CF071A"/>
    <w:rsid w:val="00D058B8"/>
    <w:rsid w:val="00D56C11"/>
    <w:rsid w:val="00D834A0"/>
    <w:rsid w:val="00D872DF"/>
    <w:rsid w:val="00D91E21"/>
    <w:rsid w:val="00DA7FCD"/>
    <w:rsid w:val="00E365E1"/>
    <w:rsid w:val="00E569C3"/>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5D06BD7-9A60-4ED2-A1AA-D0917A649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D325B"/>
    <w:pPr>
      <w:spacing w:before="480" w:after="240"/>
    </w:pPr>
  </w:style>
  <w:style w:type="paragraph" w:customStyle="1" w:styleId="NormalHanging12a">
    <w:name w:val="NormalHanging12a"/>
    <w:basedOn w:val="Normal"/>
    <w:rsid w:val="00CD325B"/>
    <w:pPr>
      <w:spacing w:after="240"/>
      <w:ind w:left="567" w:hanging="567"/>
    </w:pPr>
  </w:style>
  <w:style w:type="paragraph" w:customStyle="1" w:styleId="ManualConsidrant">
    <w:name w:val="Manual Considérant"/>
    <w:basedOn w:val="Normal"/>
    <w:rsid w:val="00CD325B"/>
    <w:pPr>
      <w:widowControl/>
      <w:spacing w:before="120" w:after="120"/>
      <w:ind w:left="709" w:hanging="709"/>
      <w:jc w:val="both"/>
    </w:pPr>
    <w:rPr>
      <w:rFonts w:eastAsiaTheme="minorHAnsi"/>
      <w:szCs w:val="22"/>
      <w:lang w:eastAsia="en-US"/>
    </w:rPr>
  </w:style>
  <w:style w:type="paragraph" w:styleId="BalloonText">
    <w:name w:val="Balloon Text"/>
    <w:basedOn w:val="Normal"/>
    <w:link w:val="BalloonTextChar"/>
    <w:rsid w:val="00C31141"/>
    <w:rPr>
      <w:rFonts w:ascii="Segoe UI" w:hAnsi="Segoe UI" w:cs="Segoe UI"/>
      <w:sz w:val="18"/>
      <w:szCs w:val="18"/>
    </w:rPr>
  </w:style>
  <w:style w:type="character" w:customStyle="1" w:styleId="BalloonTextChar">
    <w:name w:val="Balloon Text Char"/>
    <w:basedOn w:val="DefaultParagraphFont"/>
    <w:link w:val="BalloonText"/>
    <w:rsid w:val="00C31141"/>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9A33EF-261B-4063-A6B8-C134DDFDC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651</Words>
  <Characters>4218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2024-04-24T05:26:00Z</dcterms:created>
  <dcterms:modified xsi:type="dcterms:W3CDTF">2024-04-24T05:26:00Z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B9-0213/2024</vt:lpwstr>
  </property>
  <property fmtid="{D5CDD505-2E9C-101B-9397-08002B2CF9AE}" pid="4" name="&lt;Type&gt;">
    <vt:lpwstr>RR</vt:lpwstr>
  </property>
</Properties>
</file>