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967" w:rsidTr="0010095E">
        <w:trPr>
          <w:trHeight w:hRule="exact" w:val="1418"/>
        </w:trPr>
        <w:tc>
          <w:tcPr>
            <w:tcW w:w="6804" w:type="dxa"/>
            <w:shd w:val="clear" w:color="auto" w:fill="auto"/>
            <w:vAlign w:val="center"/>
          </w:tcPr>
          <w:p w:rsidR="00751A4A" w:rsidRPr="002E7967" w:rsidRDefault="00017BAC" w:rsidP="0010095E">
            <w:pPr>
              <w:pStyle w:val="EPName"/>
            </w:pPr>
            <w:r w:rsidRPr="002E7967">
              <w:t>Euroopa Parlament</w:t>
            </w:r>
          </w:p>
          <w:p w:rsidR="00751A4A" w:rsidRPr="002E7967" w:rsidRDefault="00817416" w:rsidP="00756632">
            <w:pPr>
              <w:pStyle w:val="EPTerm"/>
              <w:rPr>
                <w:rStyle w:val="HideTWBExt"/>
                <w:noProof w:val="0"/>
                <w:vanish w:val="0"/>
                <w:color w:val="auto"/>
              </w:rPr>
            </w:pPr>
            <w:r w:rsidRPr="002E7967">
              <w:t>2019-2024</w:t>
            </w:r>
          </w:p>
        </w:tc>
        <w:tc>
          <w:tcPr>
            <w:tcW w:w="2268" w:type="dxa"/>
            <w:shd w:val="clear" w:color="auto" w:fill="auto"/>
          </w:tcPr>
          <w:p w:rsidR="00751A4A" w:rsidRPr="002E7967" w:rsidRDefault="00187494" w:rsidP="0010095E">
            <w:pPr>
              <w:pStyle w:val="EPLogo"/>
            </w:pPr>
            <w:r w:rsidRPr="002E79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967" w:rsidRDefault="00D058B8" w:rsidP="004C5D52">
      <w:pPr>
        <w:pStyle w:val="LineTop"/>
      </w:pPr>
    </w:p>
    <w:p w:rsidR="00680577" w:rsidRPr="002E7967" w:rsidRDefault="00017BAC" w:rsidP="00680577">
      <w:pPr>
        <w:pStyle w:val="EPBodyTA1"/>
      </w:pPr>
      <w:r w:rsidRPr="002E7967">
        <w:t>VASTUVÕETUD TEKSTID</w:t>
      </w:r>
    </w:p>
    <w:p w:rsidR="00D058B8" w:rsidRPr="002E7967" w:rsidRDefault="00D058B8" w:rsidP="00D058B8">
      <w:pPr>
        <w:pStyle w:val="LineBottom"/>
      </w:pPr>
    </w:p>
    <w:p w:rsidR="00017BAC" w:rsidRPr="002E7967" w:rsidRDefault="00017BAC" w:rsidP="00017BAC">
      <w:pPr>
        <w:pStyle w:val="ATHeading1"/>
      </w:pPr>
      <w:bookmarkStart w:id="0" w:name="TANumber"/>
      <w:r w:rsidRPr="002E7967">
        <w:t>P9_TA(2024)0</w:t>
      </w:r>
      <w:r w:rsidR="007C48B3" w:rsidRPr="002E7967">
        <w:t>314</w:t>
      </w:r>
      <w:bookmarkEnd w:id="0"/>
    </w:p>
    <w:p w:rsidR="00017BAC" w:rsidRPr="002E7967" w:rsidRDefault="00AB7E82" w:rsidP="00017BAC">
      <w:pPr>
        <w:pStyle w:val="ATHeading2"/>
      </w:pPr>
      <w:r w:rsidRPr="002E7967">
        <w:t xml:space="preserve">Vastuväidete puudumine delegeeritud õigusaktile: narkootikumide lähteaine </w:t>
      </w:r>
      <w:proofErr w:type="spellStart"/>
      <w:r w:rsidRPr="002E7967">
        <w:t>isopropülideen</w:t>
      </w:r>
      <w:proofErr w:type="spellEnd"/>
      <w:r w:rsidRPr="002E7967">
        <w:noBreakHyphen/>
        <w:t>(2</w:t>
      </w:r>
      <w:r w:rsidRPr="002E7967">
        <w:noBreakHyphen/>
        <w:t>(3,4</w:t>
      </w:r>
      <w:r w:rsidRPr="002E7967">
        <w:noBreakHyphen/>
        <w:t>metüleendioksüfenüül)</w:t>
      </w:r>
      <w:proofErr w:type="spellStart"/>
      <w:r w:rsidRPr="002E7967">
        <w:t>atsetüül</w:t>
      </w:r>
      <w:proofErr w:type="spellEnd"/>
      <w:r w:rsidRPr="002E7967">
        <w:t>)</w:t>
      </w:r>
      <w:proofErr w:type="spellStart"/>
      <w:r w:rsidRPr="002E7967">
        <w:t>malonaadi</w:t>
      </w:r>
      <w:proofErr w:type="spellEnd"/>
      <w:r w:rsidRPr="002E7967">
        <w:t xml:space="preserve"> (IMDPAM) ja muude ainete lisamine nimekirjas loetletud lähteainete hulka</w:t>
      </w:r>
    </w:p>
    <w:p w:rsidR="00017BAC" w:rsidRPr="002E7967" w:rsidRDefault="00017BAC" w:rsidP="00017BAC">
      <w:pPr>
        <w:rPr>
          <w:i/>
          <w:vanish/>
        </w:rPr>
      </w:pPr>
      <w:r w:rsidRPr="002E7967">
        <w:rPr>
          <w:i/>
        </w:rPr>
        <w:fldChar w:fldCharType="begin"/>
      </w:r>
      <w:r w:rsidRPr="002E7967">
        <w:rPr>
          <w:i/>
        </w:rPr>
        <w:instrText xml:space="preserve"> TC"(</w:instrText>
      </w:r>
      <w:bookmarkStart w:id="1" w:name="DocNumber"/>
      <w:r w:rsidRPr="002E7967">
        <w:rPr>
          <w:i/>
        </w:rPr>
        <w:instrText>B9-0213/2024</w:instrText>
      </w:r>
      <w:bookmarkEnd w:id="1"/>
      <w:r w:rsidRPr="002E7967">
        <w:rPr>
          <w:i/>
        </w:rPr>
        <w:instrText xml:space="preserve">)"\l3 \n&gt; \* MERGEFORMAT </w:instrText>
      </w:r>
      <w:r w:rsidRPr="002E7967">
        <w:rPr>
          <w:i/>
        </w:rPr>
        <w:fldChar w:fldCharType="end"/>
      </w:r>
    </w:p>
    <w:p w:rsidR="00017BAC" w:rsidRPr="002E7967" w:rsidRDefault="00017BAC" w:rsidP="00017BAC">
      <w:pPr>
        <w:rPr>
          <w:vanish/>
        </w:rPr>
      </w:pPr>
      <w:bookmarkStart w:id="2" w:name="PE"/>
      <w:r w:rsidRPr="002E7967">
        <w:rPr>
          <w:vanish/>
        </w:rPr>
        <w:t>PE760.991</w:t>
      </w:r>
      <w:bookmarkEnd w:id="2"/>
    </w:p>
    <w:p w:rsidR="00017BAC" w:rsidRPr="002E7967" w:rsidRDefault="00017BAC" w:rsidP="00AB7E82">
      <w:pPr>
        <w:pStyle w:val="ATHeading3"/>
      </w:pPr>
      <w:bookmarkStart w:id="3" w:name="Sujet"/>
      <w:r w:rsidRPr="002E7967">
        <w:t>Euroopa Parlamendi otsus mitte esitada vastuväiteid komisjoni 28. veebruari 2024. aasta delegeeritud määrusele, millega muudetakse Euroopa Parlamendi ja nõukogu määrust (EÜ) nr 273/2004 ning nõukogu määrust (EÜ) nr 111/2005 seoses narkooti</w:t>
      </w:r>
      <w:r w:rsidR="00AD394B" w:rsidRPr="002E7967">
        <w:t xml:space="preserve">kumide lähteaine </w:t>
      </w:r>
      <w:proofErr w:type="spellStart"/>
      <w:r w:rsidR="00AD394B" w:rsidRPr="002E7967">
        <w:t>isopropülideen</w:t>
      </w:r>
      <w:proofErr w:type="spellEnd"/>
      <w:r w:rsidR="00AD394B" w:rsidRPr="002E7967">
        <w:noBreakHyphen/>
        <w:t>(2</w:t>
      </w:r>
      <w:r w:rsidR="00AD394B" w:rsidRPr="002E7967">
        <w:noBreakHyphen/>
        <w:t>(3,4</w:t>
      </w:r>
      <w:r w:rsidR="00AD394B" w:rsidRPr="002E7967">
        <w:noBreakHyphen/>
      </w:r>
      <w:r w:rsidRPr="002E7967">
        <w:t>metüleendioksüfenüül)</w:t>
      </w:r>
      <w:proofErr w:type="spellStart"/>
      <w:r w:rsidRPr="002E7967">
        <w:t>atsetüül</w:t>
      </w:r>
      <w:proofErr w:type="spellEnd"/>
      <w:r w:rsidRPr="002E7967">
        <w:t>)</w:t>
      </w:r>
      <w:proofErr w:type="spellStart"/>
      <w:r w:rsidRPr="002E7967">
        <w:t>malonaadi</w:t>
      </w:r>
      <w:proofErr w:type="spellEnd"/>
      <w:r w:rsidRPr="002E7967">
        <w:t xml:space="preserve"> (IMDPAM) ja muude ainete lisamisega nimekirjas loetletud lähteainete hulka</w:t>
      </w:r>
      <w:bookmarkEnd w:id="3"/>
      <w:r w:rsidRPr="002E7967">
        <w:t xml:space="preserve"> </w:t>
      </w:r>
      <w:bookmarkStart w:id="4" w:name="References"/>
      <w:r w:rsidRPr="002E7967">
        <w:t>(C(2024)01219 – 2024/2606(DEA))</w:t>
      </w:r>
      <w:bookmarkStart w:id="5" w:name="_GoBack"/>
      <w:bookmarkEnd w:id="4"/>
      <w:bookmarkEnd w:id="5"/>
    </w:p>
    <w:p w:rsidR="00290B61" w:rsidRPr="002E7967" w:rsidRDefault="00290B61" w:rsidP="00290B61">
      <w:pPr>
        <w:pStyle w:val="EPComma"/>
      </w:pPr>
      <w:bookmarkStart w:id="6" w:name="TextBodyBegin"/>
      <w:bookmarkEnd w:id="6"/>
      <w:r w:rsidRPr="002E7967">
        <w:rPr>
          <w:i/>
        </w:rPr>
        <w:t>Euroopa Parlament</w:t>
      </w:r>
      <w:r w:rsidRPr="002E7967">
        <w:t>,</w:t>
      </w:r>
    </w:p>
    <w:p w:rsidR="00290B61" w:rsidRPr="002E7967" w:rsidRDefault="00290B61" w:rsidP="00290B61">
      <w:pPr>
        <w:pStyle w:val="NormalHanging12a"/>
      </w:pPr>
      <w:r w:rsidRPr="002E7967">
        <w:t>–</w:t>
      </w:r>
      <w:r w:rsidRPr="002E7967">
        <w:tab/>
        <w:t>võttes arvesse komisjoni delegeeritud määrust (C(2024)01219),</w:t>
      </w:r>
    </w:p>
    <w:p w:rsidR="00290B61" w:rsidRPr="002E7967" w:rsidRDefault="00290B61" w:rsidP="00290B61">
      <w:pPr>
        <w:pStyle w:val="NormalHanging12a"/>
        <w:rPr>
          <w:spacing w:val="-2"/>
          <w:szCs w:val="24"/>
        </w:rPr>
      </w:pPr>
      <w:r w:rsidRPr="002E7967">
        <w:t>–</w:t>
      </w:r>
      <w:r w:rsidRPr="002E7967">
        <w:tab/>
        <w:t>võttes arvesse komisjoni 13. märtsi 2024. aasta kirja, milles komisjon palub Euroopa Parlamendil teatada, et ta ei esita delegeeritud määrusele vastuväiteid,</w:t>
      </w:r>
    </w:p>
    <w:p w:rsidR="00290B61" w:rsidRPr="002E7967" w:rsidRDefault="00290B61" w:rsidP="00290B61">
      <w:pPr>
        <w:pStyle w:val="NormalHanging12a"/>
      </w:pPr>
      <w:r w:rsidRPr="002E7967">
        <w:t>–</w:t>
      </w:r>
      <w:r w:rsidRPr="002E7967">
        <w:tab/>
        <w:t>võttes arvesse kodanikuvabaduste, justiits- ja siseasjade komisjoni kirja komisjonide esimeeste konverentsi esimehele,</w:t>
      </w:r>
    </w:p>
    <w:p w:rsidR="00290B61" w:rsidRPr="002E7967" w:rsidRDefault="00290B61" w:rsidP="00290B61">
      <w:pPr>
        <w:pStyle w:val="NormalHanging12a"/>
      </w:pPr>
      <w:r w:rsidRPr="002E7967">
        <w:t>–</w:t>
      </w:r>
      <w:r w:rsidRPr="002E7967">
        <w:tab/>
        <w:t>võttes arvesse Euroopa Liidu toimimise lepingu artiklit 290,</w:t>
      </w:r>
    </w:p>
    <w:p w:rsidR="00290B61" w:rsidRPr="002E7967" w:rsidRDefault="00290B61" w:rsidP="00290B61">
      <w:pPr>
        <w:pStyle w:val="NormalHanging12a"/>
      </w:pPr>
      <w:r w:rsidRPr="002E7967">
        <w:t>–</w:t>
      </w:r>
      <w:r w:rsidRPr="002E7967">
        <w:tab/>
        <w:t>võttes arvesse Euroopa Parlamendi ja nõukogu 11. veebruari 2004. aasta määrust (EÜ) nr 273/2004</w:t>
      </w:r>
      <w:r w:rsidRPr="002E7967">
        <w:rPr>
          <w:rStyle w:val="FootnoteReference"/>
          <w:szCs w:val="24"/>
        </w:rPr>
        <w:footnoteReference w:id="1"/>
      </w:r>
      <w:r w:rsidRPr="002E7967">
        <w:t xml:space="preserve"> narkootikumide lähteainete kohta, eriti selle artiklit 15 ja artikli 15a lõiget 5,</w:t>
      </w:r>
    </w:p>
    <w:p w:rsidR="00290B61" w:rsidRPr="002E7967" w:rsidRDefault="00290B61" w:rsidP="00290B61">
      <w:pPr>
        <w:pStyle w:val="NormalHanging12a"/>
      </w:pPr>
      <w:r w:rsidRPr="002E7967">
        <w:t>–</w:t>
      </w:r>
      <w:r w:rsidRPr="002E7967">
        <w:tab/>
        <w:t>võttes arvesse nõukogu 22. detsembri 2004. aasta määrust (EÜ) nr 111/2005</w:t>
      </w:r>
      <w:r w:rsidRPr="002E7967">
        <w:rPr>
          <w:rStyle w:val="FootnoteReference"/>
        </w:rPr>
        <w:footnoteReference w:id="2"/>
      </w:r>
      <w:r w:rsidRPr="002E7967">
        <w:t>, millega kehtestatakse ühenduse ja kolmandate riikide vahelise narkootikumide lähteainetega kauplemise järelevalve eeskirjad, erit</w:t>
      </w:r>
      <w:r w:rsidR="00AB7E82" w:rsidRPr="002E7967">
        <w:t>i selle artiklit 30a ja artikli </w:t>
      </w:r>
      <w:r w:rsidRPr="002E7967">
        <w:t>30b lõiget 5,</w:t>
      </w:r>
    </w:p>
    <w:p w:rsidR="00290B61" w:rsidRPr="002E7967" w:rsidRDefault="00290B61" w:rsidP="00290B61">
      <w:pPr>
        <w:pStyle w:val="NormalHanging12a"/>
      </w:pPr>
      <w:r w:rsidRPr="002E7967">
        <w:t>–</w:t>
      </w:r>
      <w:r w:rsidRPr="002E7967">
        <w:tab/>
        <w:t>võttes arvesse kodukorra artikli 111 lõiget 6,</w:t>
      </w:r>
    </w:p>
    <w:p w:rsidR="00290B61" w:rsidRPr="002E7967" w:rsidRDefault="00290B61" w:rsidP="00290B61">
      <w:pPr>
        <w:pStyle w:val="NormalHanging12a"/>
      </w:pPr>
      <w:r w:rsidRPr="002E7967">
        <w:lastRenderedPageBreak/>
        <w:t>–</w:t>
      </w:r>
      <w:r w:rsidRPr="002E7967">
        <w:tab/>
        <w:t>võttes arvesse kodanikuvabaduste, justiits- ja siseasjade komisjoni soovitust võtta vastu otsus,</w:t>
      </w:r>
    </w:p>
    <w:p w:rsidR="00AB7E82" w:rsidRPr="002E7967" w:rsidRDefault="00AB7E82" w:rsidP="00290B61">
      <w:pPr>
        <w:pStyle w:val="NormalHanging12a"/>
      </w:pPr>
      <w:r w:rsidRPr="002E7967">
        <w:t>–</w:t>
      </w:r>
      <w:r w:rsidRPr="002E7967">
        <w:tab/>
        <w:t>võttes arvesse, et kodukorra artikli 111 lõike 6 kolmandas ja neljandas taandes sätestatud tähtaja jooksul, mis lõppes 23. aprillil 2024, ei ole vastuväiteid esitatud,</w:t>
      </w:r>
    </w:p>
    <w:p w:rsidR="00290B61" w:rsidRPr="002E7967" w:rsidRDefault="00290B61" w:rsidP="00290B61">
      <w:pPr>
        <w:pStyle w:val="NormalHanging12a"/>
      </w:pPr>
      <w:r w:rsidRPr="002E7967">
        <w:t>A.</w:t>
      </w:r>
      <w:r w:rsidRPr="002E7967">
        <w:tab/>
        <w:t>arvestades, et ELi õigusraamistikku, mis käsitleb ebaseaduslike uimastite valmistamiseks kasutatavatele ainetele juurdepääsu kontrollimise meetmeid, tuleb pidevalt ajakohastada, et võidelda lähteaineid matkivate ainete vastu, mis on traditsiooniliste narkootikumide lähteainetega keemiliselt sarnased ained, mis on kasutusele võetud kehtivatest reeglitest mööda hiilimiseks;</w:t>
      </w:r>
    </w:p>
    <w:p w:rsidR="00290B61" w:rsidRPr="002E7967" w:rsidRDefault="00290B61" w:rsidP="00290B61">
      <w:pPr>
        <w:pStyle w:val="ManualConsidrant"/>
        <w:ind w:left="567" w:hanging="567"/>
        <w:jc w:val="left"/>
        <w:rPr>
          <w:noProof/>
        </w:rPr>
      </w:pPr>
      <w:r w:rsidRPr="002E7967">
        <w:t>B</w:t>
      </w:r>
      <w:r w:rsidR="00AB7E82" w:rsidRPr="002E7967">
        <w:t>.</w:t>
      </w:r>
      <w:r w:rsidR="00AB7E82" w:rsidRPr="002E7967">
        <w:tab/>
        <w:t xml:space="preserve">arvestades, et </w:t>
      </w:r>
      <w:proofErr w:type="spellStart"/>
      <w:r w:rsidR="00AB7E82" w:rsidRPr="002E7967">
        <w:t>isopropülideen</w:t>
      </w:r>
      <w:proofErr w:type="spellEnd"/>
      <w:r w:rsidR="00AB7E82" w:rsidRPr="002E7967">
        <w:noBreakHyphen/>
        <w:t>(2</w:t>
      </w:r>
      <w:r w:rsidR="00AB7E82" w:rsidRPr="002E7967">
        <w:noBreakHyphen/>
        <w:t>(3,4</w:t>
      </w:r>
      <w:r w:rsidR="00AB7E82" w:rsidRPr="002E7967">
        <w:noBreakHyphen/>
      </w:r>
      <w:r w:rsidRPr="002E7967">
        <w:t>metüleendioksüfenüül)</w:t>
      </w:r>
      <w:proofErr w:type="spellStart"/>
      <w:r w:rsidRPr="002E7967">
        <w:t>atsetüül</w:t>
      </w:r>
      <w:proofErr w:type="spellEnd"/>
      <w:r w:rsidRPr="002E7967">
        <w:t>)</w:t>
      </w:r>
      <w:proofErr w:type="spellStart"/>
      <w:r w:rsidRPr="002E7967">
        <w:t>malonaadi</w:t>
      </w:r>
      <w:proofErr w:type="spellEnd"/>
      <w:r w:rsidRPr="002E7967">
        <w:t xml:space="preserve"> (IMDPAM) naatriumsool on tuvastatud kui uus uimastite lähteaine</w:t>
      </w:r>
      <w:r w:rsidR="00AB7E82" w:rsidRPr="002E7967">
        <w:t xml:space="preserve">, millest toodetakse </w:t>
      </w:r>
      <w:proofErr w:type="spellStart"/>
      <w:r w:rsidR="00AB7E82" w:rsidRPr="002E7967">
        <w:t>MDMAd</w:t>
      </w:r>
      <w:proofErr w:type="spellEnd"/>
      <w:r w:rsidR="00AB7E82" w:rsidRPr="002E7967">
        <w:t xml:space="preserve"> (3,4</w:t>
      </w:r>
      <w:r w:rsidR="00AB7E82" w:rsidRPr="002E7967">
        <w:noBreakHyphen/>
      </w:r>
      <w:r w:rsidRPr="002E7967">
        <w:t xml:space="preserve">metüleendioksümetamfetamiini), mida tuntakse enamasti </w:t>
      </w:r>
      <w:r w:rsidRPr="002E7967">
        <w:rPr>
          <w:i/>
          <w:iCs/>
        </w:rPr>
        <w:t>ecstasy</w:t>
      </w:r>
      <w:r w:rsidRPr="002E7967">
        <w:t xml:space="preserve"> nime all;</w:t>
      </w:r>
    </w:p>
    <w:p w:rsidR="00290B61" w:rsidRPr="002E7967" w:rsidRDefault="00290B61" w:rsidP="00290B61">
      <w:pPr>
        <w:pStyle w:val="ManualConsidrant"/>
        <w:ind w:left="567" w:hanging="567"/>
        <w:jc w:val="left"/>
        <w:rPr>
          <w:noProof/>
        </w:rPr>
      </w:pPr>
      <w:r w:rsidRPr="002E7967">
        <w:t>C.</w:t>
      </w:r>
      <w:r w:rsidRPr="002E7967">
        <w:tab/>
        <w:t>arvestad</w:t>
      </w:r>
      <w:r w:rsidR="00AB7E82" w:rsidRPr="002E7967">
        <w:t>es, et on kindlaks tehtud, et 2</w:t>
      </w:r>
      <w:r w:rsidR="00AB7E82" w:rsidRPr="002E7967">
        <w:noBreakHyphen/>
        <w:t>metüül</w:t>
      </w:r>
      <w:r w:rsidR="00AB7E82" w:rsidRPr="002E7967">
        <w:noBreakHyphen/>
        <w:t>3</w:t>
      </w:r>
      <w:r w:rsidR="00AB7E82" w:rsidRPr="002E7967">
        <w:noBreakHyphen/>
        <w:t>fenüüloksiraani</w:t>
      </w:r>
      <w:r w:rsidR="00AB7E82" w:rsidRPr="002E7967">
        <w:noBreakHyphen/>
        <w:t>2</w:t>
      </w:r>
      <w:r w:rsidR="00AB7E82" w:rsidRPr="002E7967">
        <w:noBreakHyphen/>
      </w:r>
      <w:r w:rsidRPr="002E7967">
        <w:t xml:space="preserve">karboksüülhappe (BMK </w:t>
      </w:r>
      <w:proofErr w:type="spellStart"/>
      <w:r w:rsidRPr="002E7967">
        <w:t>g</w:t>
      </w:r>
      <w:r w:rsidR="00AB7E82" w:rsidRPr="002E7967">
        <w:t>lütsiidhape</w:t>
      </w:r>
      <w:proofErr w:type="spellEnd"/>
      <w:r w:rsidR="00AB7E82" w:rsidRPr="002E7967">
        <w:t>) seitse estrit ja 3</w:t>
      </w:r>
      <w:r w:rsidR="00AB7E82" w:rsidRPr="002E7967">
        <w:noBreakHyphen/>
        <w:t>(1,3</w:t>
      </w:r>
      <w:r w:rsidR="00AB7E82" w:rsidRPr="002E7967">
        <w:noBreakHyphen/>
        <w:t>bensodioksool</w:t>
      </w:r>
      <w:r w:rsidR="00AB7E82" w:rsidRPr="002E7967">
        <w:noBreakHyphen/>
        <w:t>5</w:t>
      </w:r>
      <w:r w:rsidR="00AB7E82" w:rsidRPr="002E7967">
        <w:noBreakHyphen/>
        <w:t>üül)</w:t>
      </w:r>
      <w:r w:rsidR="00AB7E82" w:rsidRPr="002E7967">
        <w:noBreakHyphen/>
        <w:t>2</w:t>
      </w:r>
      <w:r w:rsidR="00AB7E82" w:rsidRPr="002E7967">
        <w:noBreakHyphen/>
        <w:t>metüül</w:t>
      </w:r>
      <w:r w:rsidR="00AB7E82" w:rsidRPr="002E7967">
        <w:noBreakHyphen/>
        <w:t>oksiraan</w:t>
      </w:r>
      <w:r w:rsidR="00AB7E82" w:rsidRPr="002E7967">
        <w:noBreakHyphen/>
        <w:t>2</w:t>
      </w:r>
      <w:r w:rsidR="00AB7E82" w:rsidRPr="002E7967">
        <w:noBreakHyphen/>
      </w:r>
      <w:r w:rsidRPr="002E7967">
        <w:t xml:space="preserve">karboksüülhappe (PMK </w:t>
      </w:r>
      <w:proofErr w:type="spellStart"/>
      <w:r w:rsidRPr="002E7967">
        <w:t>glütsiidhape</w:t>
      </w:r>
      <w:proofErr w:type="spellEnd"/>
      <w:r w:rsidRPr="002E7967">
        <w:t xml:space="preserve">) kuus estrit on ELi õigusega kontrollitavate uimastite lähteainete BMK </w:t>
      </w:r>
      <w:proofErr w:type="spellStart"/>
      <w:r w:rsidRPr="002E7967">
        <w:t>glütsiidhappe</w:t>
      </w:r>
      <w:proofErr w:type="spellEnd"/>
      <w:r w:rsidRPr="002E7967">
        <w:t xml:space="preserve"> ja PMK </w:t>
      </w:r>
      <w:proofErr w:type="spellStart"/>
      <w:r w:rsidRPr="002E7967">
        <w:t>glütsiidhappe</w:t>
      </w:r>
      <w:proofErr w:type="spellEnd"/>
      <w:r w:rsidRPr="002E7967">
        <w:t xml:space="preserve"> võimalikud asendusained, mida kasutatakse ebaseaduslike uimastite nagu MDMA, </w:t>
      </w:r>
      <w:proofErr w:type="spellStart"/>
      <w:r w:rsidRPr="002E7967">
        <w:t>metamfetamiin</w:t>
      </w:r>
      <w:proofErr w:type="spellEnd"/>
      <w:r w:rsidRPr="002E7967">
        <w:t xml:space="preserve"> ja amfetamiin tootmisel;</w:t>
      </w:r>
    </w:p>
    <w:p w:rsidR="00290B61" w:rsidRPr="002E7967" w:rsidRDefault="00290B61" w:rsidP="00290B61">
      <w:pPr>
        <w:pStyle w:val="ManualConsidrant"/>
        <w:ind w:left="567" w:hanging="567"/>
        <w:jc w:val="left"/>
        <w:rPr>
          <w:noProof/>
        </w:rPr>
      </w:pPr>
      <w:r w:rsidRPr="002E7967">
        <w:t>D.</w:t>
      </w:r>
      <w:r w:rsidRPr="002E7967">
        <w:tab/>
        <w:t xml:space="preserve">arvestades, et määruse (EÜ) nr 273/2004 I lisas ja määruse (EÜ) nr 111/2005 lisas loetletud lähteainete nimekirja on vaja täiendada nii, et kõnealustes määrustes sätestatud ühtlustatud kontrolli- ja järelevalvemeetmeid kohaldataks ka </w:t>
      </w:r>
      <w:proofErr w:type="spellStart"/>
      <w:r w:rsidRPr="002E7967">
        <w:t>IMDPAMi</w:t>
      </w:r>
      <w:proofErr w:type="spellEnd"/>
      <w:r w:rsidRPr="002E7967">
        <w:t xml:space="preserve"> ning BMK </w:t>
      </w:r>
      <w:proofErr w:type="spellStart"/>
      <w:r w:rsidRPr="002E7967">
        <w:t>glütsiidhappe</w:t>
      </w:r>
      <w:proofErr w:type="spellEnd"/>
      <w:r w:rsidRPr="002E7967">
        <w:t xml:space="preserve"> ja PMK </w:t>
      </w:r>
      <w:proofErr w:type="spellStart"/>
      <w:r w:rsidRPr="002E7967">
        <w:t>glütsiidhappe</w:t>
      </w:r>
      <w:proofErr w:type="spellEnd"/>
      <w:r w:rsidRPr="002E7967">
        <w:t xml:space="preserve"> estrite suhtes;</w:t>
      </w:r>
    </w:p>
    <w:p w:rsidR="00290B61" w:rsidRPr="002E7967" w:rsidRDefault="00290B61" w:rsidP="00290B61">
      <w:pPr>
        <w:pStyle w:val="ManualConsidrant"/>
        <w:ind w:left="567" w:hanging="567"/>
        <w:jc w:val="left"/>
        <w:rPr>
          <w:noProof/>
        </w:rPr>
      </w:pPr>
      <w:r w:rsidRPr="002E7967">
        <w:t xml:space="preserve">E. </w:t>
      </w:r>
      <w:r w:rsidRPr="002E7967">
        <w:tab/>
        <w:t xml:space="preserve">arvestades, et meetmed, millega kontrollitakse juurdepääsu määrustes (EÜ) nr 273/2004 ja (EÜ) nr 111/2005 esitatud nimekirjas </w:t>
      </w:r>
      <w:proofErr w:type="spellStart"/>
      <w:r w:rsidRPr="002E7967">
        <w:t>vastloetletud</w:t>
      </w:r>
      <w:proofErr w:type="spellEnd"/>
      <w:r w:rsidRPr="002E7967">
        <w:t xml:space="preserve"> lähteainetele, peaksid jõustuma võimalikult kiiresti, et takistada nende lähteainete kasutamist ebaseaduslike uimastite tootmiseks ja </w:t>
      </w:r>
      <w:proofErr w:type="spellStart"/>
      <w:r w:rsidRPr="002E7967">
        <w:t>turuleviimiseks</w:t>
      </w:r>
      <w:proofErr w:type="spellEnd"/>
      <w:r w:rsidRPr="002E7967">
        <w:t>;</w:t>
      </w:r>
    </w:p>
    <w:p w:rsidR="00290B61" w:rsidRPr="002E7967" w:rsidRDefault="00290B61" w:rsidP="00290B61">
      <w:pPr>
        <w:pStyle w:val="ManualConsidrant"/>
        <w:spacing w:after="240"/>
        <w:ind w:left="567" w:hanging="567"/>
        <w:jc w:val="left"/>
        <w:rPr>
          <w:spacing w:val="-2"/>
          <w:szCs w:val="24"/>
        </w:rPr>
      </w:pPr>
      <w:r w:rsidRPr="002E7967">
        <w:t>F.</w:t>
      </w:r>
      <w:r w:rsidRPr="002E7967">
        <w:tab/>
        <w:t>arvestades, et ELi tegevuskavas võitluseks ebaseadusliku uimastikaubanduse ja organiseeritud kuritegevusega (COM(2023)0641) võttis Euroopa Komisjon kohustuse teha kõik endast oleneva, et koostöös Euroopa Parlamendi ja nõukoguga kiirendada tulevaste delegeeritud õigusaktide vastuvõtmist, millega nähakse ette täiendavate ainete lisamine määrustes (EÜ) nr 273/2004 ja (EÜ) nr 111/2005 esitatud nimekirjas loetletud lähteainete nimekirja;</w:t>
      </w:r>
    </w:p>
    <w:p w:rsidR="00290B61" w:rsidRPr="002E7967" w:rsidRDefault="00290B61" w:rsidP="00290B61">
      <w:pPr>
        <w:pStyle w:val="NormalHanging12a"/>
      </w:pPr>
      <w:r w:rsidRPr="002E7967">
        <w:t>1.</w:t>
      </w:r>
      <w:r w:rsidRPr="002E7967">
        <w:tab/>
        <w:t>teatab, et ei esita delegeeritud määrusele vastuväiteid;</w:t>
      </w:r>
    </w:p>
    <w:p w:rsidR="00E365E1" w:rsidRPr="002E7967" w:rsidRDefault="00290B61" w:rsidP="00AB7E82">
      <w:pPr>
        <w:pStyle w:val="NormalHanging12a"/>
      </w:pPr>
      <w:r w:rsidRPr="002E7967">
        <w:t>2.</w:t>
      </w:r>
      <w:r w:rsidRPr="002E7967">
        <w:tab/>
        <w:t>teeb presidendile ülesandeks edastada käesolev otsus nõukogule ja komisjonile.</w:t>
      </w:r>
      <w:bookmarkStart w:id="7" w:name="TextBodyEnd"/>
      <w:bookmarkEnd w:id="7"/>
    </w:p>
    <w:sectPr w:rsidR="00E365E1" w:rsidRPr="002E7967" w:rsidSect="00C22F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BAC" w:rsidRPr="00C22F7F" w:rsidRDefault="00017BAC">
      <w:r w:rsidRPr="00C22F7F">
        <w:separator/>
      </w:r>
    </w:p>
  </w:endnote>
  <w:endnote w:type="continuationSeparator" w:id="0">
    <w:p w:rsidR="00017BAC" w:rsidRPr="00C22F7F" w:rsidRDefault="00017BAC">
      <w:r w:rsidRPr="00C22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BAC" w:rsidRPr="00C22F7F" w:rsidRDefault="00017BAC">
      <w:r w:rsidRPr="00C22F7F">
        <w:separator/>
      </w:r>
    </w:p>
  </w:footnote>
  <w:footnote w:type="continuationSeparator" w:id="0">
    <w:p w:rsidR="00017BAC" w:rsidRPr="00C22F7F" w:rsidRDefault="00017BAC">
      <w:r w:rsidRPr="00C22F7F">
        <w:continuationSeparator/>
      </w:r>
    </w:p>
  </w:footnote>
  <w:footnote w:id="1">
    <w:p w:rsidR="00290B61" w:rsidRPr="00C22F7F" w:rsidRDefault="00290B61" w:rsidP="00C22F7F">
      <w:pPr>
        <w:pStyle w:val="FootnoteText"/>
        <w:ind w:left="567" w:hanging="567"/>
        <w:rPr>
          <w:sz w:val="24"/>
          <w:lang w:val="et-EE"/>
        </w:rPr>
      </w:pPr>
      <w:r w:rsidRPr="00C22F7F">
        <w:rPr>
          <w:rStyle w:val="FootnoteReference"/>
          <w:sz w:val="24"/>
          <w:lang w:val="et-EE"/>
        </w:rPr>
        <w:footnoteRef/>
      </w:r>
      <w:r w:rsidR="00C22F7F" w:rsidRPr="00C22F7F">
        <w:rPr>
          <w:sz w:val="24"/>
          <w:lang w:val="et-EE"/>
        </w:rPr>
        <w:t xml:space="preserve"> </w:t>
      </w:r>
      <w:r w:rsidR="00C22F7F" w:rsidRPr="00C22F7F">
        <w:rPr>
          <w:sz w:val="24"/>
          <w:lang w:val="et-EE"/>
        </w:rPr>
        <w:tab/>
      </w:r>
      <w:r w:rsidRPr="00C22F7F">
        <w:rPr>
          <w:sz w:val="24"/>
          <w:lang w:val="et-EE"/>
        </w:rPr>
        <w:t>ELT L 47, 18.2.2004, lk 1.</w:t>
      </w:r>
    </w:p>
  </w:footnote>
  <w:footnote w:id="2">
    <w:p w:rsidR="00290B61" w:rsidRPr="00C22F7F" w:rsidRDefault="00290B61" w:rsidP="00C22F7F">
      <w:pPr>
        <w:pStyle w:val="FootnoteText"/>
        <w:ind w:left="567" w:hanging="567"/>
        <w:rPr>
          <w:sz w:val="24"/>
          <w:lang w:val="et-EE"/>
        </w:rPr>
      </w:pPr>
      <w:r w:rsidRPr="00C22F7F">
        <w:rPr>
          <w:rStyle w:val="FootnoteReference"/>
          <w:sz w:val="24"/>
          <w:lang w:val="et-EE"/>
        </w:rPr>
        <w:footnoteRef/>
      </w:r>
      <w:r w:rsidR="00C22F7F" w:rsidRPr="00C22F7F">
        <w:rPr>
          <w:sz w:val="24"/>
          <w:lang w:val="et-EE"/>
        </w:rPr>
        <w:t xml:space="preserve"> </w:t>
      </w:r>
      <w:r w:rsidR="00C22F7F" w:rsidRPr="00C22F7F">
        <w:rPr>
          <w:sz w:val="24"/>
          <w:lang w:val="et-EE"/>
        </w:rPr>
        <w:tab/>
      </w:r>
      <w:r w:rsidRPr="00C22F7F">
        <w:rPr>
          <w:sz w:val="24"/>
          <w:lang w:val="et-EE"/>
        </w:rPr>
        <w:t>ELT L 22, 26.1.2005,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2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ET"/>
    <w:docVar w:name="dvnumam" w:val="0"/>
    <w:docVar w:name="dvpe" w:val="760.991"/>
    <w:docVar w:name="dvtitre" w:val="Euroopa Parlamendi .... 2024. aasta otsus mitte esitada vastuväiteid komisjoni 28. veebruari 2024. aasta delegeeritud määrusele, millega muudetakse Euroopa Parlamendi ja nõukogu määrust (EÜ) nr 273/2004 ning nõukogu määrust (EÜ) nr 111/2005 seoses narkootikumide lähteaine isopropülideen-(2-(3,4-metüleendioksüfenüül)atsetüül)malonaadi (IMDPAM) ja muude ainete lisamisega nimekirjas loetletud lähteainete hulka(C(2024)01219 – 2024/2606(DEA))"/>
  </w:docVars>
  <w:rsids>
    <w:rsidRoot w:val="00017BAC"/>
    <w:rsid w:val="00002272"/>
    <w:rsid w:val="00017BAC"/>
    <w:rsid w:val="00064002"/>
    <w:rsid w:val="000677B9"/>
    <w:rsid w:val="000831BA"/>
    <w:rsid w:val="000A42CC"/>
    <w:rsid w:val="000E7DD9"/>
    <w:rsid w:val="0010095E"/>
    <w:rsid w:val="00125B37"/>
    <w:rsid w:val="00187494"/>
    <w:rsid w:val="001F32AE"/>
    <w:rsid w:val="002767FF"/>
    <w:rsid w:val="00290B61"/>
    <w:rsid w:val="002B18FE"/>
    <w:rsid w:val="002B5493"/>
    <w:rsid w:val="002E796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48B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E82"/>
    <w:rsid w:val="00AD394B"/>
    <w:rsid w:val="00AE0928"/>
    <w:rsid w:val="00AF3B82"/>
    <w:rsid w:val="00B12E95"/>
    <w:rsid w:val="00B22876"/>
    <w:rsid w:val="00B558F0"/>
    <w:rsid w:val="00BD48FE"/>
    <w:rsid w:val="00BD7BD8"/>
    <w:rsid w:val="00BE6ADC"/>
    <w:rsid w:val="00C05BFE"/>
    <w:rsid w:val="00C22F7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32B377-37C2-444E-9348-B56B19D21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0B61"/>
    <w:pPr>
      <w:spacing w:before="480" w:after="240"/>
    </w:pPr>
  </w:style>
  <w:style w:type="paragraph" w:customStyle="1" w:styleId="NormalHanging12a">
    <w:name w:val="NormalHanging12a"/>
    <w:basedOn w:val="Normal"/>
    <w:rsid w:val="00290B61"/>
    <w:pPr>
      <w:spacing w:after="240"/>
      <w:ind w:left="567" w:hanging="567"/>
    </w:pPr>
  </w:style>
  <w:style w:type="paragraph" w:customStyle="1" w:styleId="ManualConsidrant">
    <w:name w:val="Manual Considérant"/>
    <w:basedOn w:val="Normal"/>
    <w:rsid w:val="00290B61"/>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AB7E82"/>
    <w:rPr>
      <w:rFonts w:ascii="Segoe UI" w:hAnsi="Segoe UI" w:cs="Segoe UI"/>
      <w:sz w:val="18"/>
      <w:szCs w:val="18"/>
    </w:rPr>
  </w:style>
  <w:style w:type="character" w:customStyle="1" w:styleId="BalloonTextChar">
    <w:name w:val="Balloon Text Char"/>
    <w:basedOn w:val="DefaultParagraphFont"/>
    <w:link w:val="BalloonText"/>
    <w:rsid w:val="00AB7E8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58318-5A71-4E36-A5A2-013A8E4BB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2024-04-24T12:43:00Z</dcterms:created>
  <dcterms:modified xsi:type="dcterms:W3CDTF">2024-04-24T12:43:00Z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B9-0213/2024</vt:lpwstr>
  </property>
  <property fmtid="{D5CDD505-2E9C-101B-9397-08002B2CF9AE}" pid="4" name="&lt;Type&gt;">
    <vt:lpwstr>RR</vt:lpwstr>
  </property>
</Properties>
</file>