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477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64773" w:rsidRDefault="00A46C53" w:rsidP="0010095E">
            <w:pPr>
              <w:pStyle w:val="EPName"/>
            </w:pPr>
            <w:r w:rsidRPr="00264773">
              <w:t>Euroopan parlamentti</w:t>
            </w:r>
          </w:p>
          <w:p w:rsidR="00751A4A" w:rsidRPr="0026477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477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64773" w:rsidRDefault="00187494" w:rsidP="0010095E">
            <w:pPr>
              <w:pStyle w:val="EPLogo"/>
            </w:pPr>
            <w:r w:rsidRPr="0026477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64773" w:rsidRDefault="00D058B8" w:rsidP="004C5D52">
      <w:pPr>
        <w:pStyle w:val="LineTop"/>
      </w:pPr>
    </w:p>
    <w:p w:rsidR="00680577" w:rsidRPr="00264773" w:rsidRDefault="00A46C53" w:rsidP="00680577">
      <w:pPr>
        <w:pStyle w:val="EPBodyTA1"/>
      </w:pPr>
      <w:r w:rsidRPr="00264773">
        <w:t>HYVÄKSYTYT TEKSTIT</w:t>
      </w:r>
    </w:p>
    <w:p w:rsidR="00D058B8" w:rsidRPr="00264773" w:rsidRDefault="00D058B8" w:rsidP="00D058B8">
      <w:pPr>
        <w:pStyle w:val="LineBottom"/>
      </w:pPr>
    </w:p>
    <w:p w:rsidR="00A46C53" w:rsidRPr="00264773" w:rsidRDefault="00A46C53" w:rsidP="00A46C53">
      <w:pPr>
        <w:pStyle w:val="ATHeading1"/>
      </w:pPr>
      <w:bookmarkStart w:id="0" w:name="TANumber"/>
      <w:r w:rsidRPr="00264773">
        <w:t>P9_TA(2024)0</w:t>
      </w:r>
      <w:r w:rsidR="00C811F8" w:rsidRPr="00264773">
        <w:t>314</w:t>
      </w:r>
      <w:bookmarkEnd w:id="0"/>
    </w:p>
    <w:p w:rsidR="00A46C53" w:rsidRPr="00264773" w:rsidRDefault="00A46C53" w:rsidP="00A46C53">
      <w:pPr>
        <w:pStyle w:val="ATHeading2"/>
      </w:pPr>
      <w:bookmarkStart w:id="1" w:name="title"/>
      <w:r w:rsidRPr="00264773">
        <w:t>Päätös olla vastustamatta delegoitua asetusta</w:t>
      </w:r>
      <w:r w:rsidR="00C811F8" w:rsidRPr="00264773">
        <w:t>:</w:t>
      </w:r>
      <w:r w:rsidRPr="00264773">
        <w:t xml:space="preserve"> huumausaineiden lähtöaineen isopropylideeni(2-(3,4-metyleenidioksifenyyli)asetyyli)malonaat</w:t>
      </w:r>
      <w:r w:rsidR="00C811F8" w:rsidRPr="00264773">
        <w:t>t</w:t>
      </w:r>
      <w:r w:rsidRPr="00264773">
        <w:t>i (IMDPAM</w:t>
      </w:r>
      <w:r w:rsidR="0003079C" w:rsidRPr="00264773">
        <w:t>) ja muiden aineiden sisällyttäminen luokiteltujen aineiden luetteloon</w:t>
      </w:r>
      <w:r w:rsidRPr="00264773">
        <w:t xml:space="preserve"> </w:t>
      </w:r>
      <w:bookmarkEnd w:id="1"/>
    </w:p>
    <w:p w:rsidR="00A46C53" w:rsidRPr="00264773" w:rsidRDefault="00A46C53" w:rsidP="00A46C53">
      <w:pPr>
        <w:rPr>
          <w:i/>
          <w:vanish/>
        </w:rPr>
      </w:pPr>
      <w:r w:rsidRPr="00264773">
        <w:rPr>
          <w:i/>
        </w:rPr>
        <w:fldChar w:fldCharType="begin"/>
      </w:r>
      <w:r w:rsidRPr="00264773">
        <w:rPr>
          <w:i/>
        </w:rPr>
        <w:instrText xml:space="preserve"> TC"(</w:instrText>
      </w:r>
      <w:bookmarkStart w:id="2" w:name="DocNumber"/>
      <w:r w:rsidRPr="00264773">
        <w:rPr>
          <w:i/>
        </w:rPr>
        <w:instrText>B9-0213/2024</w:instrText>
      </w:r>
      <w:bookmarkEnd w:id="2"/>
      <w:r w:rsidRPr="00264773">
        <w:rPr>
          <w:i/>
        </w:rPr>
        <w:instrText xml:space="preserve">)"\l3 \n&gt; \* MERGEFORMAT </w:instrText>
      </w:r>
      <w:r w:rsidRPr="00264773">
        <w:rPr>
          <w:i/>
        </w:rPr>
        <w:fldChar w:fldCharType="end"/>
      </w:r>
    </w:p>
    <w:p w:rsidR="00A46C53" w:rsidRPr="00264773" w:rsidRDefault="00A46C53" w:rsidP="00A46C53">
      <w:pPr>
        <w:rPr>
          <w:vanish/>
        </w:rPr>
      </w:pPr>
      <w:bookmarkStart w:id="3" w:name="PE"/>
      <w:r w:rsidRPr="00264773">
        <w:rPr>
          <w:vanish/>
        </w:rPr>
        <w:t>PE760.991</w:t>
      </w:r>
      <w:bookmarkEnd w:id="3"/>
    </w:p>
    <w:p w:rsidR="00A46C53" w:rsidRPr="00264773" w:rsidRDefault="00A46C53" w:rsidP="00C811F8">
      <w:pPr>
        <w:pStyle w:val="ATHeading3"/>
      </w:pPr>
      <w:bookmarkStart w:id="4" w:name="Sujet"/>
      <w:r w:rsidRPr="00264773">
        <w:t>Euroopan parlamentin päätös olla vastustamatta 28. helmikuuta 2024 annettua komission delegoitua asetusta Euroopan parlamentin ja neuvoston asetuksen (EY) N:o 273/2004 ja neuvoston asetuksen (EY) N:o 111/2005 muuttamisesta siltä osin kuin on kyse huumausaineiden lähtöaineen isopropylideeni(2-(3,4-metyleenidioksifenyyli)asetyyli)malonaatin (IMDPAM) ja muiden aineiden sisällyttämisestä luokiteltujen aineiden luetteloon</w:t>
      </w:r>
      <w:bookmarkEnd w:id="4"/>
      <w:r w:rsidRPr="00264773">
        <w:t xml:space="preserve"> </w:t>
      </w:r>
      <w:bookmarkStart w:id="5" w:name="References"/>
      <w:r w:rsidRPr="00264773">
        <w:t>(C(2024)01219 - 2024/2606(DEA))</w:t>
      </w:r>
      <w:bookmarkEnd w:id="5"/>
    </w:p>
    <w:p w:rsidR="00927FA7" w:rsidRPr="00264773" w:rsidRDefault="00927FA7" w:rsidP="00927FA7">
      <w:pPr>
        <w:pStyle w:val="EPComma"/>
        <w:widowControl/>
      </w:pPr>
      <w:bookmarkStart w:id="6" w:name="TextBodyBegin"/>
      <w:bookmarkEnd w:id="6"/>
      <w:r w:rsidRPr="00264773">
        <w:rPr>
          <w:i/>
          <w:iCs/>
        </w:rPr>
        <w:t>Euroopan parlamentti</w:t>
      </w:r>
      <w:r w:rsidRPr="00264773">
        <w:t>, joka</w:t>
      </w:r>
    </w:p>
    <w:p w:rsidR="00927FA7" w:rsidRPr="00264773" w:rsidRDefault="00927FA7" w:rsidP="00927FA7">
      <w:pPr>
        <w:pStyle w:val="NormalHanging12a"/>
        <w:widowControl/>
      </w:pPr>
      <w:r w:rsidRPr="00264773">
        <w:t>–</w:t>
      </w:r>
      <w:r w:rsidRPr="00264773">
        <w:tab/>
        <w:t>ottaa huomioon komission delegoidun asetuksen (C(2024)01219),</w:t>
      </w:r>
    </w:p>
    <w:p w:rsidR="00927FA7" w:rsidRPr="00264773" w:rsidRDefault="00927FA7" w:rsidP="00927FA7">
      <w:pPr>
        <w:pStyle w:val="NormalHanging12a"/>
        <w:widowControl/>
        <w:rPr>
          <w:spacing w:val="-2"/>
          <w:szCs w:val="24"/>
        </w:rPr>
      </w:pPr>
      <w:r w:rsidRPr="00264773">
        <w:t>–</w:t>
      </w:r>
      <w:r w:rsidRPr="00264773">
        <w:tab/>
        <w:t>ottaa huomioon komission 13. maaliskuuta 2024 päivätyn kirjeen, jossa komissio pyytää parlamenttia ilmoittamaan, ettei se aio vastustaa delegoitua asetusta,</w:t>
      </w:r>
    </w:p>
    <w:p w:rsidR="00927FA7" w:rsidRPr="00264773" w:rsidRDefault="00927FA7" w:rsidP="00927FA7">
      <w:pPr>
        <w:pStyle w:val="NormalHanging12a"/>
        <w:widowControl/>
      </w:pPr>
      <w:r w:rsidRPr="00264773">
        <w:t>–</w:t>
      </w:r>
      <w:r w:rsidRPr="00264773">
        <w:tab/>
        <w:t>ottaa huomioon kansalaisvapauksien sekä oikeus- ja sisäasioiden valiokunnan kirjeen valiokuntien puheenjohtajakokouksen puheenjohtajalle,</w:t>
      </w:r>
    </w:p>
    <w:p w:rsidR="00927FA7" w:rsidRPr="00264773" w:rsidRDefault="00927FA7" w:rsidP="00927FA7">
      <w:pPr>
        <w:pStyle w:val="NormalHanging12a"/>
        <w:widowControl/>
      </w:pPr>
      <w:r w:rsidRPr="00264773">
        <w:t>–</w:t>
      </w:r>
      <w:r w:rsidRPr="00264773">
        <w:tab/>
        <w:t>ottaa huomioon Euroopan unionin toiminnasta tehdyn sopimuksen 290 artiklan,</w:t>
      </w:r>
    </w:p>
    <w:p w:rsidR="00927FA7" w:rsidRPr="00264773" w:rsidRDefault="00927FA7" w:rsidP="00927FA7">
      <w:pPr>
        <w:pStyle w:val="NormalHanging12a"/>
        <w:widowControl/>
      </w:pPr>
      <w:r w:rsidRPr="00264773">
        <w:t>–</w:t>
      </w:r>
      <w:r w:rsidRPr="00264773">
        <w:tab/>
        <w:t>ottaa huomioon huumausaineiden lähtöaineista 11. helmikuuta 2004 annetun Euroopan parlamentin ja neuvoston asetuksen (EY) N:o 273/2004</w:t>
      </w:r>
      <w:r w:rsidRPr="00264773">
        <w:rPr>
          <w:rStyle w:val="FootnoteReference"/>
          <w:szCs w:val="24"/>
        </w:rPr>
        <w:footnoteReference w:id="1"/>
      </w:r>
      <w:r w:rsidRPr="00264773">
        <w:t xml:space="preserve"> ja erityisesti sen 15 artiklan ja 15 a artiklan 5 kohdan,</w:t>
      </w:r>
    </w:p>
    <w:p w:rsidR="00927FA7" w:rsidRPr="00264773" w:rsidRDefault="00927FA7" w:rsidP="00927FA7">
      <w:pPr>
        <w:pStyle w:val="NormalHanging12a"/>
        <w:widowControl/>
      </w:pPr>
      <w:r w:rsidRPr="00264773">
        <w:t>–</w:t>
      </w:r>
      <w:r w:rsidRPr="00264773">
        <w:tab/>
        <w:t>ottaa huomioon unionin ja kolmansien maiden välisen huumausaineiden lähtöaineiden kaupan valvontaa koskevista säännöistä 22. joulukuuta 2004 annetun neuvoston asetuksen (EY) N:o 111/2005</w:t>
      </w:r>
      <w:r w:rsidRPr="00264773">
        <w:rPr>
          <w:rStyle w:val="FootnoteReference"/>
        </w:rPr>
        <w:footnoteReference w:id="2"/>
      </w:r>
      <w:r w:rsidRPr="00264773">
        <w:t xml:space="preserve"> ja erityisesti sen 30 a artiklan ja 30 b artiklan 5 kohdan,</w:t>
      </w:r>
    </w:p>
    <w:p w:rsidR="00927FA7" w:rsidRPr="00264773" w:rsidRDefault="00927FA7" w:rsidP="00927FA7">
      <w:pPr>
        <w:pStyle w:val="NormalHanging12a"/>
        <w:widowControl/>
      </w:pPr>
      <w:r w:rsidRPr="00264773">
        <w:t>–</w:t>
      </w:r>
      <w:r w:rsidRPr="00264773">
        <w:tab/>
        <w:t>ottaa huomioon työjärjestyksen 111 artiklan 6 kohdan,</w:t>
      </w:r>
    </w:p>
    <w:p w:rsidR="00927FA7" w:rsidRPr="00264773" w:rsidRDefault="00927FA7" w:rsidP="00927FA7">
      <w:pPr>
        <w:pStyle w:val="NormalHanging12a"/>
        <w:widowControl/>
      </w:pPr>
      <w:r w:rsidRPr="00264773">
        <w:lastRenderedPageBreak/>
        <w:t>–</w:t>
      </w:r>
      <w:r w:rsidRPr="00264773">
        <w:tab/>
        <w:t>ottaa huomioon kansalaisvapauksien sekä oikeus- ja sisäasioiden valiokunnan suosituksen päätökseksi,</w:t>
      </w:r>
    </w:p>
    <w:p w:rsidR="00C811F8" w:rsidRPr="00264773" w:rsidRDefault="00C811F8" w:rsidP="00927FA7">
      <w:pPr>
        <w:pStyle w:val="NormalHanging12a"/>
        <w:widowControl/>
      </w:pPr>
      <w:r w:rsidRPr="00264773">
        <w:t>–</w:t>
      </w:r>
      <w:r w:rsidRPr="00264773">
        <w:tab/>
        <w:t>ottaa huomioon, että työjärjestyksen 111 artiklan 6 kohdan kolmannen ja neljännen luetelmakohdan mukaisessa määräajassa, joka päättyi 23. huhtikuuta 2024, ei ole esitetty vastalauseita,</w:t>
      </w:r>
    </w:p>
    <w:p w:rsidR="00927FA7" w:rsidRPr="00264773" w:rsidRDefault="00927FA7" w:rsidP="00927FA7">
      <w:pPr>
        <w:pStyle w:val="NormalHanging12a"/>
        <w:widowControl/>
      </w:pPr>
      <w:r w:rsidRPr="00264773">
        <w:t>A.</w:t>
      </w:r>
      <w:r w:rsidRPr="00264773">
        <w:tab/>
        <w:t>katsoo, että on jatkuvasti päivitettävä EU:n lainsäädäntökehystä toimenpiteistä, joilla valvotaan laittomien huumausaineiden valmistuksessa käytettävien aineiden saatavuutta, jotta voidaan torjua niin kutsuttujen design-lähtöaineiden leviämistä; panee merkille, että design-lähtöaineet ovat perinteisten huumausaineiden lähtöaineiden läheisiä kemikaaleja, jotka on luotu nykyisten sääntöjen kiertämiseksi;</w:t>
      </w:r>
    </w:p>
    <w:p w:rsidR="00927FA7" w:rsidRPr="00264773" w:rsidRDefault="00927FA7" w:rsidP="00927FA7">
      <w:pPr>
        <w:pStyle w:val="ManualConsidrant"/>
        <w:ind w:left="567" w:hanging="567"/>
        <w:jc w:val="left"/>
        <w:rPr>
          <w:noProof/>
        </w:rPr>
      </w:pPr>
      <w:r w:rsidRPr="00264773">
        <w:t>B.</w:t>
      </w:r>
      <w:r w:rsidRPr="00264773">
        <w:tab/>
        <w:t>ottaa huomioon, että isopropylideeni(2-(3,4-metyleenidioksifenyyli)asetyyli)malonaatin (IMDPAM) natriumsuola on tunnistettu uudeksi lähtöaineeksi, jota käytetään yleisesti ”ekstaasina” tunnetun MDMA:n (3,4-metyleenidioksimetamfetamiini) valmistuksessa;</w:t>
      </w:r>
    </w:p>
    <w:p w:rsidR="00927FA7" w:rsidRPr="00264773" w:rsidRDefault="00927FA7" w:rsidP="00927FA7">
      <w:pPr>
        <w:pStyle w:val="ManualConsidrant"/>
        <w:ind w:left="567" w:hanging="567"/>
        <w:jc w:val="left"/>
        <w:rPr>
          <w:noProof/>
        </w:rPr>
      </w:pPr>
      <w:r w:rsidRPr="00264773">
        <w:t>C.</w:t>
      </w:r>
      <w:r w:rsidRPr="00264773">
        <w:tab/>
        <w:t>ottaa huomioon, että 2-metyyli-3-fenyylioksiraani-2-karboksyylihapon (BMK-glysidihappo) seitsemän esteriä ja 3-(1,3-bentsodioksol-5-yyli)-2-metyylioksiraani-2-karboksyylihapon (PMK-glysidihappo) kuusi esteriä on tunnistettu BMK-glysidihapon ja PMK-glysidihapon mahdollisiksi korvikkeiksi; toteaa, että BMK-glysidihappo ja PMK-glysidihappo ovat EU:n lainsäädännön mukaan valvottuja lähtöaineita, sillä niitä käytetään huumausaineiden, kuten MDMA:n, metamfetamiinin ja amfetamiinin, laittomassa tuotannossa;</w:t>
      </w:r>
    </w:p>
    <w:p w:rsidR="00927FA7" w:rsidRPr="00264773" w:rsidRDefault="00927FA7" w:rsidP="00927FA7">
      <w:pPr>
        <w:pStyle w:val="ManualConsidrant"/>
        <w:ind w:left="567" w:hanging="567"/>
        <w:jc w:val="left"/>
        <w:rPr>
          <w:noProof/>
        </w:rPr>
      </w:pPr>
      <w:r w:rsidRPr="00264773">
        <w:t>D.</w:t>
      </w:r>
      <w:r w:rsidRPr="00264773">
        <w:tab/>
        <w:t>katsoo, että on tarpeen muuttaa asetuksen (EY) N:o 273/2004 liitteessä I ja asetuksen (EY) N:o 111/2005 liitteessä olevaa luokiteltujen aineiden luetteloa siten, että IMDPAM:ään ja BMK-glysidihapon ja PMK-glysidihapon tunnistettuihin estereihin sovelletaan kyseisissä asetuksissa säädettyjä yhdenmukaistettuja valvonta- ja seurantatoimenpiteitä;</w:t>
      </w:r>
    </w:p>
    <w:p w:rsidR="00927FA7" w:rsidRPr="00264773" w:rsidRDefault="00927FA7" w:rsidP="00927FA7">
      <w:pPr>
        <w:pStyle w:val="ManualConsidrant"/>
        <w:ind w:left="567" w:hanging="567"/>
        <w:jc w:val="left"/>
        <w:rPr>
          <w:noProof/>
        </w:rPr>
      </w:pPr>
      <w:r w:rsidRPr="00264773">
        <w:t xml:space="preserve">E. </w:t>
      </w:r>
      <w:r w:rsidRPr="00264773">
        <w:tab/>
        <w:t>katsoo, että saatavuuden valvontaa koskevien toimenpiteiden olisi tultava asetusten (EY) N:o 273/2004 ja (EY) N:o 111/2005 alaisten uusien luokiteltujen aineiden osalta voimaan mahdollisimman nopeasti, jotta estetään näiden lähtöaineiden käyttö laittomien huumausaineiden tuotannossa ja saattamisessa markkinoille;</w:t>
      </w:r>
    </w:p>
    <w:p w:rsidR="00927FA7" w:rsidRPr="00264773" w:rsidRDefault="00927FA7" w:rsidP="00927FA7">
      <w:pPr>
        <w:pStyle w:val="ManualConsidrant"/>
        <w:spacing w:after="240"/>
        <w:ind w:left="567" w:hanging="567"/>
        <w:jc w:val="left"/>
        <w:rPr>
          <w:spacing w:val="-2"/>
          <w:szCs w:val="24"/>
        </w:rPr>
      </w:pPr>
      <w:r w:rsidRPr="00264773">
        <w:t>F.</w:t>
      </w:r>
      <w:r w:rsidRPr="00264773">
        <w:tab/>
        <w:t>ottaa huomioon, että Euroopan komissio sitoutui huumausainekaupan ja järjestäytyneen rikollisuuden torjuntaa koskevassa EU:n etenemissuunnitelmassa (COM(2023)0641) pyrkimään yhteistyössä parlamentin ja neuvoston kanssa kaikin tavoin nopeuttamaan sellaisten delegoitujen säädösten hyväksymismenettelyä, joilla lisätään aineita asetusten (EY) N:o 273/2004 ja (EY) N:o 111/2005 luokiteltujen aineiden luetteloon;</w:t>
      </w:r>
    </w:p>
    <w:p w:rsidR="00927FA7" w:rsidRPr="00264773" w:rsidRDefault="00927FA7" w:rsidP="00927FA7">
      <w:pPr>
        <w:pStyle w:val="NormalHanging12a"/>
        <w:widowControl/>
      </w:pPr>
      <w:r w:rsidRPr="00264773">
        <w:t>1.</w:t>
      </w:r>
      <w:r w:rsidRPr="00264773">
        <w:tab/>
        <w:t>ilmoittaa, ettei se vastusta delegoitua asetusta;</w:t>
      </w:r>
    </w:p>
    <w:p w:rsidR="00E365E1" w:rsidRPr="0060066F" w:rsidRDefault="00927FA7" w:rsidP="00C811F8">
      <w:pPr>
        <w:pStyle w:val="NormalHanging12a"/>
        <w:widowControl/>
      </w:pPr>
      <w:r w:rsidRPr="00264773">
        <w:t>2.</w:t>
      </w:r>
      <w:r w:rsidRPr="00264773">
        <w:tab/>
        <w:t xml:space="preserve">kehottaa puhemiestä välittämään tämän päätöksen </w:t>
      </w:r>
      <w:r w:rsidR="0060066F" w:rsidRPr="00264773">
        <w:t>neuvostolle ja komissiolle.</w:t>
      </w:r>
      <w:bookmarkStart w:id="8" w:name="TextBodyEnd"/>
      <w:bookmarkEnd w:id="8"/>
    </w:p>
    <w:sectPr w:rsidR="00E365E1" w:rsidRPr="0060066F" w:rsidSect="0060066F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C53" w:rsidRPr="0060066F" w:rsidRDefault="00A46C53">
      <w:r w:rsidRPr="0060066F">
        <w:separator/>
      </w:r>
    </w:p>
  </w:endnote>
  <w:endnote w:type="continuationSeparator" w:id="0">
    <w:p w:rsidR="00A46C53" w:rsidRPr="0060066F" w:rsidRDefault="00A46C53">
      <w:r w:rsidRPr="006006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C53" w:rsidRPr="0060066F" w:rsidRDefault="00A46C53">
      <w:r w:rsidRPr="0060066F">
        <w:separator/>
      </w:r>
    </w:p>
  </w:footnote>
  <w:footnote w:type="continuationSeparator" w:id="0">
    <w:p w:rsidR="00A46C53" w:rsidRPr="0060066F" w:rsidRDefault="00A46C53">
      <w:r w:rsidRPr="0060066F">
        <w:continuationSeparator/>
      </w:r>
    </w:p>
  </w:footnote>
  <w:footnote w:id="1">
    <w:p w:rsidR="00927FA7" w:rsidRPr="0060066F" w:rsidRDefault="00927FA7" w:rsidP="0060066F">
      <w:pPr>
        <w:pStyle w:val="FootnoteText"/>
        <w:ind w:left="567" w:hanging="567"/>
        <w:rPr>
          <w:sz w:val="24"/>
          <w:lang w:val="fi-FI"/>
        </w:rPr>
      </w:pPr>
      <w:r w:rsidRPr="0060066F">
        <w:rPr>
          <w:rStyle w:val="FootnoteReference"/>
          <w:sz w:val="24"/>
          <w:lang w:val="fi-FI"/>
        </w:rPr>
        <w:footnoteRef/>
      </w:r>
      <w:r w:rsidR="0060066F" w:rsidRPr="0060066F">
        <w:rPr>
          <w:sz w:val="24"/>
          <w:lang w:val="fi-FI"/>
        </w:rPr>
        <w:t xml:space="preserve"> </w:t>
      </w:r>
      <w:r w:rsidR="0060066F" w:rsidRPr="0060066F">
        <w:rPr>
          <w:sz w:val="24"/>
          <w:lang w:val="fi-FI"/>
        </w:rPr>
        <w:tab/>
      </w:r>
      <w:r w:rsidRPr="0060066F">
        <w:rPr>
          <w:sz w:val="24"/>
          <w:lang w:val="fi-FI"/>
        </w:rPr>
        <w:t>EUVL L 47, 18.2.2004, s.</w:t>
      </w:r>
      <w:r w:rsidR="000E14BA">
        <w:rPr>
          <w:sz w:val="24"/>
          <w:lang w:val="fi-FI"/>
        </w:rPr>
        <w:t xml:space="preserve"> </w:t>
      </w:r>
      <w:bookmarkStart w:id="7" w:name="_GoBack"/>
      <w:bookmarkEnd w:id="7"/>
      <w:r w:rsidRPr="0060066F">
        <w:rPr>
          <w:sz w:val="24"/>
          <w:lang w:val="fi-FI"/>
        </w:rPr>
        <w:t>1.</w:t>
      </w:r>
    </w:p>
  </w:footnote>
  <w:footnote w:id="2">
    <w:p w:rsidR="00927FA7" w:rsidRPr="0060066F" w:rsidRDefault="00927FA7" w:rsidP="0060066F">
      <w:pPr>
        <w:pStyle w:val="FootnoteText"/>
        <w:ind w:left="567" w:hanging="567"/>
        <w:rPr>
          <w:sz w:val="24"/>
          <w:lang w:val="fi-FI"/>
        </w:rPr>
      </w:pPr>
      <w:r w:rsidRPr="0060066F">
        <w:rPr>
          <w:rStyle w:val="FootnoteReference"/>
          <w:sz w:val="24"/>
          <w:lang w:val="fi-FI"/>
        </w:rPr>
        <w:footnoteRef/>
      </w:r>
      <w:r w:rsidR="0060066F" w:rsidRPr="0060066F">
        <w:rPr>
          <w:sz w:val="24"/>
          <w:lang w:val="fi-FI"/>
        </w:rPr>
        <w:t xml:space="preserve"> </w:t>
      </w:r>
      <w:r w:rsidR="0060066F" w:rsidRPr="0060066F">
        <w:rPr>
          <w:sz w:val="24"/>
          <w:lang w:val="fi-FI"/>
        </w:rPr>
        <w:tab/>
      </w:r>
      <w:r w:rsidRPr="0060066F">
        <w:rPr>
          <w:sz w:val="24"/>
          <w:lang w:val="fi-FI"/>
        </w:rPr>
        <w:t>EUVL L 22, 26.1.2005, s.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13/2024"/>
    <w:docVar w:name="dvlangue" w:val="FI"/>
    <w:docVar w:name="dvnumam" w:val="0"/>
    <w:docVar w:name="dvpe" w:val="760.991"/>
    <w:docVar w:name="dvtitre" w:val="Euroopan parlamentin päätöslauselma 24. huhtikuuta 2024 olla vastustamatta 28. helmikuuta 2024 annettua komission delegoitua asetusta Euroopan parlamentin ja neuvoston asetuksen (EY) N:o 273/2004 ja neuvoston asetuksen (EY) N:o 111/2005 muuttamisesta siltä osin kuin on kyse huumausaineiden lähtöaineen isopropylideeni(2-(3,4-metyleenidioksifenyyli)asetyyli)malonaatin (IMDPAM) ja muiden aineiden sisällyttämisestä luokiteltujen aineiden luetteloon(C(2024)01219 - 2024/2606(DEA))"/>
  </w:docVars>
  <w:rsids>
    <w:rsidRoot w:val="00A46C53"/>
    <w:rsid w:val="00002272"/>
    <w:rsid w:val="0003079C"/>
    <w:rsid w:val="00064002"/>
    <w:rsid w:val="000677B9"/>
    <w:rsid w:val="000831BA"/>
    <w:rsid w:val="000A42CC"/>
    <w:rsid w:val="000E14BA"/>
    <w:rsid w:val="000E7DD9"/>
    <w:rsid w:val="0010095E"/>
    <w:rsid w:val="00125B37"/>
    <w:rsid w:val="00187494"/>
    <w:rsid w:val="001F32AE"/>
    <w:rsid w:val="0026477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066F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FA7"/>
    <w:rsid w:val="00930C23"/>
    <w:rsid w:val="0093193B"/>
    <w:rsid w:val="009509D8"/>
    <w:rsid w:val="00950B64"/>
    <w:rsid w:val="00981893"/>
    <w:rsid w:val="00A1687D"/>
    <w:rsid w:val="00A43E52"/>
    <w:rsid w:val="00A4678D"/>
    <w:rsid w:val="00A46C5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11F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70328"/>
  <w15:chartTrackingRefBased/>
  <w15:docId w15:val="{CBC251E6-3540-4E5C-A768-4500D635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27FA7"/>
    <w:pPr>
      <w:spacing w:before="480" w:after="240"/>
    </w:pPr>
  </w:style>
  <w:style w:type="paragraph" w:customStyle="1" w:styleId="NormalHanging12a">
    <w:name w:val="NormalHanging12a"/>
    <w:basedOn w:val="Normal"/>
    <w:rsid w:val="00927FA7"/>
    <w:pPr>
      <w:spacing w:after="240"/>
      <w:ind w:left="567" w:hanging="567"/>
    </w:pPr>
  </w:style>
  <w:style w:type="paragraph" w:customStyle="1" w:styleId="ManualConsidrant">
    <w:name w:val="Manual Considérant"/>
    <w:basedOn w:val="Normal"/>
    <w:rsid w:val="00927FA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rsid w:val="00C811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811F8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4B630-7A8F-4153-B8B1-57C63CF27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3994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kedwards</cp:lastModifiedBy>
  <cp:revision>2</cp:revision>
  <cp:lastPrinted>2004-11-19T15:42:00Z</cp:lastPrinted>
  <dcterms:created xsi:type="dcterms:W3CDTF">2024-06-13T06:43:00Z</dcterms:created>
  <dcterms:modified xsi:type="dcterms:W3CDTF">2024-06-13T06:43:00Z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B9-0213/2024</vt:lpwstr>
  </property>
  <property fmtid="{D5CDD505-2E9C-101B-9397-08002B2CF9AE}" pid="4" name="&lt;Type&gt;">
    <vt:lpwstr>RR</vt:lpwstr>
  </property>
</Properties>
</file>