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C226B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CC226B" w:rsidRDefault="000E7D6A" w:rsidP="0010095E">
            <w:pPr>
              <w:pStyle w:val="EPName"/>
            </w:pPr>
            <w:r w:rsidRPr="00CC226B">
              <w:t>Europski parlament</w:t>
            </w:r>
          </w:p>
          <w:p w:rsidR="00751A4A" w:rsidRPr="00CC226B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C226B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CC226B" w:rsidRDefault="00187494" w:rsidP="0010095E">
            <w:pPr>
              <w:pStyle w:val="EPLogo"/>
            </w:pPr>
            <w:r w:rsidRPr="00CC226B">
              <w:rPr>
                <w:noProof/>
                <w:lang w:val="en-GB" w:eastAsia="zh-CN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CC226B" w:rsidRDefault="00D058B8" w:rsidP="004C5D52">
      <w:pPr>
        <w:pStyle w:val="LineTop"/>
      </w:pPr>
    </w:p>
    <w:p w:rsidR="00680577" w:rsidRPr="00CC226B" w:rsidRDefault="000E7D6A" w:rsidP="00680577">
      <w:pPr>
        <w:pStyle w:val="EPBodyTA1"/>
      </w:pPr>
      <w:r w:rsidRPr="00CC226B">
        <w:t>USVOJENI TEKSTOVI</w:t>
      </w:r>
    </w:p>
    <w:p w:rsidR="00D058B8" w:rsidRPr="00CC226B" w:rsidRDefault="00D058B8" w:rsidP="00D058B8">
      <w:pPr>
        <w:pStyle w:val="LineBottom"/>
      </w:pPr>
    </w:p>
    <w:p w:rsidR="000E7D6A" w:rsidRPr="00CC226B" w:rsidRDefault="000E7D6A" w:rsidP="000E7D6A">
      <w:pPr>
        <w:pStyle w:val="ATHeading1"/>
      </w:pPr>
      <w:bookmarkStart w:id="0" w:name="TANumber"/>
      <w:r w:rsidRPr="00CC226B">
        <w:t>P9_TA(2024)0</w:t>
      </w:r>
      <w:r w:rsidR="00D66912">
        <w:t>314</w:t>
      </w:r>
      <w:bookmarkStart w:id="1" w:name="_GoBack"/>
      <w:bookmarkEnd w:id="0"/>
      <w:bookmarkEnd w:id="1"/>
    </w:p>
    <w:p w:rsidR="000E7D6A" w:rsidRPr="00CC226B" w:rsidRDefault="00CC226B" w:rsidP="000E7D6A">
      <w:pPr>
        <w:pStyle w:val="ATHeading2"/>
      </w:pPr>
      <w:bookmarkStart w:id="2" w:name="title"/>
      <w:r w:rsidRPr="003C2FCE">
        <w:rPr>
          <w:szCs w:val="28"/>
        </w:rPr>
        <w:t xml:space="preserve">Neulaganje prigovora na delegirani akt: </w:t>
      </w:r>
      <w:r>
        <w:t>uvrštenje</w:t>
      </w:r>
      <w:r w:rsidRPr="00CC226B">
        <w:t xml:space="preserve"> </w:t>
      </w:r>
      <w:proofErr w:type="spellStart"/>
      <w:r w:rsidRPr="00CC226B">
        <w:t>prekursora</w:t>
      </w:r>
      <w:proofErr w:type="spellEnd"/>
      <w:r w:rsidRPr="00CC226B">
        <w:t xml:space="preserve"> za droge </w:t>
      </w:r>
      <w:proofErr w:type="spellStart"/>
      <w:r w:rsidRPr="00CC226B">
        <w:t>Isopropilidena</w:t>
      </w:r>
      <w:proofErr w:type="spellEnd"/>
      <w:r w:rsidRPr="00CC226B">
        <w:t xml:space="preserve"> (2-(3,4-metilendioksifenil)</w:t>
      </w:r>
      <w:proofErr w:type="spellStart"/>
      <w:r w:rsidRPr="00CC226B">
        <w:t>acetil</w:t>
      </w:r>
      <w:proofErr w:type="spellEnd"/>
      <w:r w:rsidRPr="00CC226B">
        <w:t>)</w:t>
      </w:r>
      <w:proofErr w:type="spellStart"/>
      <w:r w:rsidRPr="00CC226B">
        <w:t>malonata</w:t>
      </w:r>
      <w:proofErr w:type="spellEnd"/>
      <w:r w:rsidRPr="00CC226B">
        <w:t xml:space="preserve"> (IMDPAM) i drugih tvari na popis predviđenih tvari</w:t>
      </w:r>
      <w:bookmarkEnd w:id="2"/>
    </w:p>
    <w:p w:rsidR="000E7D6A" w:rsidRPr="00CC226B" w:rsidRDefault="000E7D6A" w:rsidP="000E7D6A">
      <w:pPr>
        <w:rPr>
          <w:i/>
          <w:vanish/>
        </w:rPr>
      </w:pPr>
      <w:r w:rsidRPr="00CC226B">
        <w:rPr>
          <w:i/>
        </w:rPr>
        <w:fldChar w:fldCharType="begin"/>
      </w:r>
      <w:r w:rsidRPr="00CC226B">
        <w:rPr>
          <w:i/>
        </w:rPr>
        <w:instrText xml:space="preserve"> TC"(</w:instrText>
      </w:r>
      <w:bookmarkStart w:id="3" w:name="DocNumber"/>
      <w:r w:rsidRPr="00CC226B">
        <w:rPr>
          <w:i/>
        </w:rPr>
        <w:instrText>B9-0213/2024</w:instrText>
      </w:r>
      <w:bookmarkEnd w:id="3"/>
      <w:r w:rsidRPr="00CC226B">
        <w:rPr>
          <w:i/>
        </w:rPr>
        <w:instrText xml:space="preserve">)"\l3 \n&gt; \* MERGEFORMAT </w:instrText>
      </w:r>
      <w:r w:rsidRPr="00CC226B">
        <w:rPr>
          <w:i/>
        </w:rPr>
        <w:fldChar w:fldCharType="end"/>
      </w:r>
    </w:p>
    <w:p w:rsidR="000E7D6A" w:rsidRPr="00CC226B" w:rsidRDefault="000E7D6A" w:rsidP="000E7D6A">
      <w:pPr>
        <w:rPr>
          <w:vanish/>
        </w:rPr>
      </w:pPr>
      <w:bookmarkStart w:id="4" w:name="PE"/>
      <w:r w:rsidRPr="00CC226B">
        <w:rPr>
          <w:vanish/>
        </w:rPr>
        <w:t>PE760.991</w:t>
      </w:r>
      <w:bookmarkEnd w:id="4"/>
    </w:p>
    <w:p w:rsidR="000E7D6A" w:rsidRPr="00CC226B" w:rsidRDefault="000E7D6A" w:rsidP="000E7D6A">
      <w:pPr>
        <w:pStyle w:val="ATHeading3"/>
      </w:pPr>
      <w:bookmarkStart w:id="5" w:name="Sujet"/>
      <w:r w:rsidRPr="00CC226B">
        <w:t>Od</w:t>
      </w:r>
      <w:r w:rsidR="00CC226B">
        <w:t>luka Europskog parlamenta</w:t>
      </w:r>
      <w:r w:rsidRPr="00CC226B">
        <w:t xml:space="preserve"> o neulaganju prigovora na Delegiranu uredbu Komisije od 28. veljače 2024. o izmjeni Uredbe (EZ) br. 273/2004 Europskog parlamenta i Vijeća i Uredbe Vijeća (EZ) br. 111/2005 u pogledu uvrštenja </w:t>
      </w:r>
      <w:proofErr w:type="spellStart"/>
      <w:r w:rsidRPr="00CC226B">
        <w:t>prekursora</w:t>
      </w:r>
      <w:proofErr w:type="spellEnd"/>
      <w:r w:rsidRPr="00CC226B">
        <w:t xml:space="preserve"> za droge </w:t>
      </w:r>
      <w:proofErr w:type="spellStart"/>
      <w:r w:rsidRPr="00CC226B">
        <w:t>Isopropilidena</w:t>
      </w:r>
      <w:proofErr w:type="spellEnd"/>
      <w:r w:rsidRPr="00CC226B">
        <w:t xml:space="preserve"> (2-(3,4-metilendioksifenil)</w:t>
      </w:r>
      <w:proofErr w:type="spellStart"/>
      <w:r w:rsidRPr="00CC226B">
        <w:t>acetil</w:t>
      </w:r>
      <w:proofErr w:type="spellEnd"/>
      <w:r w:rsidRPr="00CC226B">
        <w:t>)</w:t>
      </w:r>
      <w:proofErr w:type="spellStart"/>
      <w:r w:rsidRPr="00CC226B">
        <w:t>malonata</w:t>
      </w:r>
      <w:proofErr w:type="spellEnd"/>
      <w:r w:rsidRPr="00CC226B">
        <w:t xml:space="preserve"> (IMDPAM) i drugih tvari na popis predviđenih tvari</w:t>
      </w:r>
      <w:bookmarkEnd w:id="5"/>
      <w:r w:rsidRPr="00CC226B">
        <w:t xml:space="preserve"> </w:t>
      </w:r>
      <w:bookmarkStart w:id="6" w:name="References"/>
      <w:r w:rsidRPr="00CC226B">
        <w:t>(C(2024)01219 - 2024/2606(DEA))</w:t>
      </w:r>
      <w:bookmarkEnd w:id="6"/>
    </w:p>
    <w:p w:rsidR="00B20246" w:rsidRPr="00CC226B" w:rsidRDefault="00B20246" w:rsidP="00B20246">
      <w:pPr>
        <w:pStyle w:val="EPComma"/>
        <w:rPr>
          <w:i/>
        </w:rPr>
      </w:pPr>
      <w:bookmarkStart w:id="7" w:name="TextBodyBegin"/>
      <w:bookmarkEnd w:id="7"/>
      <w:r w:rsidRPr="00CC226B">
        <w:rPr>
          <w:i/>
        </w:rPr>
        <w:t>Europski parlament,</w:t>
      </w:r>
    </w:p>
    <w:p w:rsidR="00B20246" w:rsidRPr="00CC226B" w:rsidRDefault="00B20246" w:rsidP="00B20246">
      <w:pPr>
        <w:pStyle w:val="NormalHanging12a"/>
      </w:pPr>
      <w:r w:rsidRPr="00CC226B">
        <w:t>–</w:t>
      </w:r>
      <w:r w:rsidRPr="00CC226B">
        <w:tab/>
        <w:t>uzimajući u obzir Delegiranu uredbu Komisije (C(2024)01219),</w:t>
      </w:r>
    </w:p>
    <w:p w:rsidR="00B20246" w:rsidRPr="00CC226B" w:rsidRDefault="00B20246" w:rsidP="00B20246">
      <w:pPr>
        <w:pStyle w:val="NormalHanging12a"/>
        <w:rPr>
          <w:spacing w:val="-2"/>
          <w:szCs w:val="24"/>
        </w:rPr>
      </w:pPr>
      <w:r w:rsidRPr="00CC226B">
        <w:t>–</w:t>
      </w:r>
      <w:r w:rsidRPr="00CC226B">
        <w:tab/>
        <w:t>uzimajući u obzir pismo Komisije od 13. ožujka 2024. kojim od Parlamenta traži da izjavi kako neće ulagati prigovor na Delegiranu uredbu,</w:t>
      </w:r>
    </w:p>
    <w:p w:rsidR="00B20246" w:rsidRPr="00CC226B" w:rsidRDefault="00B20246" w:rsidP="00B20246">
      <w:pPr>
        <w:pStyle w:val="NormalHanging12a"/>
      </w:pPr>
      <w:r w:rsidRPr="00CC226B">
        <w:t>–</w:t>
      </w:r>
      <w:r w:rsidRPr="00CC226B">
        <w:tab/>
        <w:t>uzimajući u obzir pismo Odbora za građanske slobode, pravosuđe i unutarnje poslove predsjedniku Konferencije predsjednika odbora,</w:t>
      </w:r>
    </w:p>
    <w:p w:rsidR="00B20246" w:rsidRPr="00CC226B" w:rsidRDefault="00B20246" w:rsidP="00B20246">
      <w:pPr>
        <w:pStyle w:val="NormalHanging12a"/>
      </w:pPr>
      <w:r w:rsidRPr="00CC226B">
        <w:t>–</w:t>
      </w:r>
      <w:r w:rsidRPr="00CC226B">
        <w:tab/>
        <w:t>uzimajući u obzir članak 290. Ugovora o funkcioniranju Europske unije,</w:t>
      </w:r>
    </w:p>
    <w:p w:rsidR="00B20246" w:rsidRPr="00CC226B" w:rsidRDefault="00B20246" w:rsidP="00B20246">
      <w:pPr>
        <w:pStyle w:val="NormalHanging12a"/>
      </w:pPr>
      <w:r w:rsidRPr="00CC226B">
        <w:t>–</w:t>
      </w:r>
      <w:r w:rsidRPr="00CC226B">
        <w:tab/>
        <w:t>uzimajući u obzir Uredbu (EZ) br. 273/2004 Europskog parlamenta i Vijeća od 11. veljače 2004.</w:t>
      </w:r>
      <w:r w:rsidRPr="00CC226B">
        <w:rPr>
          <w:rStyle w:val="FootnoteReference"/>
          <w:szCs w:val="24"/>
        </w:rPr>
        <w:footnoteReference w:id="1"/>
      </w:r>
      <w:r w:rsidRPr="00CC226B">
        <w:t xml:space="preserve"> o </w:t>
      </w:r>
      <w:proofErr w:type="spellStart"/>
      <w:r w:rsidRPr="00CC226B">
        <w:t>prekursorima</w:t>
      </w:r>
      <w:proofErr w:type="spellEnd"/>
      <w:r w:rsidRPr="00CC226B">
        <w:t xml:space="preserve"> za droge, a posebno njezin članak 15. i članak 15.a stavak 5.,</w:t>
      </w:r>
    </w:p>
    <w:p w:rsidR="00B20246" w:rsidRPr="00CC226B" w:rsidRDefault="00B20246" w:rsidP="00B20246">
      <w:pPr>
        <w:pStyle w:val="NormalHanging12a"/>
      </w:pPr>
      <w:r w:rsidRPr="00CC226B">
        <w:t>–</w:t>
      </w:r>
      <w:r w:rsidRPr="00CC226B">
        <w:tab/>
        <w:t>uzimajući u obzir Uredbu Vijeća (EZ) br. 111/2005 od 22. prosinca 2004.</w:t>
      </w:r>
      <w:r w:rsidRPr="00CC226B">
        <w:rPr>
          <w:rStyle w:val="FootnoteReference"/>
        </w:rPr>
        <w:footnoteReference w:id="2"/>
      </w:r>
      <w:r w:rsidRPr="00CC226B">
        <w:t xml:space="preserve"> o utvrđivanju pravila za nadzor trgovine </w:t>
      </w:r>
      <w:proofErr w:type="spellStart"/>
      <w:r w:rsidRPr="00CC226B">
        <w:t>prekursorima</w:t>
      </w:r>
      <w:proofErr w:type="spellEnd"/>
      <w:r w:rsidRPr="00CC226B">
        <w:t xml:space="preserve"> za droge između Unije i trećih zemalja, a posebno njezin članak 30.a i članak 30.b stavak 5.,</w:t>
      </w:r>
    </w:p>
    <w:p w:rsidR="00B20246" w:rsidRPr="00CC226B" w:rsidRDefault="00B20246" w:rsidP="00B20246">
      <w:pPr>
        <w:pStyle w:val="NormalHanging12a"/>
      </w:pPr>
      <w:r w:rsidRPr="00CC226B">
        <w:t>–</w:t>
      </w:r>
      <w:r w:rsidRPr="00CC226B">
        <w:tab/>
        <w:t>uzimajući u obzir članak 111. stavak 6. Poslovnika,</w:t>
      </w:r>
    </w:p>
    <w:p w:rsidR="00B20246" w:rsidRDefault="00B20246" w:rsidP="00B20246">
      <w:pPr>
        <w:pStyle w:val="NormalHanging12a"/>
      </w:pPr>
      <w:r w:rsidRPr="00CC226B">
        <w:t>–</w:t>
      </w:r>
      <w:r w:rsidRPr="00CC226B">
        <w:tab/>
        <w:t xml:space="preserve">uzimajući u obzir preporuku za donošenje odluke Odbora za građanske slobode, </w:t>
      </w:r>
      <w:r w:rsidRPr="00CC226B">
        <w:lastRenderedPageBreak/>
        <w:t>pravosuđe i unutarnje poslove,</w:t>
      </w:r>
    </w:p>
    <w:p w:rsidR="00CC226B" w:rsidRPr="00CC226B" w:rsidRDefault="00CC226B" w:rsidP="00B20246">
      <w:pPr>
        <w:pStyle w:val="NormalHanging12a"/>
      </w:pPr>
      <w:r w:rsidRPr="00232116">
        <w:rPr>
          <w:szCs w:val="24"/>
        </w:rPr>
        <w:t>–</w:t>
      </w:r>
      <w:r w:rsidRPr="00232116">
        <w:rPr>
          <w:szCs w:val="24"/>
        </w:rPr>
        <w:tab/>
      </w:r>
      <w:r w:rsidRPr="00EB46A2">
        <w:rPr>
          <w:szCs w:val="24"/>
        </w:rPr>
        <w:t>uzimajući u obzir da nisu uloženi nikakvi prigovori tijekom razdoblja utvrđenog u članku 111. stavku 6. trećoj i četvrtoj alinej</w:t>
      </w:r>
      <w:r>
        <w:rPr>
          <w:szCs w:val="24"/>
        </w:rPr>
        <w:t>i Poslovnika, koje je isteklo 23</w:t>
      </w:r>
      <w:r w:rsidRPr="00232116">
        <w:rPr>
          <w:szCs w:val="24"/>
        </w:rPr>
        <w:t>. t</w:t>
      </w:r>
      <w:r>
        <w:rPr>
          <w:szCs w:val="24"/>
        </w:rPr>
        <w:t xml:space="preserve">ravnja </w:t>
      </w:r>
      <w:r w:rsidRPr="00232116">
        <w:rPr>
          <w:szCs w:val="24"/>
        </w:rPr>
        <w:t>2024</w:t>
      </w:r>
      <w:r w:rsidRPr="00EB46A2">
        <w:rPr>
          <w:szCs w:val="24"/>
        </w:rPr>
        <w:t>.,</w:t>
      </w:r>
    </w:p>
    <w:p w:rsidR="00B20246" w:rsidRPr="00CC226B" w:rsidRDefault="00B20246" w:rsidP="00B20246">
      <w:pPr>
        <w:pStyle w:val="NormalHanging12a"/>
      </w:pPr>
      <w:r w:rsidRPr="00CC226B">
        <w:t>A.</w:t>
      </w:r>
      <w:r w:rsidRPr="00CC226B">
        <w:tab/>
        <w:t xml:space="preserve">budući da se zakonodavni okvir EU-a o mjerama za kontrolu pristupa tvarima koje se upotrebljavaju u proizvodnji nedopuštenih droga mora stalno ažurirati kako bi se suzbilo širenje takozvanih „dizajnerskih </w:t>
      </w:r>
      <w:proofErr w:type="spellStart"/>
      <w:r w:rsidRPr="00CC226B">
        <w:t>prekursora</w:t>
      </w:r>
      <w:proofErr w:type="spellEnd"/>
      <w:r w:rsidRPr="00CC226B">
        <w:t xml:space="preserve">”, koji su bliski kemijski srodnici tradicionalnih </w:t>
      </w:r>
      <w:proofErr w:type="spellStart"/>
      <w:r w:rsidRPr="00CC226B">
        <w:t>prekursora</w:t>
      </w:r>
      <w:proofErr w:type="spellEnd"/>
      <w:r w:rsidRPr="00CC226B">
        <w:t xml:space="preserve"> za droge proizvedeni kako bi se zaobišla postojeća pravila;</w:t>
      </w:r>
    </w:p>
    <w:p w:rsidR="00B20246" w:rsidRPr="00CC226B" w:rsidRDefault="00B20246" w:rsidP="00B20246">
      <w:pPr>
        <w:pStyle w:val="ManualConsidrant"/>
        <w:ind w:left="567" w:hanging="567"/>
        <w:jc w:val="left"/>
        <w:rPr>
          <w:noProof/>
        </w:rPr>
      </w:pPr>
      <w:r w:rsidRPr="00CC226B">
        <w:t>B.</w:t>
      </w:r>
      <w:r w:rsidRPr="00CC226B">
        <w:tab/>
        <w:t xml:space="preserve">budući da je natrijeva sol </w:t>
      </w:r>
      <w:proofErr w:type="spellStart"/>
      <w:r w:rsidRPr="00CC226B">
        <w:t>izopropilidena</w:t>
      </w:r>
      <w:proofErr w:type="spellEnd"/>
      <w:r w:rsidRPr="00CC226B">
        <w:t xml:space="preserve"> (2-(3,4-metilendioksifenil)</w:t>
      </w:r>
      <w:proofErr w:type="spellStart"/>
      <w:r w:rsidRPr="00CC226B">
        <w:t>acetil</w:t>
      </w:r>
      <w:proofErr w:type="spellEnd"/>
      <w:r w:rsidRPr="00CC226B">
        <w:t>)</w:t>
      </w:r>
      <w:proofErr w:type="spellStart"/>
      <w:r w:rsidRPr="00CC226B">
        <w:t>malonata</w:t>
      </w:r>
      <w:proofErr w:type="spellEnd"/>
      <w:r w:rsidRPr="00CC226B">
        <w:t xml:space="preserve"> (IMDPAM) prepoznata kao </w:t>
      </w:r>
      <w:proofErr w:type="spellStart"/>
      <w:r w:rsidRPr="00CC226B">
        <w:t>novorazvijeni</w:t>
      </w:r>
      <w:proofErr w:type="spellEnd"/>
      <w:r w:rsidRPr="00CC226B">
        <w:t xml:space="preserve"> </w:t>
      </w:r>
      <w:proofErr w:type="spellStart"/>
      <w:r w:rsidRPr="00CC226B">
        <w:t>prekursor</w:t>
      </w:r>
      <w:proofErr w:type="spellEnd"/>
      <w:r w:rsidRPr="00CC226B">
        <w:t xml:space="preserve"> za droge koji se upotrebljava u proizvodnji droge MDMA (3,4-metilendioksimetamfetamin), poznate kao „</w:t>
      </w:r>
      <w:proofErr w:type="spellStart"/>
      <w:r w:rsidRPr="00CC226B">
        <w:t>ecstasy</w:t>
      </w:r>
      <w:proofErr w:type="spellEnd"/>
      <w:r w:rsidRPr="00CC226B">
        <w:t>”;</w:t>
      </w:r>
    </w:p>
    <w:p w:rsidR="00B20246" w:rsidRPr="00CC226B" w:rsidRDefault="00B20246" w:rsidP="00B20246">
      <w:pPr>
        <w:pStyle w:val="ManualConsidrant"/>
        <w:ind w:left="567" w:hanging="567"/>
        <w:jc w:val="left"/>
        <w:rPr>
          <w:noProof/>
        </w:rPr>
      </w:pPr>
      <w:r w:rsidRPr="00CC226B">
        <w:t>C.</w:t>
      </w:r>
      <w:r w:rsidRPr="00CC226B">
        <w:tab/>
        <w:t xml:space="preserve">budući da je utvrđeno da su sedam estera 2-metil-3-feniloksiran-2-karboksilne kiseline (BMK </w:t>
      </w:r>
      <w:proofErr w:type="spellStart"/>
      <w:r w:rsidRPr="00CC226B">
        <w:t>glicidne</w:t>
      </w:r>
      <w:proofErr w:type="spellEnd"/>
      <w:r w:rsidRPr="00CC226B">
        <w:t xml:space="preserve"> kiseline) i šest estera 3-(1,3-benzodioksol-5-il)-2-metil-oksiran-2-karboksilne kiseline (PMK </w:t>
      </w:r>
      <w:proofErr w:type="spellStart"/>
      <w:r w:rsidRPr="00CC226B">
        <w:t>glicidne</w:t>
      </w:r>
      <w:proofErr w:type="spellEnd"/>
      <w:r w:rsidRPr="00CC226B">
        <w:t xml:space="preserve"> kiseline)) moguće zamjene za BMK </w:t>
      </w:r>
      <w:proofErr w:type="spellStart"/>
      <w:r w:rsidRPr="00CC226B">
        <w:t>glicidnu</w:t>
      </w:r>
      <w:proofErr w:type="spellEnd"/>
      <w:r w:rsidRPr="00CC226B">
        <w:t xml:space="preserve"> kiselinu i PMK </w:t>
      </w:r>
      <w:proofErr w:type="spellStart"/>
      <w:r w:rsidRPr="00CC226B">
        <w:t>glicidnu</w:t>
      </w:r>
      <w:proofErr w:type="spellEnd"/>
      <w:r w:rsidRPr="00CC226B">
        <w:t xml:space="preserve"> kiselinu, koje su prema pravu EU-a nadzirani </w:t>
      </w:r>
      <w:proofErr w:type="spellStart"/>
      <w:r w:rsidRPr="00CC226B">
        <w:t>prekursori</w:t>
      </w:r>
      <w:proofErr w:type="spellEnd"/>
      <w:r w:rsidRPr="00CC226B">
        <w:t xml:space="preserve">, u proizvodnji nedopuštenih droga poput MDMA-e, </w:t>
      </w:r>
      <w:proofErr w:type="spellStart"/>
      <w:r w:rsidRPr="00CC226B">
        <w:t>metamfetamina</w:t>
      </w:r>
      <w:proofErr w:type="spellEnd"/>
      <w:r w:rsidRPr="00CC226B">
        <w:t xml:space="preserve"> i amfetamina;</w:t>
      </w:r>
    </w:p>
    <w:p w:rsidR="00B20246" w:rsidRPr="00CC226B" w:rsidRDefault="00B20246" w:rsidP="00B20246">
      <w:pPr>
        <w:pStyle w:val="ManualConsidrant"/>
        <w:ind w:left="567" w:hanging="567"/>
        <w:jc w:val="left"/>
        <w:rPr>
          <w:noProof/>
        </w:rPr>
      </w:pPr>
      <w:r w:rsidRPr="00CC226B">
        <w:t>D.</w:t>
      </w:r>
      <w:r w:rsidRPr="00CC226B">
        <w:tab/>
        <w:t xml:space="preserve">budući da je potrebno izmijeniti popis predviđenih tvari iz Priloga I. Uredbi (EZ) br. 273/2004 i Priloga Uredbi (EZ) br. 111/2005 kako bi se na IMDPAM i utvrđene estere BMK </w:t>
      </w:r>
      <w:proofErr w:type="spellStart"/>
      <w:r w:rsidRPr="00CC226B">
        <w:t>glicidne</w:t>
      </w:r>
      <w:proofErr w:type="spellEnd"/>
      <w:r w:rsidRPr="00CC226B">
        <w:t xml:space="preserve"> kiseline i PMK </w:t>
      </w:r>
      <w:proofErr w:type="spellStart"/>
      <w:r w:rsidRPr="00CC226B">
        <w:t>glicidne</w:t>
      </w:r>
      <w:proofErr w:type="spellEnd"/>
      <w:r w:rsidRPr="00CC226B">
        <w:t xml:space="preserve"> kiseline primjenjivale usklađene mjere kontrole i praćenja predviđene tim uredbama;</w:t>
      </w:r>
    </w:p>
    <w:p w:rsidR="00B20246" w:rsidRPr="00CC226B" w:rsidRDefault="00B20246" w:rsidP="00B20246">
      <w:pPr>
        <w:pStyle w:val="ManualConsidrant"/>
        <w:ind w:left="567" w:hanging="567"/>
        <w:jc w:val="left"/>
        <w:rPr>
          <w:noProof/>
        </w:rPr>
      </w:pPr>
      <w:r w:rsidRPr="00CC226B">
        <w:t xml:space="preserve">E. </w:t>
      </w:r>
      <w:r w:rsidRPr="00CC226B">
        <w:tab/>
        <w:t xml:space="preserve">budući da bi mjere za kontrolu pristupa </w:t>
      </w:r>
      <w:proofErr w:type="spellStart"/>
      <w:r w:rsidRPr="00CC226B">
        <w:t>novopredviđenim</w:t>
      </w:r>
      <w:proofErr w:type="spellEnd"/>
      <w:r w:rsidRPr="00CC226B">
        <w:t xml:space="preserve"> tvarima u skladu s uredbama (EZ) br. 273/2004 i (EZ) br. 111/2005 trebale stupiti na snagu što je prije moguće kako bi se spriječila upotreba tih </w:t>
      </w:r>
      <w:proofErr w:type="spellStart"/>
      <w:r w:rsidRPr="00CC226B">
        <w:t>prekursora</w:t>
      </w:r>
      <w:proofErr w:type="spellEnd"/>
      <w:r w:rsidRPr="00CC226B">
        <w:t xml:space="preserve"> za droge za proizvodnju nedopuštenih droga i njihovo stavljanje na tržište;</w:t>
      </w:r>
    </w:p>
    <w:p w:rsidR="00B20246" w:rsidRPr="00CC226B" w:rsidRDefault="00B20246" w:rsidP="00B20246">
      <w:pPr>
        <w:pStyle w:val="ManualConsidrant"/>
        <w:spacing w:after="240"/>
        <w:ind w:left="567" w:hanging="567"/>
        <w:jc w:val="left"/>
        <w:rPr>
          <w:spacing w:val="-2"/>
          <w:szCs w:val="24"/>
        </w:rPr>
      </w:pPr>
      <w:r w:rsidRPr="00CC226B">
        <w:t>F.</w:t>
      </w:r>
      <w:r w:rsidRPr="00CC226B">
        <w:tab/>
        <w:t>budući da se u planu EU-a za borbu protiv trgovine drogom i organiziranog kriminala (COM(2023)0641) Europska komisija, u suradnji s Parlamentom i Vijećem, obvezala dati sve od sebe kako bi se ubrzao postupak donošenja budućih delegiranih akata kojima se uvrštavaju dodatne tvari u skladu s uredbama (EZ) br. 273/2004 i (EZ) br. 111/2005;</w:t>
      </w:r>
    </w:p>
    <w:p w:rsidR="00B20246" w:rsidRPr="00CC226B" w:rsidRDefault="00B20246" w:rsidP="00B20246">
      <w:pPr>
        <w:pStyle w:val="NormalHanging12a"/>
      </w:pPr>
      <w:r w:rsidRPr="00CC226B">
        <w:t>1.</w:t>
      </w:r>
      <w:r w:rsidRPr="00CC226B">
        <w:tab/>
        <w:t>izjavljuje da ne ulaže prigovor na Delegiranu uredbu;</w:t>
      </w:r>
    </w:p>
    <w:p w:rsidR="00B20246" w:rsidRPr="00CC226B" w:rsidRDefault="00B20246" w:rsidP="00CC226B">
      <w:pPr>
        <w:ind w:left="567" w:hanging="567"/>
      </w:pPr>
      <w:r w:rsidRPr="00CC226B">
        <w:t>2.</w:t>
      </w:r>
      <w:r w:rsidRPr="00CC226B">
        <w:tab/>
        <w:t>nalaže svojoj predsjednici da ovu Odluku proslijedi Vijeću i Komisiji.</w:t>
      </w:r>
    </w:p>
    <w:sectPr w:rsidR="00B20246" w:rsidRPr="00CC226B" w:rsidSect="003E493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E7D6A" w:rsidRPr="003E4932" w:rsidRDefault="000E7D6A">
      <w:r w:rsidRPr="003E4932">
        <w:separator/>
      </w:r>
    </w:p>
  </w:endnote>
  <w:endnote w:type="continuationSeparator" w:id="0">
    <w:p w:rsidR="000E7D6A" w:rsidRPr="003E4932" w:rsidRDefault="000E7D6A">
      <w:r w:rsidRPr="003E493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E4932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E4932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E4932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E7D6A" w:rsidRPr="003E4932" w:rsidRDefault="000E7D6A">
      <w:r w:rsidRPr="003E4932">
        <w:separator/>
      </w:r>
    </w:p>
  </w:footnote>
  <w:footnote w:type="continuationSeparator" w:id="0">
    <w:p w:rsidR="000E7D6A" w:rsidRPr="003E4932" w:rsidRDefault="000E7D6A">
      <w:r w:rsidRPr="003E4932">
        <w:continuationSeparator/>
      </w:r>
    </w:p>
  </w:footnote>
  <w:footnote w:id="1">
    <w:p w:rsidR="00B20246" w:rsidRPr="003E4932" w:rsidRDefault="00B20246" w:rsidP="003E4932">
      <w:pPr>
        <w:pStyle w:val="FootnoteText"/>
        <w:ind w:left="567" w:hanging="567"/>
        <w:rPr>
          <w:sz w:val="24"/>
          <w:lang w:val="hr-HR"/>
        </w:rPr>
      </w:pPr>
      <w:r w:rsidRPr="003E4932">
        <w:rPr>
          <w:rStyle w:val="FootnoteReference"/>
          <w:sz w:val="24"/>
          <w:lang w:val="hr-HR"/>
        </w:rPr>
        <w:footnoteRef/>
      </w:r>
      <w:r w:rsidR="003E4932" w:rsidRPr="003E4932">
        <w:rPr>
          <w:sz w:val="24"/>
          <w:lang w:val="hr-HR"/>
        </w:rPr>
        <w:t xml:space="preserve"> </w:t>
      </w:r>
      <w:r w:rsidR="003E4932" w:rsidRPr="003E4932">
        <w:rPr>
          <w:sz w:val="24"/>
          <w:lang w:val="hr-HR"/>
        </w:rPr>
        <w:tab/>
      </w:r>
      <w:r w:rsidRPr="003E4932">
        <w:rPr>
          <w:sz w:val="24"/>
          <w:lang w:val="hr-HR"/>
        </w:rPr>
        <w:t>SL L 47, 18.2.2004., str. 1.</w:t>
      </w:r>
    </w:p>
  </w:footnote>
  <w:footnote w:id="2">
    <w:p w:rsidR="00B20246" w:rsidRPr="003E4932" w:rsidRDefault="00B20246" w:rsidP="003E4932">
      <w:pPr>
        <w:pStyle w:val="FootnoteText"/>
        <w:ind w:left="567" w:hanging="567"/>
        <w:rPr>
          <w:sz w:val="24"/>
          <w:lang w:val="hr-HR"/>
        </w:rPr>
      </w:pPr>
      <w:r w:rsidRPr="003E4932">
        <w:rPr>
          <w:rStyle w:val="FootnoteReference"/>
          <w:sz w:val="24"/>
          <w:lang w:val="hr-HR"/>
        </w:rPr>
        <w:footnoteRef/>
      </w:r>
      <w:r w:rsidR="003E4932" w:rsidRPr="003E4932">
        <w:rPr>
          <w:sz w:val="24"/>
          <w:lang w:val="hr-HR"/>
        </w:rPr>
        <w:t xml:space="preserve"> </w:t>
      </w:r>
      <w:r w:rsidR="003E4932" w:rsidRPr="003E4932">
        <w:rPr>
          <w:sz w:val="24"/>
          <w:lang w:val="hr-HR"/>
        </w:rPr>
        <w:tab/>
      </w:r>
      <w:r w:rsidR="00CC226B">
        <w:rPr>
          <w:sz w:val="24"/>
          <w:lang w:val="hr-HR"/>
        </w:rPr>
        <w:t>SL L 22, 26.1.</w:t>
      </w:r>
      <w:r w:rsidRPr="003E4932">
        <w:rPr>
          <w:sz w:val="24"/>
          <w:lang w:val="hr-HR"/>
        </w:rPr>
        <w:t>2005., str. 1.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E4932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E4932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E4932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213/2024"/>
    <w:docVar w:name="dvlangue" w:val="HR"/>
    <w:docVar w:name="dvnumam" w:val="0"/>
    <w:docVar w:name="dvpe" w:val="760.991"/>
    <w:docVar w:name="dvtitre" w:val="Odluka Europskog parlamenta od .... 2024. o neulaganju prigovora na Delegiranu uredbu Komisije od 28. veljače 2024. o izmjeni Uredbe (EZ) br. 273/2004 Europskog parlamenta i Vijeća i Uredbe Vijeća (EZ) br. 111/2005 u pogledu uvrštenja prekursora za droge Isopropilidena (2-(3,4-metilendioksifenil)acetil)malonata (IMDPAM) i drugih tvari na popis predviđenih tvari(C(2024)01219 - 2024/2606(DEA))"/>
  </w:docVars>
  <w:rsids>
    <w:rsidRoot w:val="000E7D6A"/>
    <w:rsid w:val="00002272"/>
    <w:rsid w:val="00064002"/>
    <w:rsid w:val="000677B9"/>
    <w:rsid w:val="000831BA"/>
    <w:rsid w:val="000A42CC"/>
    <w:rsid w:val="000E7D6A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3E4932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0246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26B"/>
    <w:rsid w:val="00CC2357"/>
    <w:rsid w:val="00CF071A"/>
    <w:rsid w:val="00D058B8"/>
    <w:rsid w:val="00D56C11"/>
    <w:rsid w:val="00D66912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659441E"/>
  <w15:chartTrackingRefBased/>
  <w15:docId w15:val="{4D4008CB-2E63-4835-9FCA-24A6C11169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B20246"/>
    <w:pPr>
      <w:spacing w:before="480" w:after="240"/>
    </w:pPr>
  </w:style>
  <w:style w:type="paragraph" w:customStyle="1" w:styleId="NormalHanging12a">
    <w:name w:val="NormalHanging12a"/>
    <w:basedOn w:val="Normal"/>
    <w:rsid w:val="00B20246"/>
    <w:pPr>
      <w:spacing w:after="240"/>
      <w:ind w:left="567" w:hanging="567"/>
    </w:pPr>
  </w:style>
  <w:style w:type="paragraph" w:customStyle="1" w:styleId="ManualConsidrant">
    <w:name w:val="Manual Considérant"/>
    <w:basedOn w:val="Normal"/>
    <w:rsid w:val="00B20246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5F3B6F-E2D5-4F4E-BDF5-03DA07AAD6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534</Words>
  <Characters>3370</Characters>
  <Application>Microsoft Office Word</Application>
  <DocSecurity>0</DocSecurity>
  <Lines>129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JELIC PRIMORAC Ivana</dc:creator>
  <cp:keywords/>
  <cp:lastModifiedBy>JELIC PRIMORAC Ivana</cp:lastModifiedBy>
  <cp:revision>2</cp:revision>
  <cp:lastPrinted>2004-11-19T15:42:00Z</cp:lastPrinted>
  <dcterms:created xsi:type="dcterms:W3CDTF">2024-04-24T12:37:00Z</dcterms:created>
  <dcterms:modified xsi:type="dcterms:W3CDTF">2024-04-24T12:37:00Z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B9-0213/2024</vt:lpwstr>
  </property>
  <property fmtid="{D5CDD505-2E9C-101B-9397-08002B2CF9AE}" pid="4" name="&lt;Type&gt;">
    <vt:lpwstr>RR</vt:lpwstr>
  </property>
</Properties>
</file>