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1E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1E4A" w:rsidRDefault="00E3778B" w:rsidP="0010095E">
            <w:pPr>
              <w:pStyle w:val="EPName"/>
            </w:pPr>
            <w:r w:rsidRPr="004C1E4A">
              <w:t>Európai Parlament</w:t>
            </w:r>
          </w:p>
          <w:p w:rsidR="00751A4A" w:rsidRPr="004C1E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1E4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C1E4A" w:rsidRDefault="00187494" w:rsidP="0010095E">
            <w:pPr>
              <w:pStyle w:val="EPLogo"/>
            </w:pPr>
            <w:r w:rsidRPr="004C1E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1E4A" w:rsidRDefault="00D058B8" w:rsidP="004C5D52">
      <w:pPr>
        <w:pStyle w:val="LineTop"/>
      </w:pPr>
    </w:p>
    <w:p w:rsidR="00680577" w:rsidRPr="004C1E4A" w:rsidRDefault="00E3778B" w:rsidP="00680577">
      <w:pPr>
        <w:pStyle w:val="EPBodyTA1"/>
      </w:pPr>
      <w:r w:rsidRPr="004C1E4A">
        <w:t>ELFOGADOTT SZÖVEGEK</w:t>
      </w:r>
    </w:p>
    <w:p w:rsidR="00D058B8" w:rsidRPr="004C1E4A" w:rsidRDefault="00D058B8" w:rsidP="00D058B8">
      <w:pPr>
        <w:pStyle w:val="LineBottom"/>
      </w:pPr>
    </w:p>
    <w:p w:rsidR="00E3778B" w:rsidRPr="004C1E4A" w:rsidRDefault="00E3778B" w:rsidP="00E3778B">
      <w:pPr>
        <w:pStyle w:val="ATHeading1"/>
      </w:pPr>
      <w:bookmarkStart w:id="0" w:name="TANumber"/>
      <w:r w:rsidRPr="004C1E4A">
        <w:t>P9_TA(2024)0</w:t>
      </w:r>
      <w:bookmarkEnd w:id="0"/>
      <w:r w:rsidR="00C95866">
        <w:t>314</w:t>
      </w:r>
      <w:bookmarkStart w:id="1" w:name="_GoBack"/>
      <w:bookmarkEnd w:id="1"/>
    </w:p>
    <w:p w:rsidR="00E3778B" w:rsidRPr="004C1E4A" w:rsidRDefault="00E13819" w:rsidP="00E3778B">
      <w:pPr>
        <w:pStyle w:val="ATHeading2"/>
      </w:pPr>
      <w:r w:rsidRPr="00E13819">
        <w:t xml:space="preserve">Felhatalmazáson alapuló jogi </w:t>
      </w:r>
      <w:proofErr w:type="gramStart"/>
      <w:r w:rsidRPr="00E13819">
        <w:t>aktussal</w:t>
      </w:r>
      <w:proofErr w:type="gramEnd"/>
      <w:r w:rsidRPr="00E13819">
        <w:t xml:space="preserve"> szembeni kifogás mellőzése: az </w:t>
      </w:r>
      <w:proofErr w:type="spellStart"/>
      <w:r w:rsidRPr="00E13819">
        <w:t>izopropilidén</w:t>
      </w:r>
      <w:proofErr w:type="spellEnd"/>
      <w:r w:rsidRPr="00E13819">
        <w:t>-(2-(3,4-metiléndioxi-fenil)</w:t>
      </w:r>
      <w:proofErr w:type="spellStart"/>
      <w:r w:rsidRPr="00E13819">
        <w:t>acetil</w:t>
      </w:r>
      <w:proofErr w:type="spellEnd"/>
      <w:r w:rsidRPr="00E13819">
        <w:t>)</w:t>
      </w:r>
      <w:proofErr w:type="spellStart"/>
      <w:r w:rsidRPr="00E13819">
        <w:t>malonátnak</w:t>
      </w:r>
      <w:proofErr w:type="spellEnd"/>
      <w:r w:rsidRPr="00E13819">
        <w:t xml:space="preserve"> (IMDPAM) és egyéb anyagoknak a jegyzékben szereplő anyagok listájára való felvétele</w:t>
      </w:r>
    </w:p>
    <w:p w:rsidR="00E3778B" w:rsidRPr="004C1E4A" w:rsidRDefault="00E3778B" w:rsidP="00E3778B">
      <w:pPr>
        <w:rPr>
          <w:i/>
          <w:vanish/>
        </w:rPr>
      </w:pPr>
      <w:r w:rsidRPr="004C1E4A">
        <w:rPr>
          <w:i/>
        </w:rPr>
        <w:fldChar w:fldCharType="begin"/>
      </w:r>
      <w:r w:rsidRPr="004C1E4A">
        <w:rPr>
          <w:i/>
        </w:rPr>
        <w:instrText xml:space="preserve"> TC"(</w:instrText>
      </w:r>
      <w:bookmarkStart w:id="2" w:name="DocNumber"/>
      <w:r w:rsidRPr="004C1E4A">
        <w:rPr>
          <w:i/>
        </w:rPr>
        <w:instrText>B9-0213/2024</w:instrText>
      </w:r>
      <w:bookmarkEnd w:id="2"/>
      <w:r w:rsidRPr="004C1E4A">
        <w:rPr>
          <w:i/>
        </w:rPr>
        <w:instrText xml:space="preserve">)"\l3 \n&gt; \* MERGEFORMAT </w:instrText>
      </w:r>
      <w:r w:rsidRPr="004C1E4A">
        <w:rPr>
          <w:i/>
        </w:rPr>
        <w:fldChar w:fldCharType="end"/>
      </w:r>
    </w:p>
    <w:p w:rsidR="00E3778B" w:rsidRPr="004C1E4A" w:rsidRDefault="00E3778B" w:rsidP="00E3778B">
      <w:pPr>
        <w:rPr>
          <w:vanish/>
        </w:rPr>
      </w:pPr>
      <w:bookmarkStart w:id="3" w:name="PE"/>
      <w:r w:rsidRPr="004C1E4A">
        <w:rPr>
          <w:vanish/>
        </w:rPr>
        <w:t>PE760.991</w:t>
      </w:r>
      <w:bookmarkEnd w:id="3"/>
    </w:p>
    <w:p w:rsidR="00E3778B" w:rsidRPr="004C1E4A" w:rsidRDefault="00E13819" w:rsidP="00E3778B">
      <w:pPr>
        <w:pStyle w:val="ATHeading3"/>
      </w:pPr>
      <w:bookmarkStart w:id="4" w:name="Sujet"/>
      <w:r>
        <w:t>Az Európai Parlament határozata</w:t>
      </w:r>
      <w:r w:rsidR="00E3778B" w:rsidRPr="004C1E4A">
        <w:t xml:space="preserve"> a 273/2004/EK európai parlamenti és tanácsi rendeletet és a 111/2005/EK tanácsi rendeletet az </w:t>
      </w:r>
      <w:proofErr w:type="spellStart"/>
      <w:r w:rsidR="00E3778B" w:rsidRPr="004C1E4A">
        <w:t>izopropilidén</w:t>
      </w:r>
      <w:proofErr w:type="spellEnd"/>
      <w:r w:rsidR="00E3778B" w:rsidRPr="004C1E4A">
        <w:t>-(2-(3,4-metiléndioxi-fenil</w:t>
      </w:r>
      <w:proofErr w:type="gramStart"/>
      <w:r w:rsidR="00E3778B" w:rsidRPr="004C1E4A">
        <w:t>)</w:t>
      </w:r>
      <w:proofErr w:type="spellStart"/>
      <w:r w:rsidR="00E3778B" w:rsidRPr="004C1E4A">
        <w:t>acetil</w:t>
      </w:r>
      <w:proofErr w:type="spellEnd"/>
      <w:proofErr w:type="gramEnd"/>
      <w:r w:rsidR="00E3778B" w:rsidRPr="004C1E4A">
        <w:t>)</w:t>
      </w:r>
      <w:proofErr w:type="spellStart"/>
      <w:r w:rsidR="00E3778B" w:rsidRPr="004C1E4A">
        <w:t>malonátnak</w:t>
      </w:r>
      <w:proofErr w:type="spellEnd"/>
      <w:r w:rsidR="00E3778B" w:rsidRPr="004C1E4A">
        <w:t xml:space="preserve"> (IMDPAM) és egyéb anyagoknak a jegyzékben szereplő anyagok listájára való felvétele tekintetében módosító 2024. február 28-i felhatalmazáson alapuló bizottsági rendelettel szembeni kifogás mellőzésére</w:t>
      </w:r>
      <w:bookmarkEnd w:id="4"/>
      <w:r w:rsidR="00E3778B" w:rsidRPr="004C1E4A">
        <w:t xml:space="preserve"> </w:t>
      </w:r>
      <w:bookmarkStart w:id="5" w:name="References"/>
      <w:r w:rsidR="00E3778B" w:rsidRPr="004C1E4A">
        <w:t>(C(2024)01219 - 2024/2606(DEA))</w:t>
      </w:r>
      <w:bookmarkEnd w:id="5"/>
    </w:p>
    <w:p w:rsidR="00E3778B" w:rsidRPr="004C1E4A" w:rsidRDefault="00E3778B" w:rsidP="00E3778B"/>
    <w:p w:rsidR="00EE799E" w:rsidRPr="004C1E4A" w:rsidRDefault="00EE799E" w:rsidP="00EE799E">
      <w:pPr>
        <w:pStyle w:val="EPComma"/>
      </w:pPr>
      <w:bookmarkStart w:id="6" w:name="TextBodyBegin"/>
      <w:bookmarkEnd w:id="6"/>
      <w:r w:rsidRPr="004C1E4A">
        <w:rPr>
          <w:i/>
        </w:rPr>
        <w:t>Az Európai Parlament,</w:t>
      </w:r>
    </w:p>
    <w:p w:rsidR="00EE799E" w:rsidRPr="004C1E4A" w:rsidRDefault="00EE799E" w:rsidP="00EE799E">
      <w:pPr>
        <w:pStyle w:val="NormalHanging12a"/>
      </w:pPr>
      <w:r w:rsidRPr="004C1E4A">
        <w:t>–</w:t>
      </w:r>
      <w:r w:rsidRPr="004C1E4A">
        <w:tab/>
        <w:t>tekintettel a felhatalmazáson alapuló bizottsági rendeletre (</w:t>
      </w:r>
      <w:proofErr w:type="gramStart"/>
      <w:r w:rsidRPr="004C1E4A">
        <w:t>C(</w:t>
      </w:r>
      <w:proofErr w:type="gramEnd"/>
      <w:r w:rsidRPr="004C1E4A">
        <w:t>2024)01219),</w:t>
      </w:r>
    </w:p>
    <w:p w:rsidR="00EE799E" w:rsidRPr="004C1E4A" w:rsidRDefault="00EE799E" w:rsidP="00EE799E">
      <w:pPr>
        <w:pStyle w:val="NormalHanging12a"/>
        <w:rPr>
          <w:spacing w:val="-2"/>
          <w:szCs w:val="24"/>
        </w:rPr>
      </w:pPr>
      <w:r w:rsidRPr="004C1E4A">
        <w:t>–</w:t>
      </w:r>
      <w:r w:rsidRPr="004C1E4A">
        <w:tab/>
        <w:t>tekintettel a Bizottság 2024. március 13-i levelére, amelyben kéri az Európai Parlamenttől annak kinyilvánítását, hogy nem emel kifogást a felhatalmazáson alapuló bizottsági rendelettel szemben,</w:t>
      </w:r>
    </w:p>
    <w:p w:rsidR="00EE799E" w:rsidRPr="004C1E4A" w:rsidRDefault="00EE799E" w:rsidP="00EE799E">
      <w:pPr>
        <w:pStyle w:val="NormalHanging12a"/>
      </w:pPr>
      <w:r w:rsidRPr="004C1E4A">
        <w:t>–</w:t>
      </w:r>
      <w:r w:rsidRPr="004C1E4A">
        <w:tab/>
        <w:t>tekintettel az Állampolgári Jogi, Bel- és Igazságügyi Bizottság által a Bizottsági Elnökök Értekezletének elnökéhez intézett levélre,</w:t>
      </w:r>
    </w:p>
    <w:p w:rsidR="00EE799E" w:rsidRPr="004C1E4A" w:rsidRDefault="00EE799E" w:rsidP="00EE799E">
      <w:pPr>
        <w:pStyle w:val="NormalHanging12a"/>
      </w:pPr>
      <w:r w:rsidRPr="004C1E4A">
        <w:t>–</w:t>
      </w:r>
      <w:r w:rsidRPr="004C1E4A">
        <w:tab/>
        <w:t>tekintettel az Európai Unió működéséről szóló szerződés 290. cikkére,</w:t>
      </w:r>
    </w:p>
    <w:p w:rsidR="00EE799E" w:rsidRPr="004C1E4A" w:rsidRDefault="00EE799E" w:rsidP="00EE799E">
      <w:pPr>
        <w:pStyle w:val="NormalHanging12a"/>
      </w:pPr>
      <w:r w:rsidRPr="004C1E4A">
        <w:t>–</w:t>
      </w:r>
      <w:r w:rsidRPr="004C1E4A">
        <w:tab/>
        <w:t>tekintettel a kábítószer-</w:t>
      </w:r>
      <w:proofErr w:type="spellStart"/>
      <w:r w:rsidRPr="004C1E4A">
        <w:t>prekurzorokról</w:t>
      </w:r>
      <w:proofErr w:type="spellEnd"/>
      <w:r w:rsidRPr="004C1E4A">
        <w:t xml:space="preserve"> szóló, 2004. február 11-i 273/2004/EK európai parlamenti és tanácsi rendeletre</w:t>
      </w:r>
      <w:r w:rsidRPr="004C1E4A">
        <w:rPr>
          <w:rStyle w:val="FootnoteReference"/>
          <w:szCs w:val="24"/>
        </w:rPr>
        <w:footnoteReference w:id="1"/>
      </w:r>
      <w:r w:rsidRPr="004C1E4A">
        <w:t>, és különösen annak 15. cikkére és 15a. cikkének (5) bekezdésére,</w:t>
      </w:r>
    </w:p>
    <w:p w:rsidR="00EE799E" w:rsidRPr="004C1E4A" w:rsidRDefault="00EE799E" w:rsidP="00EE799E">
      <w:pPr>
        <w:pStyle w:val="NormalHanging12a"/>
      </w:pPr>
      <w:r w:rsidRPr="004C1E4A">
        <w:t>–</w:t>
      </w:r>
      <w:r w:rsidRPr="004C1E4A">
        <w:tab/>
        <w:t>tekintettel a kábítószer-</w:t>
      </w:r>
      <w:proofErr w:type="spellStart"/>
      <w:r w:rsidRPr="004C1E4A">
        <w:t>prekurzoroknak</w:t>
      </w:r>
      <w:proofErr w:type="spellEnd"/>
      <w:r w:rsidRPr="004C1E4A">
        <w:t xml:space="preserve"> az Unió és harmadik országok közötti kereskedelme nyomon követésére vonatkozó szabályok megállapításáról szóló, 2004. december 22-i 111/2005/EK tanácsi rendeletre</w:t>
      </w:r>
      <w:r w:rsidRPr="004C1E4A">
        <w:rPr>
          <w:rStyle w:val="FootnoteReference"/>
        </w:rPr>
        <w:footnoteReference w:id="2"/>
      </w:r>
      <w:r w:rsidRPr="004C1E4A">
        <w:t>, és különösen annak 30a. cikkére és 30b. cikkének (5) bekezdésére,</w:t>
      </w:r>
    </w:p>
    <w:p w:rsidR="00EE799E" w:rsidRPr="004C1E4A" w:rsidRDefault="00EE799E" w:rsidP="00EE799E">
      <w:pPr>
        <w:pStyle w:val="NormalHanging12a"/>
      </w:pPr>
      <w:r w:rsidRPr="004C1E4A">
        <w:t>–</w:t>
      </w:r>
      <w:r w:rsidRPr="004C1E4A">
        <w:tab/>
        <w:t>tekintettel eljárási szabályzata 111. cikkének (6) bekezdésére,</w:t>
      </w:r>
    </w:p>
    <w:p w:rsidR="00EE799E" w:rsidRDefault="00EE799E" w:rsidP="00EE799E">
      <w:pPr>
        <w:pStyle w:val="NormalHanging12a"/>
      </w:pPr>
      <w:r w:rsidRPr="004C1E4A">
        <w:lastRenderedPageBreak/>
        <w:t>–</w:t>
      </w:r>
      <w:r w:rsidRPr="004C1E4A">
        <w:tab/>
        <w:t>tekintettel az Állampolgári Jogi, Bel- és Igazságügyi Bizottság határozatra irányuló ajánlására,</w:t>
      </w:r>
    </w:p>
    <w:p w:rsidR="00E13819" w:rsidRPr="004C1E4A" w:rsidRDefault="00E13819" w:rsidP="00EE799E">
      <w:pPr>
        <w:pStyle w:val="NormalHanging12a"/>
      </w:pPr>
      <w:r>
        <w:t>–</w:t>
      </w:r>
      <w:r>
        <w:tab/>
      </w:r>
      <w:r w:rsidRPr="00E13819">
        <w:t>tekintettel arra, hogy eljárási szabályzata 111. cikke (6) bekezdésének harmadik és negyedik francia bekezdésében megállapított határidőn belül, amely 202</w:t>
      </w:r>
      <w:r>
        <w:t>4</w:t>
      </w:r>
      <w:r w:rsidRPr="00E13819">
        <w:t xml:space="preserve">. </w:t>
      </w:r>
      <w:r>
        <w:t>április</w:t>
      </w:r>
      <w:r w:rsidRPr="00E13819">
        <w:t xml:space="preserve"> 2</w:t>
      </w:r>
      <w:r>
        <w:t>3</w:t>
      </w:r>
      <w:r w:rsidRPr="00E13819">
        <w:t>-</w:t>
      </w:r>
      <w:r>
        <w:t>á</w:t>
      </w:r>
      <w:r w:rsidRPr="00E13819">
        <w:t>n járt le, nem emeltek kifogást,</w:t>
      </w:r>
    </w:p>
    <w:p w:rsidR="00EE799E" w:rsidRPr="004C1E4A" w:rsidRDefault="00EE799E" w:rsidP="00EE799E">
      <w:pPr>
        <w:pStyle w:val="NormalHanging12a"/>
      </w:pPr>
      <w:proofErr w:type="gramStart"/>
      <w:r w:rsidRPr="004C1E4A">
        <w:t>A.</w:t>
      </w:r>
      <w:proofErr w:type="gramEnd"/>
      <w:r w:rsidRPr="004C1E4A">
        <w:tab/>
        <w:t xml:space="preserve">mivel a tiltott kábítószerek előállításához használt anyagokhoz való hozzáférés ellenőrzését célzó intézkedések uniós jogszabályi keretét folyamatosan </w:t>
      </w:r>
      <w:proofErr w:type="gramStart"/>
      <w:r w:rsidRPr="004C1E4A">
        <w:t>aktualizálni</w:t>
      </w:r>
      <w:proofErr w:type="gramEnd"/>
      <w:r w:rsidRPr="004C1E4A">
        <w:t xml:space="preserve"> kell az úgynevezett „</w:t>
      </w:r>
      <w:proofErr w:type="spellStart"/>
      <w:r w:rsidRPr="004C1E4A">
        <w:t>dizájner</w:t>
      </w:r>
      <w:proofErr w:type="spellEnd"/>
      <w:r w:rsidRPr="004C1E4A">
        <w:t xml:space="preserve"> </w:t>
      </w:r>
      <w:proofErr w:type="spellStart"/>
      <w:r w:rsidRPr="004C1E4A">
        <w:t>prekurzorok</w:t>
      </w:r>
      <w:proofErr w:type="spellEnd"/>
      <w:r w:rsidRPr="004C1E4A">
        <w:t>” elterjedése elleni küzdelem érdekében, amelyek a hagyományos kábítószer-</w:t>
      </w:r>
      <w:proofErr w:type="spellStart"/>
      <w:r w:rsidRPr="004C1E4A">
        <w:t>prekurzorok</w:t>
      </w:r>
      <w:proofErr w:type="spellEnd"/>
      <w:r w:rsidRPr="004C1E4A">
        <w:t xml:space="preserve"> közeli, a meglévő szabályok megkerülése céljából létrehozott kémiai rokonai;</w:t>
      </w:r>
    </w:p>
    <w:p w:rsidR="00EE799E" w:rsidRPr="004C1E4A" w:rsidRDefault="00EE799E" w:rsidP="00EE799E">
      <w:pPr>
        <w:pStyle w:val="ManualConsidrant"/>
        <w:ind w:left="567" w:hanging="567"/>
        <w:jc w:val="left"/>
        <w:rPr>
          <w:noProof/>
        </w:rPr>
      </w:pPr>
      <w:r w:rsidRPr="004C1E4A">
        <w:t>B.</w:t>
      </w:r>
      <w:r w:rsidRPr="004C1E4A">
        <w:tab/>
        <w:t xml:space="preserve">mivel az </w:t>
      </w:r>
      <w:proofErr w:type="spellStart"/>
      <w:r w:rsidRPr="004C1E4A">
        <w:t>izopropilidén</w:t>
      </w:r>
      <w:proofErr w:type="spellEnd"/>
      <w:r w:rsidRPr="004C1E4A">
        <w:t>-(2-(3,4-metiléndioxi-fenil</w:t>
      </w:r>
      <w:proofErr w:type="gramStart"/>
      <w:r w:rsidRPr="004C1E4A">
        <w:t>)</w:t>
      </w:r>
      <w:proofErr w:type="spellStart"/>
      <w:r w:rsidRPr="004C1E4A">
        <w:t>acetil</w:t>
      </w:r>
      <w:proofErr w:type="spellEnd"/>
      <w:proofErr w:type="gramEnd"/>
      <w:r w:rsidRPr="004C1E4A">
        <w:t>)</w:t>
      </w:r>
      <w:proofErr w:type="spellStart"/>
      <w:r w:rsidRPr="004C1E4A">
        <w:t>malonát</w:t>
      </w:r>
      <w:proofErr w:type="spellEnd"/>
      <w:r w:rsidRPr="004C1E4A">
        <w:t xml:space="preserve"> (IMDPAM) nátriumsóját az MDMA (3,4-metiléndioxi-metamfetamin), közismert nevén „ecstasy” előállításához használt, újonnan kifejlesztett kábítószer-</w:t>
      </w:r>
      <w:proofErr w:type="spellStart"/>
      <w:r w:rsidRPr="004C1E4A">
        <w:t>prekurzorként</w:t>
      </w:r>
      <w:proofErr w:type="spellEnd"/>
      <w:r w:rsidRPr="004C1E4A">
        <w:t xml:space="preserve"> azonosították;</w:t>
      </w:r>
    </w:p>
    <w:p w:rsidR="00EE799E" w:rsidRPr="004C1E4A" w:rsidRDefault="00EE799E" w:rsidP="00EE799E">
      <w:pPr>
        <w:pStyle w:val="ManualConsidrant"/>
        <w:ind w:left="567" w:hanging="567"/>
        <w:jc w:val="left"/>
        <w:rPr>
          <w:noProof/>
        </w:rPr>
      </w:pPr>
      <w:r w:rsidRPr="004C1E4A">
        <w:t>C.</w:t>
      </w:r>
      <w:r w:rsidRPr="004C1E4A">
        <w:tab/>
        <w:t xml:space="preserve">mivel a 2-metil-3-feniloxirán-2-karbonsav (BMK </w:t>
      </w:r>
      <w:proofErr w:type="spellStart"/>
      <w:r w:rsidRPr="004C1E4A">
        <w:t>glicidsav</w:t>
      </w:r>
      <w:proofErr w:type="spellEnd"/>
      <w:r w:rsidRPr="004C1E4A">
        <w:t xml:space="preserve">) hét észterét és a 3-(1,3-benzodioxol-5-il)-2-metiloxirán-2-karbonsav (PMK </w:t>
      </w:r>
      <w:proofErr w:type="spellStart"/>
      <w:r w:rsidRPr="004C1E4A">
        <w:t>glicidsav</w:t>
      </w:r>
      <w:proofErr w:type="spellEnd"/>
      <w:r w:rsidRPr="004C1E4A">
        <w:t xml:space="preserve">) hat észterét az olyan tiltott kábítószerek, mint az MDMA, valamint a </w:t>
      </w:r>
      <w:proofErr w:type="spellStart"/>
      <w:r w:rsidRPr="004C1E4A">
        <w:t>metamfetamin</w:t>
      </w:r>
      <w:proofErr w:type="spellEnd"/>
      <w:r w:rsidRPr="004C1E4A">
        <w:t xml:space="preserve"> és az amfetamin előállítása során a BMK </w:t>
      </w:r>
      <w:proofErr w:type="spellStart"/>
      <w:r w:rsidRPr="004C1E4A">
        <w:t>glicidsav</w:t>
      </w:r>
      <w:proofErr w:type="spellEnd"/>
      <w:r w:rsidRPr="004C1E4A">
        <w:t xml:space="preserve"> és a PMK </w:t>
      </w:r>
      <w:proofErr w:type="spellStart"/>
      <w:r w:rsidRPr="004C1E4A">
        <w:t>glicidsav</w:t>
      </w:r>
      <w:proofErr w:type="spellEnd"/>
      <w:r w:rsidRPr="004C1E4A">
        <w:t xml:space="preserve"> – az uniós jogban ellenőrzött </w:t>
      </w:r>
      <w:proofErr w:type="spellStart"/>
      <w:r w:rsidRPr="004C1E4A">
        <w:t>prekurzorok</w:t>
      </w:r>
      <w:proofErr w:type="spellEnd"/>
      <w:r w:rsidRPr="004C1E4A">
        <w:t xml:space="preserve"> – lehetséges helyettesítőiként azonosították;</w:t>
      </w:r>
    </w:p>
    <w:p w:rsidR="00EE799E" w:rsidRPr="004C1E4A" w:rsidRDefault="00EE799E" w:rsidP="00EE799E">
      <w:pPr>
        <w:pStyle w:val="ManualConsidrant"/>
        <w:ind w:left="567" w:hanging="567"/>
        <w:jc w:val="left"/>
        <w:rPr>
          <w:noProof/>
        </w:rPr>
      </w:pPr>
      <w:r w:rsidRPr="004C1E4A">
        <w:t>D.</w:t>
      </w:r>
      <w:r w:rsidRPr="004C1E4A">
        <w:tab/>
        <w:t xml:space="preserve">mivel módosítani kell a 273/2004/EK rendelet I. mellékletében és a 111/2005/EK rendelet mellékletében felsorolt, jegyzékben szereplő anyagok listáját, hogy az IMDPAM, valamint a BMK </w:t>
      </w:r>
      <w:proofErr w:type="spellStart"/>
      <w:r w:rsidRPr="004C1E4A">
        <w:t>glicidsav</w:t>
      </w:r>
      <w:proofErr w:type="spellEnd"/>
      <w:r w:rsidRPr="004C1E4A">
        <w:t xml:space="preserve"> és a PMK </w:t>
      </w:r>
      <w:proofErr w:type="spellStart"/>
      <w:r w:rsidRPr="004C1E4A">
        <w:t>glicidsav</w:t>
      </w:r>
      <w:proofErr w:type="spellEnd"/>
      <w:r w:rsidRPr="004C1E4A">
        <w:t xml:space="preserve"> azonosított észterei az említett rendeletekben előírt harmonizált ellenőrzési és felügyeleti intézkedések hatálya alá kerüljenek;</w:t>
      </w:r>
    </w:p>
    <w:p w:rsidR="00EE799E" w:rsidRPr="004C1E4A" w:rsidRDefault="00EE799E" w:rsidP="00EE799E">
      <w:pPr>
        <w:pStyle w:val="ManualConsidrant"/>
        <w:ind w:left="567" w:hanging="567"/>
        <w:jc w:val="left"/>
        <w:rPr>
          <w:noProof/>
        </w:rPr>
      </w:pPr>
      <w:r w:rsidRPr="004C1E4A">
        <w:t xml:space="preserve">E. </w:t>
      </w:r>
      <w:r w:rsidRPr="004C1E4A">
        <w:tab/>
      </w:r>
      <w:proofErr w:type="gramStart"/>
      <w:r w:rsidRPr="004C1E4A">
        <w:t>mivel</w:t>
      </w:r>
      <w:proofErr w:type="gramEnd"/>
      <w:r w:rsidRPr="004C1E4A">
        <w:t xml:space="preserve"> a 273/2004/EK és a 111/2005/EK rendeletben újonnan jegyzékbe vett anyagokhoz való hozzáférés ellenőrzésére irányuló intézkedéseknek a lehető leghamarabb hatályba kell lépniük annak érdekében, hogy meg lehessen akadályozni e kábítószer-</w:t>
      </w:r>
      <w:proofErr w:type="spellStart"/>
      <w:r w:rsidRPr="004C1E4A">
        <w:t>prekurzorok</w:t>
      </w:r>
      <w:proofErr w:type="spellEnd"/>
      <w:r w:rsidRPr="004C1E4A">
        <w:t xml:space="preserve"> tiltott kábítószerek előállítására és forgalomba hozatalára való felhasználását;</w:t>
      </w:r>
    </w:p>
    <w:p w:rsidR="00EE799E" w:rsidRPr="004C1E4A" w:rsidRDefault="00EE799E" w:rsidP="00EE799E">
      <w:pPr>
        <w:pStyle w:val="ManualConsidrant"/>
        <w:spacing w:after="240"/>
        <w:ind w:left="567" w:hanging="567"/>
        <w:jc w:val="left"/>
        <w:rPr>
          <w:spacing w:val="-2"/>
          <w:szCs w:val="24"/>
        </w:rPr>
      </w:pPr>
      <w:r w:rsidRPr="004C1E4A">
        <w:t>F.</w:t>
      </w:r>
      <w:r w:rsidRPr="004C1E4A">
        <w:tab/>
        <w:t xml:space="preserve">mivel a kábítószer-kereskedelem és a szervezett bűnözés elleni küzdelemre vonatkozó uniós ütemtervben (COM(2023)0641) az Európai Bizottság elkötelezte magát amellett, hogy a Parlamenttel és a Tanáccsal együttműködve minden erőfeszítést megtesz annak érdekében, hogy felgyorsítsa a további anyagoknak a 273/2004/EK és a 111/2005/EK rendelet szerinti jegyzékbe történő felvételére vonatkozó jövőbeli felhatalmazáson alapuló jogi </w:t>
      </w:r>
      <w:proofErr w:type="gramStart"/>
      <w:r w:rsidRPr="004C1E4A">
        <w:t>aktusok</w:t>
      </w:r>
      <w:proofErr w:type="gramEnd"/>
      <w:r w:rsidRPr="004C1E4A">
        <w:t xml:space="preserve"> elfogadási eljárását;</w:t>
      </w:r>
    </w:p>
    <w:p w:rsidR="00EE799E" w:rsidRPr="004C1E4A" w:rsidRDefault="00EE799E" w:rsidP="00EE799E">
      <w:pPr>
        <w:pStyle w:val="NormalHanging12a"/>
      </w:pPr>
      <w:r w:rsidRPr="004C1E4A">
        <w:t>1.</w:t>
      </w:r>
      <w:r w:rsidRPr="004C1E4A">
        <w:tab/>
        <w:t>kijelenti, hogy a felhatalmazáson alapuló bizottsági rendelettel szemben nem emel kifogást;</w:t>
      </w:r>
    </w:p>
    <w:p w:rsidR="00EE799E" w:rsidRPr="004C1E4A" w:rsidRDefault="00EE799E" w:rsidP="00EE799E">
      <w:r w:rsidRPr="004C1E4A">
        <w:t>2.</w:t>
      </w:r>
      <w:r w:rsidRPr="004C1E4A">
        <w:tab/>
        <w:t>utasítja elnökét, hogy továbbítsa ezt a határozatot a Tanácsnak és a Bizottságnak.</w:t>
      </w:r>
    </w:p>
    <w:p w:rsidR="00E365E1" w:rsidRPr="004C1E4A" w:rsidRDefault="00E365E1" w:rsidP="00E3778B">
      <w:bookmarkStart w:id="7" w:name="TextBodyEnd"/>
      <w:bookmarkEnd w:id="7"/>
    </w:p>
    <w:sectPr w:rsidR="00E365E1" w:rsidRPr="004C1E4A" w:rsidSect="004C1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78B" w:rsidRPr="004C1E4A" w:rsidRDefault="00E3778B">
      <w:r w:rsidRPr="004C1E4A">
        <w:separator/>
      </w:r>
    </w:p>
  </w:endnote>
  <w:endnote w:type="continuationSeparator" w:id="0">
    <w:p w:rsidR="00E3778B" w:rsidRPr="004C1E4A" w:rsidRDefault="00E3778B">
      <w:r w:rsidRPr="004C1E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E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E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E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78B" w:rsidRPr="004C1E4A" w:rsidRDefault="00E3778B">
      <w:r w:rsidRPr="004C1E4A">
        <w:separator/>
      </w:r>
    </w:p>
  </w:footnote>
  <w:footnote w:type="continuationSeparator" w:id="0">
    <w:p w:rsidR="00E3778B" w:rsidRPr="004C1E4A" w:rsidRDefault="00E3778B">
      <w:r w:rsidRPr="004C1E4A">
        <w:continuationSeparator/>
      </w:r>
    </w:p>
  </w:footnote>
  <w:footnote w:id="1">
    <w:p w:rsidR="00EE799E" w:rsidRPr="004C1E4A" w:rsidRDefault="00EE799E" w:rsidP="004C1E4A">
      <w:pPr>
        <w:pStyle w:val="FootnoteText"/>
        <w:ind w:left="567" w:hanging="567"/>
        <w:rPr>
          <w:sz w:val="24"/>
          <w:lang w:val="hu-HU"/>
        </w:rPr>
      </w:pPr>
      <w:r w:rsidRPr="004C1E4A">
        <w:rPr>
          <w:rStyle w:val="FootnoteReference"/>
          <w:sz w:val="24"/>
          <w:lang w:val="hu-HU"/>
        </w:rPr>
        <w:footnoteRef/>
      </w:r>
      <w:r w:rsidR="004C1E4A" w:rsidRPr="004C1E4A">
        <w:rPr>
          <w:sz w:val="24"/>
          <w:lang w:val="hu-HU"/>
        </w:rPr>
        <w:t xml:space="preserve"> </w:t>
      </w:r>
      <w:r w:rsidR="004C1E4A" w:rsidRPr="004C1E4A">
        <w:rPr>
          <w:sz w:val="24"/>
          <w:lang w:val="hu-HU"/>
        </w:rPr>
        <w:tab/>
      </w:r>
      <w:r w:rsidRPr="004C1E4A">
        <w:rPr>
          <w:sz w:val="24"/>
          <w:lang w:val="hu-HU"/>
        </w:rPr>
        <w:t>HL L 47., 2004.2.18</w:t>
      </w:r>
      <w:proofErr w:type="gramStart"/>
      <w:r w:rsidRPr="004C1E4A">
        <w:rPr>
          <w:sz w:val="24"/>
          <w:lang w:val="hu-HU"/>
        </w:rPr>
        <w:t>.,</w:t>
      </w:r>
      <w:proofErr w:type="gramEnd"/>
      <w:r w:rsidRPr="004C1E4A">
        <w:rPr>
          <w:sz w:val="24"/>
          <w:lang w:val="hu-HU"/>
        </w:rPr>
        <w:t xml:space="preserve"> 1. o.</w:t>
      </w:r>
    </w:p>
  </w:footnote>
  <w:footnote w:id="2">
    <w:p w:rsidR="00EE799E" w:rsidRPr="004C1E4A" w:rsidRDefault="00EE799E" w:rsidP="004C1E4A">
      <w:pPr>
        <w:pStyle w:val="FootnoteText"/>
        <w:ind w:left="567" w:hanging="567"/>
        <w:rPr>
          <w:sz w:val="24"/>
          <w:lang w:val="hu-HU"/>
        </w:rPr>
      </w:pPr>
      <w:r w:rsidRPr="004C1E4A">
        <w:rPr>
          <w:rStyle w:val="FootnoteReference"/>
          <w:sz w:val="24"/>
          <w:lang w:val="hu-HU"/>
        </w:rPr>
        <w:footnoteRef/>
      </w:r>
      <w:r w:rsidR="004C1E4A" w:rsidRPr="004C1E4A">
        <w:rPr>
          <w:sz w:val="24"/>
          <w:lang w:val="hu-HU"/>
        </w:rPr>
        <w:t xml:space="preserve"> </w:t>
      </w:r>
      <w:r w:rsidR="004C1E4A" w:rsidRPr="004C1E4A">
        <w:rPr>
          <w:sz w:val="24"/>
          <w:lang w:val="hu-HU"/>
        </w:rPr>
        <w:tab/>
      </w:r>
      <w:r w:rsidRPr="004C1E4A">
        <w:rPr>
          <w:sz w:val="24"/>
          <w:lang w:val="hu-HU"/>
        </w:rPr>
        <w:t>HL L 22</w:t>
      </w:r>
      <w:proofErr w:type="gramStart"/>
      <w:r w:rsidRPr="004C1E4A">
        <w:rPr>
          <w:sz w:val="24"/>
          <w:lang w:val="hu-HU"/>
        </w:rPr>
        <w:t>.,</w:t>
      </w:r>
      <w:proofErr w:type="gramEnd"/>
      <w:r w:rsidRPr="004C1E4A">
        <w:rPr>
          <w:sz w:val="24"/>
          <w:lang w:val="hu-HU"/>
        </w:rPr>
        <w:t xml:space="preserve"> 2005.1.26., 1.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E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E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1E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13/2024"/>
    <w:docVar w:name="dvlangue" w:val="HU"/>
    <w:docVar w:name="dvnumam" w:val="0"/>
    <w:docVar w:name="dvpe" w:val="760.991"/>
    <w:docVar w:name="dvtitre" w:val="Az Európai Parlament 2024.  ...-i állásfoglalása a 273/2004/EK európai parlamenti és tanácsi rendeletet és a 111/2005/EK tanácsi rendeletet az izopropilidén-(2-(3,4-metiléndioxi-fenil)acetil)malonátnak (IMDPAM) és egyéb anyagoknak a jegyzékben szereplő anyagok listájára való felvétele tekintetében módosító 2024. február 28-i felhatalmazáson alapuló bizottsági rendelettel szembeni kifogás mellőzésére(C(2024)01219 - 2024/2606(DEA))"/>
  </w:docVars>
  <w:rsids>
    <w:rsidRoot w:val="00E3778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E4A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6AA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866"/>
    <w:rsid w:val="00CC2357"/>
    <w:rsid w:val="00CF071A"/>
    <w:rsid w:val="00D058B8"/>
    <w:rsid w:val="00D56C11"/>
    <w:rsid w:val="00D834A0"/>
    <w:rsid w:val="00D872DF"/>
    <w:rsid w:val="00D91E21"/>
    <w:rsid w:val="00DA7FCD"/>
    <w:rsid w:val="00E13819"/>
    <w:rsid w:val="00E365E1"/>
    <w:rsid w:val="00E3778B"/>
    <w:rsid w:val="00E820A4"/>
    <w:rsid w:val="00EB006A"/>
    <w:rsid w:val="00EB4772"/>
    <w:rsid w:val="00ED169E"/>
    <w:rsid w:val="00ED4235"/>
    <w:rsid w:val="00EE799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F741DB"/>
  <w15:chartTrackingRefBased/>
  <w15:docId w15:val="{83B13BB5-E32A-4372-938B-EE0A17C74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799E"/>
    <w:pPr>
      <w:spacing w:before="480" w:after="240"/>
    </w:pPr>
  </w:style>
  <w:style w:type="paragraph" w:customStyle="1" w:styleId="NormalHanging12a">
    <w:name w:val="NormalHanging12a"/>
    <w:basedOn w:val="Normal"/>
    <w:rsid w:val="00EE799E"/>
    <w:pPr>
      <w:spacing w:after="240"/>
      <w:ind w:left="567" w:hanging="567"/>
    </w:pPr>
  </w:style>
  <w:style w:type="paragraph" w:customStyle="1" w:styleId="ManualConsidrant">
    <w:name w:val="Manual Considérant"/>
    <w:basedOn w:val="Normal"/>
    <w:rsid w:val="00EE799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AC399-8CF1-48EE-8F1D-D647936F6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P9_TA(2024)0000</vt:lpstr>
      <vt:lpstr>    Felhatalmazáson alapuló jogi aktussal szembeni kifogás mellőzése: az izopropilid</vt:lpstr>
      <vt:lpstr>        Az Európai Parlament határozata a 273/2004/EK európai parlamenti és tanácsi rend</vt:lpstr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2024-04-24T12:44:00Z</dcterms:created>
  <dcterms:modified xsi:type="dcterms:W3CDTF">2024-04-24T12:44:00Z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P9_TA-PROV(2024)0000_B9-0213_2024_HU_net_</vt:lpwstr>
  </property>
  <property fmtid="{D5CDD505-2E9C-101B-9397-08002B2CF9AE}" pid="4" name="&lt;Type&gt;">
    <vt:lpwstr>RR</vt:lpwstr>
  </property>
</Properties>
</file>