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91AC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91ACF" w:rsidRDefault="00F8522B" w:rsidP="0010095E">
            <w:pPr>
              <w:pStyle w:val="EPName"/>
            </w:pPr>
            <w:bookmarkStart w:id="0" w:name="_GoBack"/>
            <w:bookmarkEnd w:id="0"/>
            <w:r w:rsidRPr="00091ACF">
              <w:t>Parlamento europeo</w:t>
            </w:r>
          </w:p>
          <w:p w:rsidR="00751A4A" w:rsidRPr="00091AC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91AC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91ACF" w:rsidRDefault="00187494" w:rsidP="0010095E">
            <w:pPr>
              <w:pStyle w:val="EPLogo"/>
            </w:pPr>
            <w:r w:rsidRPr="00091AC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91ACF" w:rsidRDefault="00D058B8" w:rsidP="004C5D52">
      <w:pPr>
        <w:pStyle w:val="LineTop"/>
      </w:pPr>
    </w:p>
    <w:p w:rsidR="00680577" w:rsidRPr="00091ACF" w:rsidRDefault="00F8522B" w:rsidP="00680577">
      <w:pPr>
        <w:pStyle w:val="EPBodyTA1"/>
      </w:pPr>
      <w:r w:rsidRPr="00091ACF">
        <w:t>TESTI APPROVATI</w:t>
      </w:r>
    </w:p>
    <w:p w:rsidR="00D058B8" w:rsidRPr="00091ACF" w:rsidRDefault="00D058B8" w:rsidP="00D058B8">
      <w:pPr>
        <w:pStyle w:val="LineBottom"/>
      </w:pPr>
    </w:p>
    <w:p w:rsidR="00F8522B" w:rsidRPr="00091ACF" w:rsidRDefault="00F8522B" w:rsidP="00F8522B">
      <w:pPr>
        <w:pStyle w:val="ATHeading1"/>
      </w:pPr>
      <w:bookmarkStart w:id="1" w:name="TANumber"/>
      <w:r w:rsidRPr="00091ACF">
        <w:t>P9_</w:t>
      </w:r>
      <w:proofErr w:type="gramStart"/>
      <w:r w:rsidRPr="00091ACF">
        <w:t>TA(</w:t>
      </w:r>
      <w:proofErr w:type="gramEnd"/>
      <w:r w:rsidRPr="00091ACF">
        <w:t>2024)0</w:t>
      </w:r>
      <w:r w:rsidR="00376510" w:rsidRPr="00091ACF">
        <w:t>314</w:t>
      </w:r>
      <w:bookmarkEnd w:id="1"/>
    </w:p>
    <w:p w:rsidR="00F8522B" w:rsidRPr="00091ACF" w:rsidRDefault="0079143F" w:rsidP="00F8522B">
      <w:pPr>
        <w:pStyle w:val="ATHeading2"/>
      </w:pPr>
      <w:bookmarkStart w:id="2" w:name="title"/>
      <w:r w:rsidRPr="00091ACF">
        <w:t xml:space="preserve">Decisione di non sollevare obiezioni a un atto delegato: </w:t>
      </w:r>
      <w:r w:rsidR="00091ACF" w:rsidRPr="00091ACF">
        <w:t>i</w:t>
      </w:r>
      <w:r w:rsidRPr="00091ACF">
        <w:t xml:space="preserve">nclusione del precursore di droghe </w:t>
      </w:r>
      <w:proofErr w:type="spellStart"/>
      <w:r w:rsidRPr="00091ACF">
        <w:t>isopropilidene</w:t>
      </w:r>
      <w:proofErr w:type="spellEnd"/>
      <w:r w:rsidRPr="00091ACF">
        <w:t xml:space="preserve"> (2 (3,4 </w:t>
      </w:r>
      <w:proofErr w:type="spellStart"/>
      <w:proofErr w:type="gramStart"/>
      <w:r w:rsidRPr="00091ACF">
        <w:t>metilenediossifenil</w:t>
      </w:r>
      <w:proofErr w:type="spellEnd"/>
      <w:r w:rsidRPr="00091ACF">
        <w:t>)</w:t>
      </w:r>
      <w:proofErr w:type="spellStart"/>
      <w:r w:rsidRPr="00091ACF">
        <w:t>acetil</w:t>
      </w:r>
      <w:proofErr w:type="spellEnd"/>
      <w:proofErr w:type="gramEnd"/>
      <w:r w:rsidRPr="00091ACF">
        <w:t>)malonato (IMDPAM) e di altre sostanze nell'elenco delle sostanze classificate</w:t>
      </w:r>
      <w:bookmarkEnd w:id="2"/>
    </w:p>
    <w:p w:rsidR="00F8522B" w:rsidRPr="00091ACF" w:rsidRDefault="00F8522B" w:rsidP="00F8522B">
      <w:pPr>
        <w:rPr>
          <w:i/>
          <w:vanish/>
        </w:rPr>
      </w:pPr>
      <w:r w:rsidRPr="00091ACF">
        <w:rPr>
          <w:i/>
        </w:rPr>
        <w:fldChar w:fldCharType="begin"/>
      </w:r>
      <w:r w:rsidRPr="00091ACF">
        <w:rPr>
          <w:i/>
        </w:rPr>
        <w:instrText xml:space="preserve"> TC"(</w:instrText>
      </w:r>
      <w:bookmarkStart w:id="3" w:name="DocNumber"/>
      <w:r w:rsidRPr="00091ACF">
        <w:rPr>
          <w:i/>
        </w:rPr>
        <w:instrText>B9-0213/2024</w:instrText>
      </w:r>
      <w:bookmarkEnd w:id="3"/>
      <w:r w:rsidRPr="00091ACF">
        <w:rPr>
          <w:i/>
        </w:rPr>
        <w:instrText xml:space="preserve">)"\l3 \n&gt; \* MERGEFORMAT </w:instrText>
      </w:r>
      <w:r w:rsidRPr="00091ACF">
        <w:rPr>
          <w:i/>
        </w:rPr>
        <w:fldChar w:fldCharType="end"/>
      </w:r>
    </w:p>
    <w:p w:rsidR="00F8522B" w:rsidRPr="00091ACF" w:rsidRDefault="00F8522B" w:rsidP="00F8522B">
      <w:pPr>
        <w:rPr>
          <w:vanish/>
        </w:rPr>
      </w:pPr>
      <w:bookmarkStart w:id="4" w:name="PE"/>
      <w:r w:rsidRPr="00091ACF">
        <w:rPr>
          <w:vanish/>
        </w:rPr>
        <w:t>PE760.991</w:t>
      </w:r>
      <w:bookmarkEnd w:id="4"/>
    </w:p>
    <w:p w:rsidR="00F8522B" w:rsidRPr="00091ACF" w:rsidRDefault="00091ACF" w:rsidP="00F8522B">
      <w:pPr>
        <w:pStyle w:val="ATHeading3"/>
      </w:pPr>
      <w:bookmarkStart w:id="5" w:name="Sujet"/>
      <w:r w:rsidRPr="00091ACF">
        <w:t>Decisione</w:t>
      </w:r>
      <w:r w:rsidRPr="00091ACF">
        <w:t xml:space="preserve"> </w:t>
      </w:r>
      <w:r w:rsidR="00F8522B" w:rsidRPr="00091ACF">
        <w:t xml:space="preserve">del Parlamento europeo di non sollevare obiezioni al regolamento delegato della Commissione, del 28 febbraio 2024, recante modifica del regolamento (CE) n. 273/2004 del Parlamento europeo e del Consiglio e del regolamento (CE) n. 111/2005 del Consiglio per quanto concerne l'inclusione del precursore di droghe </w:t>
      </w:r>
      <w:proofErr w:type="spellStart"/>
      <w:r w:rsidR="00F8522B" w:rsidRPr="00091ACF">
        <w:t>isopropilidene</w:t>
      </w:r>
      <w:proofErr w:type="spellEnd"/>
      <w:r w:rsidR="00F8522B" w:rsidRPr="00091ACF">
        <w:t xml:space="preserve"> (2</w:t>
      </w:r>
      <w:r w:rsidR="00F8522B" w:rsidRPr="00091ACF">
        <w:noBreakHyphen/>
        <w:t>(3,4</w:t>
      </w:r>
      <w:r w:rsidR="00F8522B" w:rsidRPr="00091ACF">
        <w:noBreakHyphen/>
      </w:r>
      <w:proofErr w:type="gramStart"/>
      <w:r w:rsidR="00F8522B" w:rsidRPr="00091ACF">
        <w:t>metilenediossifenil)</w:t>
      </w:r>
      <w:proofErr w:type="spellStart"/>
      <w:r w:rsidR="00F8522B" w:rsidRPr="00091ACF">
        <w:t>acetil</w:t>
      </w:r>
      <w:proofErr w:type="spellEnd"/>
      <w:proofErr w:type="gramEnd"/>
      <w:r w:rsidR="00F8522B" w:rsidRPr="00091ACF">
        <w:t>)malonato (IMDPAM) e di altre sostanze nell'elenco delle sostanze classificate</w:t>
      </w:r>
      <w:bookmarkEnd w:id="5"/>
      <w:r w:rsidR="00F8522B" w:rsidRPr="00091ACF">
        <w:t xml:space="preserve"> </w:t>
      </w:r>
      <w:bookmarkStart w:id="6" w:name="References"/>
      <w:r w:rsidR="00F8522B" w:rsidRPr="00091ACF">
        <w:t>(C(2024)01219 - 2024/2606(DEA))</w:t>
      </w:r>
      <w:bookmarkEnd w:id="6"/>
    </w:p>
    <w:p w:rsidR="00BC274A" w:rsidRPr="00091ACF" w:rsidRDefault="00BC274A" w:rsidP="00BC274A">
      <w:pPr>
        <w:pStyle w:val="EPComma"/>
      </w:pPr>
      <w:bookmarkStart w:id="7" w:name="TextBodyBegin"/>
      <w:bookmarkEnd w:id="7"/>
      <w:r w:rsidRPr="00091ACF">
        <w:rPr>
          <w:i/>
        </w:rPr>
        <w:t>Il Parlamento europeo</w:t>
      </w:r>
      <w:r w:rsidRPr="00091ACF">
        <w:t>,</w:t>
      </w:r>
    </w:p>
    <w:p w:rsidR="00BC274A" w:rsidRPr="00091ACF" w:rsidRDefault="00BC274A" w:rsidP="00BC274A">
      <w:pPr>
        <w:pStyle w:val="NormalHanging12a"/>
      </w:pPr>
      <w:r w:rsidRPr="00091ACF">
        <w:t>–</w:t>
      </w:r>
      <w:r w:rsidRPr="00091ACF">
        <w:tab/>
        <w:t>visto il regolamento delegato della Commissione (</w:t>
      </w:r>
      <w:proofErr w:type="gramStart"/>
      <w:r w:rsidRPr="00091ACF">
        <w:t>C(</w:t>
      </w:r>
      <w:proofErr w:type="gramEnd"/>
      <w:r w:rsidRPr="00091ACF">
        <w:t>2024)01219),</w:t>
      </w:r>
    </w:p>
    <w:p w:rsidR="00BC274A" w:rsidRPr="00091ACF" w:rsidRDefault="00BC274A" w:rsidP="00BC274A">
      <w:pPr>
        <w:pStyle w:val="NormalHanging12a"/>
        <w:rPr>
          <w:spacing w:val="-2"/>
          <w:szCs w:val="24"/>
        </w:rPr>
      </w:pPr>
      <w:r w:rsidRPr="00091ACF">
        <w:t>–</w:t>
      </w:r>
      <w:r w:rsidRPr="00091ACF">
        <w:tab/>
        <w:t>vista la lettera in data 13 marzo 2024 della Commissione con cui quest'ultima chiede al Parlamento di dichiarare che non solleverà obiezioni al regolamento delegato,</w:t>
      </w:r>
    </w:p>
    <w:p w:rsidR="00BC274A" w:rsidRPr="00091ACF" w:rsidRDefault="00BC274A" w:rsidP="00BC274A">
      <w:pPr>
        <w:pStyle w:val="NormalHanging12a"/>
      </w:pPr>
      <w:r w:rsidRPr="00091ACF">
        <w:t>–</w:t>
      </w:r>
      <w:r w:rsidRPr="00091ACF">
        <w:tab/>
        <w:t>vista la lettera della commissione per le libertà civili, la giustizia e gli affari interni al presidente della Conferenza dei presidenti di commissione,</w:t>
      </w:r>
    </w:p>
    <w:p w:rsidR="00BC274A" w:rsidRPr="00091ACF" w:rsidRDefault="00BC274A" w:rsidP="00BC274A">
      <w:pPr>
        <w:pStyle w:val="NormalHanging12a"/>
      </w:pPr>
      <w:r w:rsidRPr="00091ACF">
        <w:t>–</w:t>
      </w:r>
      <w:r w:rsidRPr="00091ACF">
        <w:tab/>
        <w:t>visto l'articolo 290 del trattato sul funzionamento dell'Unione europea,</w:t>
      </w:r>
    </w:p>
    <w:p w:rsidR="00BC274A" w:rsidRPr="00091ACF" w:rsidRDefault="00BC274A" w:rsidP="00BC274A">
      <w:pPr>
        <w:pStyle w:val="NormalHanging12a"/>
      </w:pPr>
      <w:r w:rsidRPr="00091ACF">
        <w:t>–</w:t>
      </w:r>
      <w:r w:rsidRPr="00091ACF">
        <w:tab/>
        <w:t>visto il regolamento (CE) n. 273/2004 del Parlamento europeo e del Consiglio, dell'11 febbraio 2004, relativo ai precursori di droghe</w:t>
      </w:r>
      <w:r w:rsidRPr="00091ACF">
        <w:rPr>
          <w:rStyle w:val="FootnoteReference"/>
          <w:szCs w:val="24"/>
        </w:rPr>
        <w:footnoteReference w:id="1"/>
      </w:r>
      <w:r w:rsidRPr="00091ACF">
        <w:t>, in particolare l'articolo 15 e l'articolo 15 bis, paragrafo 5,</w:t>
      </w:r>
    </w:p>
    <w:p w:rsidR="00BC274A" w:rsidRPr="00091ACF" w:rsidRDefault="00BC274A" w:rsidP="00BC274A">
      <w:pPr>
        <w:pStyle w:val="NormalHanging12a"/>
      </w:pPr>
      <w:r w:rsidRPr="00091ACF">
        <w:t>–</w:t>
      </w:r>
      <w:r w:rsidRPr="00091ACF">
        <w:tab/>
        <w:t>visto il regolamento (CE) n. 111/2005 del Consiglio, del 22 dicembre 2004, recante norme per il controllo del commercio dei precursori di droghe tra l'Unione e i paesi terzi</w:t>
      </w:r>
      <w:r w:rsidRPr="00091ACF">
        <w:rPr>
          <w:rStyle w:val="FootnoteReference"/>
        </w:rPr>
        <w:footnoteReference w:id="2"/>
      </w:r>
      <w:r w:rsidRPr="00091ACF">
        <w:t>, in particolare l'articolo 30 bis e l'articolo 30 ter, paragrafo 5,</w:t>
      </w:r>
    </w:p>
    <w:p w:rsidR="00BC274A" w:rsidRPr="00091ACF" w:rsidRDefault="00BC274A" w:rsidP="00BC274A">
      <w:pPr>
        <w:pStyle w:val="NormalHanging12a"/>
      </w:pPr>
      <w:r w:rsidRPr="00091ACF">
        <w:t>–</w:t>
      </w:r>
      <w:r w:rsidRPr="00091ACF">
        <w:tab/>
        <w:t>visto l'articolo 111, paragrafo 6, del suo regolamento,</w:t>
      </w:r>
    </w:p>
    <w:p w:rsidR="00BC274A" w:rsidRPr="00091ACF" w:rsidRDefault="00BC274A" w:rsidP="00BC274A">
      <w:pPr>
        <w:pStyle w:val="NormalHanging12a"/>
      </w:pPr>
      <w:r w:rsidRPr="00091ACF">
        <w:lastRenderedPageBreak/>
        <w:t>–</w:t>
      </w:r>
      <w:r w:rsidRPr="00091ACF">
        <w:tab/>
        <w:t>vista la raccomandazione di decisione della commissione per le libertà civili, la giustizia e gli affari interni,</w:t>
      </w:r>
    </w:p>
    <w:p w:rsidR="00376510" w:rsidRPr="00091ACF" w:rsidRDefault="00376510" w:rsidP="00BC274A">
      <w:pPr>
        <w:pStyle w:val="NormalHanging12a"/>
      </w:pPr>
      <w:r w:rsidRPr="00091ACF">
        <w:t>–</w:t>
      </w:r>
      <w:r w:rsidRPr="00091ACF">
        <w:tab/>
        <w:t>visto che non è stata sollevata alcuna obiezione nel termine previsto all'articolo 111, paragrafo 6, terzo e quarto trattino, del suo regolamento, che arrivava a scadenza il 23 aprile 2024,</w:t>
      </w:r>
    </w:p>
    <w:p w:rsidR="00BC274A" w:rsidRPr="00091ACF" w:rsidRDefault="00BC274A" w:rsidP="00BC274A">
      <w:pPr>
        <w:pStyle w:val="NormalHanging12a"/>
      </w:pPr>
      <w:r w:rsidRPr="00091ACF">
        <w:t>A.</w:t>
      </w:r>
      <w:r w:rsidRPr="00091ACF">
        <w:tab/>
        <w:t>considerando che il quadro legislativo dell'UE relativo alle misure volte a controllare l'accesso alle sostanze utilizzate nella fabbricazione di droghe illecite deve essere costantemente aggiornato al fine di contrastare la proliferazione dei cosiddetti precursori "di progettazione", vale a dire sostanze chimiche affini ai tradizionali precursori di droghe, concepite per eludere le norme esistenti;</w:t>
      </w:r>
    </w:p>
    <w:p w:rsidR="00BC274A" w:rsidRPr="00091ACF" w:rsidRDefault="00BC274A" w:rsidP="00BC274A">
      <w:pPr>
        <w:pStyle w:val="ManualConsidrant"/>
        <w:ind w:left="567" w:hanging="567"/>
        <w:jc w:val="left"/>
        <w:rPr>
          <w:noProof/>
        </w:rPr>
      </w:pPr>
      <w:r w:rsidRPr="00091ACF">
        <w:t>B.</w:t>
      </w:r>
      <w:r w:rsidRPr="00091ACF">
        <w:tab/>
        <w:t xml:space="preserve">considerando che il sale sodico di </w:t>
      </w:r>
      <w:proofErr w:type="spellStart"/>
      <w:r w:rsidRPr="00091ACF">
        <w:t>isopropilidene</w:t>
      </w:r>
      <w:proofErr w:type="spellEnd"/>
      <w:r w:rsidRPr="00091ACF">
        <w:t xml:space="preserve"> (2</w:t>
      </w:r>
      <w:r w:rsidRPr="00091ACF">
        <w:noBreakHyphen/>
        <w:t>(3,4</w:t>
      </w:r>
      <w:r w:rsidRPr="00091ACF">
        <w:noBreakHyphen/>
      </w:r>
      <w:proofErr w:type="gramStart"/>
      <w:r w:rsidRPr="00091ACF">
        <w:t>metilenediossifenil)</w:t>
      </w:r>
      <w:proofErr w:type="spellStart"/>
      <w:r w:rsidRPr="00091ACF">
        <w:t>acetil</w:t>
      </w:r>
      <w:proofErr w:type="spellEnd"/>
      <w:proofErr w:type="gramEnd"/>
      <w:r w:rsidRPr="00091ACF">
        <w:t>)malonato (IMDPAM) è stato identificato come precursore di droghe di recente creazione ed è utilizzato nella produzione di MDMA (3,4</w:t>
      </w:r>
      <w:r w:rsidRPr="00091ACF">
        <w:noBreakHyphen/>
        <w:t>metilenediossimetanfetamina), comunemente nota come "ecstasy";</w:t>
      </w:r>
    </w:p>
    <w:p w:rsidR="00BC274A" w:rsidRPr="00091ACF" w:rsidRDefault="00BC274A" w:rsidP="00BC274A">
      <w:pPr>
        <w:pStyle w:val="ManualConsidrant"/>
        <w:ind w:left="567" w:hanging="567"/>
        <w:jc w:val="left"/>
        <w:rPr>
          <w:noProof/>
        </w:rPr>
      </w:pPr>
      <w:r w:rsidRPr="00091ACF">
        <w:t>C.</w:t>
      </w:r>
      <w:r w:rsidRPr="00091ACF">
        <w:tab/>
        <w:t>considerando che sette esteri dell'acido 2</w:t>
      </w:r>
      <w:r w:rsidRPr="00091ACF">
        <w:noBreakHyphen/>
        <w:t>metil</w:t>
      </w:r>
      <w:r w:rsidRPr="00091ACF">
        <w:noBreakHyphen/>
        <w:t>3</w:t>
      </w:r>
      <w:r w:rsidRPr="00091ACF">
        <w:noBreakHyphen/>
        <w:t>fenilossiran</w:t>
      </w:r>
      <w:r w:rsidRPr="00091ACF">
        <w:noBreakHyphen/>
        <w:t>2</w:t>
      </w:r>
      <w:r w:rsidRPr="00091ACF">
        <w:noBreakHyphen/>
        <w:t>carbossilico (acido BMK glicidico) e sei esteri dell'acido 3</w:t>
      </w:r>
      <w:r w:rsidRPr="00091ACF">
        <w:noBreakHyphen/>
        <w:t>(1,3</w:t>
      </w:r>
      <w:r w:rsidRPr="00091ACF">
        <w:noBreakHyphen/>
        <w:t>benzodiossol</w:t>
      </w:r>
      <w:r w:rsidRPr="00091ACF">
        <w:noBreakHyphen/>
        <w:t>5</w:t>
      </w:r>
      <w:r w:rsidRPr="00091ACF">
        <w:noBreakHyphen/>
      </w:r>
      <w:proofErr w:type="gramStart"/>
      <w:r w:rsidRPr="00091ACF">
        <w:t>il)</w:t>
      </w:r>
      <w:r w:rsidRPr="00091ACF">
        <w:noBreakHyphen/>
      </w:r>
      <w:proofErr w:type="gramEnd"/>
      <w:r w:rsidRPr="00091ACF">
        <w:t>2</w:t>
      </w:r>
      <w:r w:rsidRPr="00091ACF">
        <w:noBreakHyphen/>
        <w:t>metilossiran</w:t>
      </w:r>
      <w:r w:rsidRPr="00091ACF">
        <w:noBreakHyphen/>
        <w:t>2</w:t>
      </w:r>
      <w:r w:rsidRPr="00091ACF">
        <w:noBreakHyphen/>
        <w:t>carbossilico (acido PMK glicidico) sono stati identificati come possibili sostituti dell'acido BMK glicidico e dell'acido PMK glicidico – entrambi precursori classificati a norma del diritto dell'UE – nella produzione di droghe illecite come l'MDMA, la metamfetamina e l'amfetamina;</w:t>
      </w:r>
    </w:p>
    <w:p w:rsidR="00BC274A" w:rsidRPr="00091ACF" w:rsidRDefault="00BC274A" w:rsidP="00BC274A">
      <w:pPr>
        <w:pStyle w:val="ManualConsidrant"/>
        <w:ind w:left="567" w:hanging="567"/>
        <w:jc w:val="left"/>
        <w:rPr>
          <w:noProof/>
        </w:rPr>
      </w:pPr>
      <w:r w:rsidRPr="00091ACF">
        <w:t>D.</w:t>
      </w:r>
      <w:r w:rsidRPr="00091ACF">
        <w:tab/>
        <w:t>considerando che è necessario modificare l'elenco delle sostanze classificate di cui all'allegato I del regolamento (CE) n. 273/2004 e all'allegato del regolamento (CE) n. 111/2005 affinché l'IMDPAM e gli esteri identificati dell'acido BMK glicidico e dell'acido PMK glicidico siano soggetti alle misure armonizzate di controllo e monitoraggio previste da tali regolamenti;</w:t>
      </w:r>
    </w:p>
    <w:p w:rsidR="00BC274A" w:rsidRPr="00091ACF" w:rsidRDefault="00BC274A" w:rsidP="00BC274A">
      <w:pPr>
        <w:pStyle w:val="ManualConsidrant"/>
        <w:ind w:left="567" w:hanging="567"/>
        <w:jc w:val="left"/>
        <w:rPr>
          <w:noProof/>
        </w:rPr>
      </w:pPr>
      <w:r w:rsidRPr="00091ACF">
        <w:t xml:space="preserve">E. </w:t>
      </w:r>
      <w:r w:rsidRPr="00091ACF">
        <w:tab/>
        <w:t>considerando che le misure volte a controllare l'accesso alle sostanze recentemente classificate a norma dei regolamenti (CE) n. 273/2004 e (CE) n. 111/2005 dovrebbero entrare in vigore quanto prima per impedire che tali precursori di droghe siano utilizzati ai fini della produzione e dell'immissione sul mercato di droghe illecite;</w:t>
      </w:r>
    </w:p>
    <w:p w:rsidR="00BC274A" w:rsidRPr="00091ACF" w:rsidRDefault="00BC274A" w:rsidP="00BC274A">
      <w:pPr>
        <w:pStyle w:val="ManualConsidrant"/>
        <w:spacing w:after="240"/>
        <w:ind w:left="567" w:hanging="567"/>
        <w:jc w:val="left"/>
        <w:rPr>
          <w:spacing w:val="-2"/>
          <w:szCs w:val="24"/>
        </w:rPr>
      </w:pPr>
      <w:r w:rsidRPr="00091ACF">
        <w:t>F.</w:t>
      </w:r>
      <w:r w:rsidRPr="00091ACF">
        <w:tab/>
        <w:t>considerando che, nella tabella di marcia dell'UE per contrastare il traffico di droga e la criminalità organizzata (</w:t>
      </w:r>
      <w:proofErr w:type="gramStart"/>
      <w:r w:rsidRPr="00091ACF">
        <w:t>COM(</w:t>
      </w:r>
      <w:proofErr w:type="gramEnd"/>
      <w:r w:rsidRPr="00091ACF">
        <w:t>2023)0641), la Commissione europea si è impegnata a fare il possibile, collaborando con il Parlamento e il Consiglio, onde accelerare la procedura di adozione di futuri atti delegati che prevedono la classificazione di sostanze aggiuntive a norma dei regolamenti (CE) n. 273/2004 e (CE) n. 111/2005;</w:t>
      </w:r>
    </w:p>
    <w:p w:rsidR="00BC274A" w:rsidRPr="00091ACF" w:rsidRDefault="00BC274A" w:rsidP="00BC274A">
      <w:pPr>
        <w:pStyle w:val="NormalHanging12a"/>
      </w:pPr>
      <w:r w:rsidRPr="00091ACF">
        <w:t>1.</w:t>
      </w:r>
      <w:r w:rsidRPr="00091ACF">
        <w:tab/>
        <w:t>dichiara di non sollevare obiezioni al regolamento delegato;</w:t>
      </w:r>
    </w:p>
    <w:p w:rsidR="00D36246" w:rsidRPr="00091ACF" w:rsidRDefault="00BC274A" w:rsidP="00D36246">
      <w:pPr>
        <w:pStyle w:val="NormalHanging12a"/>
      </w:pPr>
      <w:r w:rsidRPr="00091ACF">
        <w:t>2.</w:t>
      </w:r>
      <w:r w:rsidRPr="00091ACF">
        <w:tab/>
        <w:t xml:space="preserve">incarica la sua Presidente di trasmettere la presente decisione al Consiglio </w:t>
      </w:r>
      <w:r w:rsidR="00C06C5F" w:rsidRPr="00091ACF">
        <w:t>e alla Commissione.</w:t>
      </w:r>
    </w:p>
    <w:p w:rsidR="00E365E1" w:rsidRPr="00091ACF" w:rsidRDefault="00E365E1" w:rsidP="00F8522B"/>
    <w:sectPr w:rsidR="00E365E1" w:rsidRPr="00091ACF" w:rsidSect="00C06C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22B" w:rsidRPr="00C06C5F" w:rsidRDefault="00F8522B">
      <w:r w:rsidRPr="00C06C5F">
        <w:separator/>
      </w:r>
    </w:p>
  </w:endnote>
  <w:endnote w:type="continuationSeparator" w:id="0">
    <w:p w:rsidR="00F8522B" w:rsidRPr="00C06C5F" w:rsidRDefault="00F8522B">
      <w:r w:rsidRPr="00C06C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6C5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6C5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6C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22B" w:rsidRPr="00C06C5F" w:rsidRDefault="00F8522B">
      <w:r w:rsidRPr="00C06C5F">
        <w:separator/>
      </w:r>
    </w:p>
  </w:footnote>
  <w:footnote w:type="continuationSeparator" w:id="0">
    <w:p w:rsidR="00F8522B" w:rsidRPr="00C06C5F" w:rsidRDefault="00F8522B">
      <w:r w:rsidRPr="00C06C5F">
        <w:continuationSeparator/>
      </w:r>
    </w:p>
  </w:footnote>
  <w:footnote w:id="1">
    <w:p w:rsidR="00BC274A" w:rsidRPr="00C06C5F" w:rsidRDefault="00BC274A" w:rsidP="00C06C5F">
      <w:pPr>
        <w:pStyle w:val="FootnoteText"/>
        <w:ind w:left="567" w:hanging="567"/>
        <w:rPr>
          <w:sz w:val="24"/>
          <w:lang w:val="it-IT"/>
        </w:rPr>
      </w:pPr>
      <w:r w:rsidRPr="00C06C5F">
        <w:rPr>
          <w:rStyle w:val="FootnoteReference"/>
          <w:sz w:val="24"/>
          <w:lang w:val="it-IT"/>
        </w:rPr>
        <w:footnoteRef/>
      </w:r>
      <w:r w:rsidR="00C06C5F" w:rsidRPr="00C06C5F">
        <w:rPr>
          <w:sz w:val="24"/>
          <w:lang w:val="it-IT"/>
        </w:rPr>
        <w:t xml:space="preserve"> </w:t>
      </w:r>
      <w:r w:rsidR="00C06C5F" w:rsidRPr="00C06C5F">
        <w:rPr>
          <w:sz w:val="24"/>
          <w:lang w:val="it-IT"/>
        </w:rPr>
        <w:tab/>
      </w:r>
      <w:r w:rsidRPr="00C06C5F">
        <w:rPr>
          <w:sz w:val="24"/>
          <w:lang w:val="it-IT"/>
        </w:rPr>
        <w:t>GU L 47 del 18.2.2004, pag. 1.</w:t>
      </w:r>
    </w:p>
  </w:footnote>
  <w:footnote w:id="2">
    <w:p w:rsidR="00BC274A" w:rsidRPr="00C06C5F" w:rsidRDefault="00BC274A" w:rsidP="00C06C5F">
      <w:pPr>
        <w:pStyle w:val="FootnoteText"/>
        <w:ind w:left="567" w:hanging="567"/>
        <w:rPr>
          <w:sz w:val="24"/>
          <w:lang w:val="it-IT"/>
        </w:rPr>
      </w:pPr>
      <w:r w:rsidRPr="00C06C5F">
        <w:rPr>
          <w:rStyle w:val="FootnoteReference"/>
          <w:sz w:val="24"/>
          <w:lang w:val="it-IT"/>
        </w:rPr>
        <w:footnoteRef/>
      </w:r>
      <w:r w:rsidR="00C06C5F" w:rsidRPr="00C06C5F">
        <w:rPr>
          <w:sz w:val="24"/>
          <w:lang w:val="it-IT"/>
        </w:rPr>
        <w:t xml:space="preserve"> </w:t>
      </w:r>
      <w:r w:rsidR="00C06C5F" w:rsidRPr="00C06C5F">
        <w:rPr>
          <w:sz w:val="24"/>
          <w:lang w:val="it-IT"/>
        </w:rPr>
        <w:tab/>
      </w:r>
      <w:r w:rsidRPr="00C06C5F">
        <w:rPr>
          <w:sz w:val="24"/>
          <w:lang w:val="it-IT"/>
        </w:rPr>
        <w:t>GU L 22 del 26.1.2005, pag.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6C5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6C5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6C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13/2024"/>
    <w:docVar w:name="dvlangue" w:val="IT"/>
    <w:docVar w:name="dvnumam" w:val="0"/>
    <w:docVar w:name="dvpe" w:val="760.991"/>
    <w:docVar w:name="dvtitre" w:val="Risoluzione del Parlamento europeo del xx aprile 2024 di non sollevare obiezioni al regolamento delegato della Commissione, del 28 febbraio 2024, recante modifica del regolamento (CE) n. 273/2004 del Parlamento europeo e del Consiglio e del regolamento (CE) n. 111/2005 del Consiglio per quanto concerne l'inclusione del precursore di droghe isopropilidene (2_x001e_(3,4_x001e_metilenediossifenil)acetil)malonato (IMDPAM) e di altre sostanze nell'elenco delle sostanze classificate(C(2024)01219 - 2024/2606(DEA))"/>
  </w:docVars>
  <w:rsids>
    <w:rsidRoot w:val="00F8522B"/>
    <w:rsid w:val="00002272"/>
    <w:rsid w:val="00064002"/>
    <w:rsid w:val="000677B9"/>
    <w:rsid w:val="000831BA"/>
    <w:rsid w:val="00091ACF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651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143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274A"/>
    <w:rsid w:val="00BD48FE"/>
    <w:rsid w:val="00BD7BD8"/>
    <w:rsid w:val="00BE6ADC"/>
    <w:rsid w:val="00C05BFE"/>
    <w:rsid w:val="00C06C5F"/>
    <w:rsid w:val="00C23CD4"/>
    <w:rsid w:val="00C61C0C"/>
    <w:rsid w:val="00C941CB"/>
    <w:rsid w:val="00CC2357"/>
    <w:rsid w:val="00CF071A"/>
    <w:rsid w:val="00D058B8"/>
    <w:rsid w:val="00D3624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522B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702341"/>
  <w15:chartTrackingRefBased/>
  <w15:docId w15:val="{12EE8B55-4BB3-4908-B842-19F43A6CF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C274A"/>
    <w:pPr>
      <w:spacing w:before="480" w:after="240"/>
    </w:pPr>
  </w:style>
  <w:style w:type="paragraph" w:customStyle="1" w:styleId="NormalHanging12a">
    <w:name w:val="NormalHanging12a"/>
    <w:basedOn w:val="Normal"/>
    <w:rsid w:val="00BC274A"/>
    <w:pPr>
      <w:spacing w:after="240"/>
      <w:ind w:left="567" w:hanging="567"/>
    </w:pPr>
  </w:style>
  <w:style w:type="paragraph" w:customStyle="1" w:styleId="ManualConsidrant">
    <w:name w:val="Manual Considérant"/>
    <w:basedOn w:val="Normal"/>
    <w:rsid w:val="00BC274A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4E7AA-C907-4459-9B58-7A36CC92E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ARossi-</cp:lastModifiedBy>
  <cp:revision>2</cp:revision>
  <cp:lastPrinted>2004-11-19T15:42:00Z</cp:lastPrinted>
  <dcterms:created xsi:type="dcterms:W3CDTF">2024-04-24T12:11:00Z</dcterms:created>
  <dcterms:modified xsi:type="dcterms:W3CDTF">2024-04-24T12:11:00Z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B9-0213/2024</vt:lpwstr>
  </property>
  <property fmtid="{D5CDD505-2E9C-101B-9397-08002B2CF9AE}" pid="4" name="&lt;Type&gt;">
    <vt:lpwstr>RR</vt:lpwstr>
  </property>
</Properties>
</file>