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1507" w:rsidTr="0010095E">
        <w:trPr>
          <w:trHeight w:hRule="exact" w:val="1418"/>
        </w:trPr>
        <w:tc>
          <w:tcPr>
            <w:tcW w:w="6804" w:type="dxa"/>
            <w:shd w:val="clear" w:color="auto" w:fill="auto"/>
            <w:vAlign w:val="center"/>
          </w:tcPr>
          <w:p w:rsidR="00751A4A" w:rsidRPr="00BB1507" w:rsidRDefault="00747DB6" w:rsidP="0010095E">
            <w:pPr>
              <w:pStyle w:val="EPName"/>
            </w:pPr>
            <w:r w:rsidRPr="00BB1507">
              <w:t>Europos Parlamentas</w:t>
            </w:r>
          </w:p>
          <w:p w:rsidR="00751A4A" w:rsidRPr="00BB1507" w:rsidRDefault="00817416" w:rsidP="00756632">
            <w:pPr>
              <w:pStyle w:val="EPTerm"/>
              <w:rPr>
                <w:rStyle w:val="HideTWBExt"/>
                <w:noProof w:val="0"/>
                <w:vanish w:val="0"/>
                <w:color w:val="auto"/>
              </w:rPr>
            </w:pPr>
            <w:r w:rsidRPr="00BB1507">
              <w:t>2019-2024</w:t>
            </w:r>
          </w:p>
        </w:tc>
        <w:tc>
          <w:tcPr>
            <w:tcW w:w="2268" w:type="dxa"/>
            <w:shd w:val="clear" w:color="auto" w:fill="auto"/>
          </w:tcPr>
          <w:p w:rsidR="00751A4A" w:rsidRPr="00BB1507" w:rsidRDefault="00187494" w:rsidP="0010095E">
            <w:pPr>
              <w:pStyle w:val="EPLogo"/>
            </w:pPr>
            <w:r w:rsidRPr="00BB150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1507" w:rsidRDefault="00D058B8" w:rsidP="004C5D52">
      <w:pPr>
        <w:pStyle w:val="LineTop"/>
      </w:pPr>
    </w:p>
    <w:p w:rsidR="00680577" w:rsidRPr="00BB1507" w:rsidRDefault="00747DB6" w:rsidP="00680577">
      <w:pPr>
        <w:pStyle w:val="EPBodyTA1"/>
      </w:pPr>
      <w:r w:rsidRPr="00BB1507">
        <w:t>PRIIMTI TEKSTAI</w:t>
      </w:r>
    </w:p>
    <w:p w:rsidR="00D058B8" w:rsidRPr="00BB1507" w:rsidRDefault="00D058B8" w:rsidP="00D058B8">
      <w:pPr>
        <w:pStyle w:val="LineBottom"/>
      </w:pPr>
    </w:p>
    <w:p w:rsidR="00747DB6" w:rsidRPr="00BB1507" w:rsidRDefault="00747DB6" w:rsidP="00747DB6">
      <w:pPr>
        <w:pStyle w:val="ATHeading1"/>
      </w:pPr>
      <w:bookmarkStart w:id="0" w:name="TANumber"/>
      <w:r w:rsidRPr="00BB1507">
        <w:t>P9_TA(2024)0</w:t>
      </w:r>
      <w:r w:rsidR="0069176C">
        <w:t>314</w:t>
      </w:r>
      <w:bookmarkEnd w:id="0"/>
    </w:p>
    <w:p w:rsidR="00747DB6" w:rsidRPr="00BB1507" w:rsidRDefault="00203710" w:rsidP="00747DB6">
      <w:pPr>
        <w:pStyle w:val="ATHeading2"/>
      </w:pPr>
      <w:bookmarkStart w:id="1" w:name="title"/>
      <w:r w:rsidRPr="00483AD4">
        <w:t>Neprieštaravimas deleguotajam aktui:</w:t>
      </w:r>
      <w:r>
        <w:t xml:space="preserve"> </w:t>
      </w:r>
      <w:r w:rsidR="002A78CC" w:rsidRPr="002A78CC">
        <w:t>narkotinių medžiagų pirmtako izopropilideno (2-(3,4-metilendioksifenil)acetil)malonato (IMDPAM) ir kitų medžiagų įtraukim</w:t>
      </w:r>
      <w:r w:rsidR="002A78CC">
        <w:t>as</w:t>
      </w:r>
      <w:r w:rsidR="002A78CC" w:rsidRPr="002A78CC">
        <w:t xml:space="preserve"> į oficialų medžiagų sąrašą</w:t>
      </w:r>
      <w:bookmarkEnd w:id="1"/>
    </w:p>
    <w:p w:rsidR="00747DB6" w:rsidRPr="00BB1507" w:rsidRDefault="00747DB6" w:rsidP="00747DB6">
      <w:pPr>
        <w:rPr>
          <w:i/>
          <w:vanish/>
        </w:rPr>
      </w:pPr>
      <w:r w:rsidRPr="00BB1507">
        <w:rPr>
          <w:i/>
        </w:rPr>
        <w:fldChar w:fldCharType="begin"/>
      </w:r>
      <w:r w:rsidRPr="00BB1507">
        <w:rPr>
          <w:i/>
        </w:rPr>
        <w:instrText xml:space="preserve"> TC"(</w:instrText>
      </w:r>
      <w:bookmarkStart w:id="2" w:name="DocNumber"/>
      <w:r w:rsidRPr="00BB1507">
        <w:rPr>
          <w:i/>
        </w:rPr>
        <w:instrText>B9-0213/2024</w:instrText>
      </w:r>
      <w:bookmarkEnd w:id="2"/>
      <w:r w:rsidRPr="00BB1507">
        <w:rPr>
          <w:i/>
        </w:rPr>
        <w:instrText xml:space="preserve">)"\l3 \n&gt; \* MERGEFORMAT </w:instrText>
      </w:r>
      <w:r w:rsidRPr="00BB1507">
        <w:rPr>
          <w:i/>
        </w:rPr>
        <w:fldChar w:fldCharType="end"/>
      </w:r>
    </w:p>
    <w:p w:rsidR="00747DB6" w:rsidRPr="00BB1507" w:rsidRDefault="00747DB6" w:rsidP="00747DB6">
      <w:pPr>
        <w:rPr>
          <w:vanish/>
        </w:rPr>
      </w:pPr>
      <w:bookmarkStart w:id="3" w:name="PE"/>
      <w:r w:rsidRPr="00BB1507">
        <w:rPr>
          <w:vanish/>
        </w:rPr>
        <w:t>PE760.991</w:t>
      </w:r>
      <w:bookmarkEnd w:id="3"/>
    </w:p>
    <w:p w:rsidR="00747DB6" w:rsidRPr="00BB1507" w:rsidRDefault="00747DB6" w:rsidP="00411AE3">
      <w:pPr>
        <w:pStyle w:val="ATHeading3"/>
      </w:pPr>
      <w:bookmarkStart w:id="4" w:name="Sujet"/>
      <w:r w:rsidRPr="00BB1507">
        <w:t xml:space="preserve">Europos Parlamento </w:t>
      </w:r>
      <w:r w:rsidR="00451110">
        <w:t>sprendimas</w:t>
      </w:r>
      <w:r w:rsidR="00451110" w:rsidRPr="00BB1507">
        <w:t xml:space="preserve"> </w:t>
      </w:r>
      <w:r w:rsidRPr="00BB1507">
        <w:t>neprieštarauti 2024 m. vasario 28 d. Komisijos deleguotajam reglamentui, kuriuo dėl narkotinių medžiagų pirmtako izopropilideno (2-(3,4-metilendioksifenil)acetil)malonato (IMDPAM) ir kitų medžiagų įtraukimo į oficialų medžiagų sąrašą iš dalies keičiami Europos Parlamento ir Tarybos reglamentas (EB) Nr. 273/2004 ir Tarybos reglamentas (EB) Nr. 111/2005</w:t>
      </w:r>
      <w:bookmarkEnd w:id="4"/>
      <w:r w:rsidRPr="00BB1507">
        <w:t xml:space="preserve"> </w:t>
      </w:r>
      <w:bookmarkStart w:id="5" w:name="References"/>
      <w:r w:rsidRPr="00BB1507">
        <w:t>(C(2024)01219 - 2024/2606(DEA))</w:t>
      </w:r>
      <w:bookmarkEnd w:id="5"/>
    </w:p>
    <w:p w:rsidR="004260BC" w:rsidRPr="00BB1507" w:rsidRDefault="004260BC" w:rsidP="004260BC">
      <w:pPr>
        <w:pStyle w:val="EPComma"/>
      </w:pPr>
      <w:bookmarkStart w:id="6" w:name="TextBodyBegin"/>
      <w:bookmarkEnd w:id="6"/>
      <w:r w:rsidRPr="00BB1507">
        <w:rPr>
          <w:i/>
        </w:rPr>
        <w:t>Europos Parlamentas,</w:t>
      </w:r>
    </w:p>
    <w:p w:rsidR="004260BC" w:rsidRPr="00BB1507" w:rsidRDefault="004260BC" w:rsidP="004260BC">
      <w:pPr>
        <w:pStyle w:val="NormalHanging12a"/>
      </w:pPr>
      <w:r w:rsidRPr="00BB1507">
        <w:t>–</w:t>
      </w:r>
      <w:r w:rsidRPr="00BB1507">
        <w:tab/>
        <w:t>atsižvelgdamas į Komisijos deleguotąjį reglamentą (C(2024)01219),</w:t>
      </w:r>
    </w:p>
    <w:p w:rsidR="004260BC" w:rsidRPr="00BB1507" w:rsidRDefault="004260BC" w:rsidP="004260BC">
      <w:pPr>
        <w:pStyle w:val="NormalHanging12a"/>
        <w:rPr>
          <w:spacing w:val="-2"/>
          <w:szCs w:val="24"/>
        </w:rPr>
      </w:pPr>
      <w:r w:rsidRPr="00BB1507">
        <w:t>–</w:t>
      </w:r>
      <w:r w:rsidRPr="00BB1507">
        <w:tab/>
        <w:t>atsižvelgdamas į Komisijos 2024 m. kovo 13 d. laišką, kuriame ji prašo Parlamento pareikšti, kad jis neprieštaraus deleguotajam reglamentui,</w:t>
      </w:r>
    </w:p>
    <w:p w:rsidR="004260BC" w:rsidRPr="00BB1507" w:rsidRDefault="004260BC" w:rsidP="004260BC">
      <w:pPr>
        <w:pStyle w:val="NormalHanging12a"/>
      </w:pPr>
      <w:r w:rsidRPr="00BB1507">
        <w:t>–</w:t>
      </w:r>
      <w:r w:rsidRPr="00BB1507">
        <w:tab/>
        <w:t>atsižvelgdamas į Piliečių laisvių, teisingumo ir vidaus reikalų komiteto laišką Komitetų pirmininkų sueigos pirmininkui,</w:t>
      </w:r>
    </w:p>
    <w:p w:rsidR="004260BC" w:rsidRPr="00BB1507" w:rsidRDefault="004260BC" w:rsidP="004260BC">
      <w:pPr>
        <w:pStyle w:val="NormalHanging12a"/>
      </w:pPr>
      <w:r w:rsidRPr="00BB1507">
        <w:t>–</w:t>
      </w:r>
      <w:r w:rsidRPr="00BB1507">
        <w:tab/>
        <w:t>atsižvelgdamas į Sutarties dėl Europos Sąjungos veikimo 290 straipsnį,</w:t>
      </w:r>
    </w:p>
    <w:p w:rsidR="004260BC" w:rsidRPr="00BB1507" w:rsidRDefault="004260BC" w:rsidP="004260BC">
      <w:pPr>
        <w:pStyle w:val="NormalHanging12a"/>
      </w:pPr>
      <w:r w:rsidRPr="00BB1507">
        <w:t>–</w:t>
      </w:r>
      <w:r w:rsidRPr="00BB1507">
        <w:tab/>
        <w:t>atsižvelgdamas į 2004 m. vasario 11 d. Europos Parlamento ir Tarybos reglamentą (EB) Nr. 273/2004</w:t>
      </w:r>
      <w:r w:rsidRPr="00BB1507">
        <w:rPr>
          <w:rStyle w:val="FootnoteReference"/>
          <w:szCs w:val="24"/>
        </w:rPr>
        <w:footnoteReference w:id="1"/>
      </w:r>
      <w:r w:rsidRPr="00BB1507">
        <w:t xml:space="preserve"> dėl narkotinių medžiagų pirmtakų (prekursorių), ypač į jo 15 straipsnį ir 15a straipsnio 5 dalį,</w:t>
      </w:r>
    </w:p>
    <w:p w:rsidR="004260BC" w:rsidRPr="00BB1507" w:rsidRDefault="004260BC" w:rsidP="004260BC">
      <w:pPr>
        <w:pStyle w:val="NormalHanging12a"/>
      </w:pPr>
      <w:r w:rsidRPr="00BB1507">
        <w:t>–</w:t>
      </w:r>
      <w:r w:rsidRPr="00BB1507">
        <w:tab/>
        <w:t>atsižvelgdamas į 2004 m. gruodžio 22 d. Tarybos reglamentą (EB) Nr. 111/2005</w:t>
      </w:r>
      <w:r w:rsidRPr="00BB1507">
        <w:rPr>
          <w:rStyle w:val="FootnoteReference"/>
        </w:rPr>
        <w:footnoteReference w:id="2"/>
      </w:r>
      <w:r w:rsidRPr="00BB1507">
        <w:t>, nustatantį prekybos narkotinių ir psichotropinių medžiagų pirmtakais (prekursoriais) tarp Sąjungos ir trečiųjų šalių stebėsenos taisykles, ypač į jo 30a straipsnį ir 30b straipsnio 5 dalį,</w:t>
      </w:r>
    </w:p>
    <w:p w:rsidR="004260BC" w:rsidRPr="00BB1507" w:rsidRDefault="004260BC" w:rsidP="004260BC">
      <w:pPr>
        <w:pStyle w:val="NormalHanging12a"/>
      </w:pPr>
      <w:r w:rsidRPr="00BB1507">
        <w:t>–</w:t>
      </w:r>
      <w:r w:rsidRPr="00BB1507">
        <w:tab/>
        <w:t>atsižvelgdamas į Darbo tvarkos taisyklių 111 straipsnio 6 dalį,</w:t>
      </w:r>
    </w:p>
    <w:p w:rsidR="004260BC" w:rsidRDefault="004260BC" w:rsidP="004260BC">
      <w:pPr>
        <w:pStyle w:val="NormalHanging12a"/>
      </w:pPr>
      <w:r w:rsidRPr="00BB1507">
        <w:t>–</w:t>
      </w:r>
      <w:r w:rsidRPr="00BB1507">
        <w:tab/>
        <w:t xml:space="preserve">atsižvelgdamas į Piliečių laisvių, teisingumo ir vidaus reikalų komiteto rekomendaciją </w:t>
      </w:r>
      <w:r w:rsidRPr="00BB1507">
        <w:lastRenderedPageBreak/>
        <w:t>dėl sprendimo,</w:t>
      </w:r>
    </w:p>
    <w:p w:rsidR="00462098" w:rsidRPr="00BB1507" w:rsidRDefault="00462098" w:rsidP="004260BC">
      <w:pPr>
        <w:pStyle w:val="NormalHanging12a"/>
      </w:pPr>
      <w:r w:rsidRPr="00BB1507">
        <w:t>–</w:t>
      </w:r>
      <w:r w:rsidRPr="00BB1507">
        <w:tab/>
      </w:r>
      <w:r w:rsidRPr="00462098">
        <w:t>atsižvelgdamas į tai, kad per Darbo tvarkos taisyklių 111 straipsnio 6 dalies trečioje ir ketvirtoje įtraukose nustatytą terminą, kuris pasibaigė 202</w:t>
      </w:r>
      <w:r w:rsidR="00E17B8D">
        <w:t>4</w:t>
      </w:r>
      <w:r w:rsidRPr="00462098">
        <w:t xml:space="preserve"> m. </w:t>
      </w:r>
      <w:r w:rsidR="00E17B8D">
        <w:t>balandžio</w:t>
      </w:r>
      <w:r w:rsidRPr="00462098">
        <w:t xml:space="preserve"> </w:t>
      </w:r>
      <w:r w:rsidR="00E17B8D">
        <w:t>23</w:t>
      </w:r>
      <w:r w:rsidRPr="00462098">
        <w:t xml:space="preserve"> d., nebuvo pareikšta prieštaravimų,</w:t>
      </w:r>
    </w:p>
    <w:p w:rsidR="004260BC" w:rsidRPr="00BB1507" w:rsidRDefault="004260BC" w:rsidP="004260BC">
      <w:pPr>
        <w:pStyle w:val="NormalHanging12a"/>
      </w:pPr>
      <w:r w:rsidRPr="00BB1507">
        <w:t>A.</w:t>
      </w:r>
      <w:r w:rsidRPr="00BB1507">
        <w:tab/>
        <w:t>kadangi, siekiant kovoti su narkotikų propirmtakių, kurie yra tradiciniams narkotinių ir psichotropinių medžiagų pirmtakams chemiškai artimos medžiagos ir kurie yra sukurti siekiant apeiti galiojančias taisykles, plitimu, reikia nuolat naujinti ES teisės aktų sistemą, skirtą kontroliuoti prieigą prie neteisėtų narkotikų gamyboje naudojamų medžiagų;</w:t>
      </w:r>
    </w:p>
    <w:p w:rsidR="004260BC" w:rsidRPr="00BB1507" w:rsidRDefault="004260BC" w:rsidP="004260BC">
      <w:pPr>
        <w:pStyle w:val="ManualConsidrant"/>
        <w:ind w:left="567" w:hanging="567"/>
        <w:jc w:val="left"/>
        <w:rPr>
          <w:noProof/>
        </w:rPr>
      </w:pPr>
      <w:r w:rsidRPr="00BB1507">
        <w:t>B.</w:t>
      </w:r>
      <w:r w:rsidRPr="00BB1507">
        <w:tab/>
        <w:t>kadangi nustatyta, kad izopropilideno (2-(3,4-metilendioksifenil)acetil)malonato (IMDPAM) natrio druska yra naujai sukurtas narkotinių medžiagų pirmtakas, naudojamas gaminant MDMA (3,4-metilendioksimetamfetaminą), paprastai vadinamą ekstaziu;</w:t>
      </w:r>
    </w:p>
    <w:p w:rsidR="004260BC" w:rsidRPr="00BB1507" w:rsidRDefault="004260BC" w:rsidP="004260BC">
      <w:pPr>
        <w:pStyle w:val="ManualConsidrant"/>
        <w:ind w:left="567" w:hanging="567"/>
        <w:jc w:val="left"/>
        <w:rPr>
          <w:noProof/>
        </w:rPr>
      </w:pPr>
      <w:r w:rsidRPr="00BB1507">
        <w:t>C.</w:t>
      </w:r>
      <w:r w:rsidRPr="00BB1507">
        <w:tab/>
        <w:t>kadangi nustatyta, kad septyni 2-metil-3-feniloksiran-2-karboksirūgšties (BMK glicido rūgšties) esteriai ir šeši 3-(1,3-benzodioksol-5-il)-2-metil-oksiran-2-karboksirūgšties (PMK glicido rūgšties) esteriai gali būti BMK glicido rūgšties ir PMK glicido rūgšties, kurie pagal ES teisę yra kontroliuojami pirmtakai, pakaitalai gaminant neteisėtas narkotines medžiagas, pvz., MDMA, metamfetaminą ir amfetaminą;</w:t>
      </w:r>
    </w:p>
    <w:p w:rsidR="004260BC" w:rsidRPr="00BB1507" w:rsidRDefault="004260BC" w:rsidP="004260BC">
      <w:pPr>
        <w:pStyle w:val="ManualConsidrant"/>
        <w:ind w:left="567" w:hanging="567"/>
        <w:jc w:val="left"/>
        <w:rPr>
          <w:noProof/>
        </w:rPr>
      </w:pPr>
      <w:r w:rsidRPr="00BB1507">
        <w:t>D.</w:t>
      </w:r>
      <w:r w:rsidRPr="00BB1507">
        <w:tab/>
        <w:t>kadangi būtina iš dalies pakeisti Reglamento (EB) Nr. 273/2004 I priede ir Reglamento (EB) Nr. 111/2005 priede pateiktą į oficialų sąrašą įtrauktų medžiagų sąrašą, kad IMDPAM ir nustatytiems BMK glicido rūgšties ir PMK glicido rūgšties esteriams būtų taikomos tuose reglamentuose numatytos suderintos kontrolės ir stebėsenos priemonės;</w:t>
      </w:r>
    </w:p>
    <w:p w:rsidR="004260BC" w:rsidRPr="00BB1507" w:rsidRDefault="004260BC" w:rsidP="004260BC">
      <w:pPr>
        <w:pStyle w:val="ManualConsidrant"/>
        <w:ind w:left="567" w:hanging="567"/>
        <w:jc w:val="left"/>
        <w:rPr>
          <w:noProof/>
        </w:rPr>
      </w:pPr>
      <w:r w:rsidRPr="00BB1507">
        <w:t>E.</w:t>
      </w:r>
      <w:r w:rsidRPr="00BB1507">
        <w:tab/>
        <w:t>kadangi, kad šie narkotinių ir psichotropinių medžiagų pirmtakai nebūtų naudojami neteisėtų narkotinių medžiagų gamybai ir būtų užkertamas kelias jiems patekti į rinką, kuo greičiau turėtų įsigalioti reglamentuose (EB) Nr. 273/2004 ir (EB) Nr. 111/20</w:t>
      </w:r>
      <w:r w:rsidR="00F66AE0">
        <w:t>0</w:t>
      </w:r>
      <w:bookmarkStart w:id="7" w:name="_GoBack"/>
      <w:bookmarkEnd w:id="7"/>
      <w:r w:rsidRPr="00BB1507">
        <w:t>5 numatytos priemonės dėl galimybių gauti naujų į oficialų sąrašą įtrauktų medžiagų kontrolės;</w:t>
      </w:r>
    </w:p>
    <w:p w:rsidR="004260BC" w:rsidRPr="00BB1507" w:rsidRDefault="004260BC" w:rsidP="004260BC">
      <w:pPr>
        <w:pStyle w:val="ManualConsidrant"/>
        <w:spacing w:after="240"/>
        <w:ind w:left="567" w:hanging="567"/>
        <w:jc w:val="left"/>
        <w:rPr>
          <w:spacing w:val="-2"/>
          <w:szCs w:val="24"/>
        </w:rPr>
      </w:pPr>
      <w:r w:rsidRPr="00BB1507">
        <w:t>F.</w:t>
      </w:r>
      <w:r w:rsidRPr="00BB1507">
        <w:tab/>
        <w:t>kadangi ES kovos su prekyba narkotikais ir organizuotu nusikalstamumu veiksmų gairėse (COM(2023)0641) Europos Komisija, bendradarbiaudama su Parlamentu ir Taryba, įsipareigojo dėti visas pastangas, kad būtų paspartinta būsimų deleguotųjų aktų, į kuriuos įtraukiamos papildomos medžiagos pagal reglamentus (EB) Nr. 273/2004 ir (EB) Nr. 111/2005, priėmimo procedūra;</w:t>
      </w:r>
    </w:p>
    <w:p w:rsidR="004260BC" w:rsidRPr="00BB1507" w:rsidRDefault="004260BC" w:rsidP="004260BC">
      <w:pPr>
        <w:pStyle w:val="NormalHanging12a"/>
      </w:pPr>
      <w:r w:rsidRPr="00BB1507">
        <w:t>1.</w:t>
      </w:r>
      <w:r w:rsidRPr="00BB1507">
        <w:tab/>
        <w:t>pareiškia, kad neprieštarauja deleguotajam reglamentui;</w:t>
      </w:r>
    </w:p>
    <w:p w:rsidR="004260BC" w:rsidRPr="00BB1507" w:rsidRDefault="004260BC" w:rsidP="00411AE3">
      <w:pPr>
        <w:ind w:left="567" w:hanging="567"/>
      </w:pPr>
      <w:r w:rsidRPr="00BB1507">
        <w:t>2.</w:t>
      </w:r>
      <w:r w:rsidRPr="00BB1507">
        <w:tab/>
        <w:t xml:space="preserve">paveda Pirmininkei perduoti šį sprendimą </w:t>
      </w:r>
      <w:r w:rsidR="00BB1507" w:rsidRPr="00BB1507">
        <w:t>Tarybai ir Komisijai.</w:t>
      </w:r>
    </w:p>
    <w:sectPr w:rsidR="004260BC" w:rsidRPr="00BB1507" w:rsidSect="00BB150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DB6" w:rsidRPr="00BB1507" w:rsidRDefault="00747DB6">
      <w:r w:rsidRPr="00BB1507">
        <w:separator/>
      </w:r>
    </w:p>
  </w:endnote>
  <w:endnote w:type="continuationSeparator" w:id="0">
    <w:p w:rsidR="00747DB6" w:rsidRPr="00BB1507" w:rsidRDefault="00747DB6">
      <w:r w:rsidRPr="00BB15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DB6" w:rsidRPr="00BB1507" w:rsidRDefault="00747DB6">
      <w:r w:rsidRPr="00BB1507">
        <w:separator/>
      </w:r>
    </w:p>
  </w:footnote>
  <w:footnote w:type="continuationSeparator" w:id="0">
    <w:p w:rsidR="00747DB6" w:rsidRPr="00BB1507" w:rsidRDefault="00747DB6">
      <w:r w:rsidRPr="00BB1507">
        <w:continuationSeparator/>
      </w:r>
    </w:p>
  </w:footnote>
  <w:footnote w:id="1">
    <w:p w:rsidR="004260BC" w:rsidRPr="00BB1507" w:rsidRDefault="004260BC" w:rsidP="00BB1507">
      <w:pPr>
        <w:pStyle w:val="FootnoteText"/>
        <w:ind w:left="567" w:hanging="567"/>
        <w:rPr>
          <w:sz w:val="24"/>
          <w:lang w:val="lt-LT"/>
        </w:rPr>
      </w:pPr>
      <w:r w:rsidRPr="00BB1507">
        <w:rPr>
          <w:rStyle w:val="FootnoteReference"/>
          <w:sz w:val="24"/>
          <w:lang w:val="lt-LT"/>
        </w:rPr>
        <w:footnoteRef/>
      </w:r>
      <w:r w:rsidR="00BB1507" w:rsidRPr="00BB1507">
        <w:rPr>
          <w:sz w:val="24"/>
          <w:lang w:val="lt-LT"/>
        </w:rPr>
        <w:t xml:space="preserve"> </w:t>
      </w:r>
      <w:r w:rsidR="00BB1507" w:rsidRPr="00BB1507">
        <w:rPr>
          <w:sz w:val="24"/>
          <w:lang w:val="lt-LT"/>
        </w:rPr>
        <w:tab/>
      </w:r>
      <w:r w:rsidRPr="00BB1507">
        <w:rPr>
          <w:sz w:val="24"/>
          <w:lang w:val="lt-LT"/>
        </w:rPr>
        <w:t>OL L 47, 2004 2 18, p. 1.</w:t>
      </w:r>
    </w:p>
  </w:footnote>
  <w:footnote w:id="2">
    <w:p w:rsidR="004260BC" w:rsidRPr="00BB1507" w:rsidRDefault="004260BC" w:rsidP="00BB1507">
      <w:pPr>
        <w:pStyle w:val="FootnoteText"/>
        <w:ind w:left="567" w:hanging="567"/>
        <w:rPr>
          <w:sz w:val="24"/>
          <w:lang w:val="lt-LT"/>
        </w:rPr>
      </w:pPr>
      <w:r w:rsidRPr="00BB1507">
        <w:rPr>
          <w:rStyle w:val="FootnoteReference"/>
          <w:sz w:val="24"/>
          <w:lang w:val="lt-LT"/>
        </w:rPr>
        <w:footnoteRef/>
      </w:r>
      <w:r w:rsidR="00BB1507" w:rsidRPr="00BB1507">
        <w:rPr>
          <w:sz w:val="24"/>
          <w:lang w:val="lt-LT"/>
        </w:rPr>
        <w:t xml:space="preserve"> </w:t>
      </w:r>
      <w:r w:rsidR="00BB1507" w:rsidRPr="00BB1507">
        <w:rPr>
          <w:sz w:val="24"/>
          <w:lang w:val="lt-LT"/>
        </w:rPr>
        <w:tab/>
      </w:r>
      <w:r w:rsidRPr="00BB1507">
        <w:rPr>
          <w:sz w:val="24"/>
          <w:lang w:val="lt-LT"/>
        </w:rPr>
        <w:t>OL L 22, 2005 1 26,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LT"/>
    <w:docVar w:name="dvnumam" w:val="0"/>
    <w:docVar w:name="dvpe" w:val="760.991"/>
    <w:docVar w:name="dvtitre" w:val="2024 m. balandzio 24 d. Europos Parlamento rezoliucija neprieštarauti 2024 m. vasario 28 d. Komisijos deleguotajam reglamentui, kuriuo dėl narkotinių medžiagų pirmtako izopropilideno (2-(3,4-metilendioksifenil)acetil)malonato (IMDPAM) ir kitų medžiagų įtraukimo į oficialų medžiagų sąrašą iš dalies keičiami Europos Parlamento ir Tarybos reglamentas (EB) Nr. 273/2004 ir Tarybos reglamentas (EB) Nr. 111/2005(C(2024)01219 - 2024/2606(DEA))"/>
  </w:docVars>
  <w:rsids>
    <w:rsidRoot w:val="00747DB6"/>
    <w:rsid w:val="00002272"/>
    <w:rsid w:val="00064002"/>
    <w:rsid w:val="000677B9"/>
    <w:rsid w:val="000831BA"/>
    <w:rsid w:val="000A42CC"/>
    <w:rsid w:val="000E7DD9"/>
    <w:rsid w:val="0010095E"/>
    <w:rsid w:val="00125B37"/>
    <w:rsid w:val="00187494"/>
    <w:rsid w:val="001F32AE"/>
    <w:rsid w:val="00203710"/>
    <w:rsid w:val="002767FF"/>
    <w:rsid w:val="002A78CC"/>
    <w:rsid w:val="002B18FE"/>
    <w:rsid w:val="002B5493"/>
    <w:rsid w:val="00343214"/>
    <w:rsid w:val="00356861"/>
    <w:rsid w:val="00361C00"/>
    <w:rsid w:val="00395FA1"/>
    <w:rsid w:val="003B1EA1"/>
    <w:rsid w:val="003E15D4"/>
    <w:rsid w:val="00411AE3"/>
    <w:rsid w:val="00411CCE"/>
    <w:rsid w:val="0041666E"/>
    <w:rsid w:val="00421060"/>
    <w:rsid w:val="004260BC"/>
    <w:rsid w:val="00451110"/>
    <w:rsid w:val="00462098"/>
    <w:rsid w:val="00471C19"/>
    <w:rsid w:val="004867E3"/>
    <w:rsid w:val="00494A28"/>
    <w:rsid w:val="004C0004"/>
    <w:rsid w:val="004C5D52"/>
    <w:rsid w:val="0050519A"/>
    <w:rsid w:val="005072A1"/>
    <w:rsid w:val="00514517"/>
    <w:rsid w:val="00545827"/>
    <w:rsid w:val="00560270"/>
    <w:rsid w:val="005C2568"/>
    <w:rsid w:val="005C6D03"/>
    <w:rsid w:val="006037C0"/>
    <w:rsid w:val="006631B6"/>
    <w:rsid w:val="00680577"/>
    <w:rsid w:val="0069176C"/>
    <w:rsid w:val="006F74FA"/>
    <w:rsid w:val="00731ADD"/>
    <w:rsid w:val="00734777"/>
    <w:rsid w:val="00747932"/>
    <w:rsid w:val="00747DB6"/>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1507"/>
    <w:rsid w:val="00BD48FE"/>
    <w:rsid w:val="00BD7BD8"/>
    <w:rsid w:val="00BE6ADC"/>
    <w:rsid w:val="00C05BFE"/>
    <w:rsid w:val="00C23CD4"/>
    <w:rsid w:val="00C61C0C"/>
    <w:rsid w:val="00C941CB"/>
    <w:rsid w:val="00CC2357"/>
    <w:rsid w:val="00CC49DC"/>
    <w:rsid w:val="00CF071A"/>
    <w:rsid w:val="00D058B8"/>
    <w:rsid w:val="00D56C11"/>
    <w:rsid w:val="00D834A0"/>
    <w:rsid w:val="00D872DF"/>
    <w:rsid w:val="00D91E21"/>
    <w:rsid w:val="00DA7FCD"/>
    <w:rsid w:val="00E17B8D"/>
    <w:rsid w:val="00E365E1"/>
    <w:rsid w:val="00E60275"/>
    <w:rsid w:val="00E820A4"/>
    <w:rsid w:val="00EB006A"/>
    <w:rsid w:val="00EB4772"/>
    <w:rsid w:val="00ED169E"/>
    <w:rsid w:val="00ED4235"/>
    <w:rsid w:val="00F04346"/>
    <w:rsid w:val="00F075DC"/>
    <w:rsid w:val="00F149E9"/>
    <w:rsid w:val="00F5134D"/>
    <w:rsid w:val="00F66AE0"/>
    <w:rsid w:val="00F74202"/>
    <w:rsid w:val="00F87713"/>
    <w:rsid w:val="00FB4360"/>
    <w:rsid w:val="00FD0C70"/>
    <w:rsid w:val="00FE79C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F6C33"/>
  <w15:chartTrackingRefBased/>
  <w15:docId w15:val="{DB968455-BE74-48DD-9765-EB5F34470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260BC"/>
    <w:pPr>
      <w:spacing w:before="480" w:after="240"/>
    </w:pPr>
  </w:style>
  <w:style w:type="paragraph" w:customStyle="1" w:styleId="NormalHanging12a">
    <w:name w:val="NormalHanging12a"/>
    <w:basedOn w:val="Normal"/>
    <w:rsid w:val="004260BC"/>
    <w:pPr>
      <w:spacing w:after="240"/>
      <w:ind w:left="567" w:hanging="567"/>
    </w:pPr>
  </w:style>
  <w:style w:type="paragraph" w:customStyle="1" w:styleId="ManualConsidrant">
    <w:name w:val="Manual Considérant"/>
    <w:basedOn w:val="Normal"/>
    <w:rsid w:val="004260BC"/>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203710"/>
    <w:rPr>
      <w:rFonts w:ascii="Segoe UI" w:hAnsi="Segoe UI" w:cs="Segoe UI"/>
      <w:sz w:val="18"/>
      <w:szCs w:val="18"/>
    </w:rPr>
  </w:style>
  <w:style w:type="character" w:customStyle="1" w:styleId="BalloonTextChar">
    <w:name w:val="Balloon Text Char"/>
    <w:basedOn w:val="DefaultParagraphFont"/>
    <w:link w:val="BalloonText"/>
    <w:rsid w:val="0020371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C39B6-CC34-4DB5-9D03-ED8468944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501</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2024-06-13T12:46:00Z</dcterms:created>
  <dcterms:modified xsi:type="dcterms:W3CDTF">2024-10-16T11:01:00Z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B9-0213/2024</vt:lpwstr>
  </property>
  <property fmtid="{D5CDD505-2E9C-101B-9397-08002B2CF9AE}" pid="4" name="&lt;Type&gt;">
    <vt:lpwstr>RR</vt:lpwstr>
  </property>
</Properties>
</file>