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C1A" w:rsidTr="0010095E">
        <w:trPr>
          <w:trHeight w:hRule="exact" w:val="1418"/>
        </w:trPr>
        <w:tc>
          <w:tcPr>
            <w:tcW w:w="6804" w:type="dxa"/>
            <w:shd w:val="clear" w:color="auto" w:fill="auto"/>
            <w:vAlign w:val="center"/>
          </w:tcPr>
          <w:p w:rsidR="00751A4A" w:rsidRPr="00064C1A" w:rsidRDefault="000633AD" w:rsidP="0010095E">
            <w:pPr>
              <w:pStyle w:val="EPName"/>
            </w:pPr>
            <w:bookmarkStart w:id="0" w:name="_GoBack"/>
            <w:bookmarkEnd w:id="0"/>
            <w:r w:rsidRPr="00064C1A">
              <w:t>Eiropas Parlaments</w:t>
            </w:r>
          </w:p>
          <w:p w:rsidR="00751A4A" w:rsidRPr="00064C1A" w:rsidRDefault="00817416" w:rsidP="00756632">
            <w:pPr>
              <w:pStyle w:val="EPTerm"/>
              <w:rPr>
                <w:rStyle w:val="HideTWBExt"/>
                <w:noProof w:val="0"/>
                <w:vanish w:val="0"/>
                <w:color w:val="auto"/>
              </w:rPr>
            </w:pPr>
            <w:r w:rsidRPr="00064C1A">
              <w:t>2019-2024</w:t>
            </w:r>
          </w:p>
        </w:tc>
        <w:tc>
          <w:tcPr>
            <w:tcW w:w="2268" w:type="dxa"/>
            <w:shd w:val="clear" w:color="auto" w:fill="auto"/>
          </w:tcPr>
          <w:p w:rsidR="00751A4A" w:rsidRPr="00064C1A" w:rsidRDefault="00187494" w:rsidP="0010095E">
            <w:pPr>
              <w:pStyle w:val="EPLogo"/>
            </w:pPr>
            <w:r w:rsidRPr="00064C1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64C1A" w:rsidRDefault="00D058B8" w:rsidP="004C5D52">
      <w:pPr>
        <w:pStyle w:val="LineTop"/>
      </w:pPr>
    </w:p>
    <w:p w:rsidR="00680577" w:rsidRPr="00064C1A" w:rsidRDefault="000633AD" w:rsidP="00680577">
      <w:pPr>
        <w:pStyle w:val="EPBodyTA1"/>
      </w:pPr>
      <w:r w:rsidRPr="00064C1A">
        <w:t>PIEŅEMTIE TEKSTI</w:t>
      </w:r>
    </w:p>
    <w:p w:rsidR="00D058B8" w:rsidRPr="00064C1A" w:rsidRDefault="00D058B8" w:rsidP="00D058B8">
      <w:pPr>
        <w:pStyle w:val="LineBottom"/>
      </w:pPr>
    </w:p>
    <w:p w:rsidR="000633AD" w:rsidRPr="00064C1A" w:rsidRDefault="000633AD" w:rsidP="000633AD">
      <w:pPr>
        <w:pStyle w:val="ATHeading1"/>
      </w:pPr>
      <w:bookmarkStart w:id="1" w:name="TANumber"/>
      <w:r w:rsidRPr="00064C1A">
        <w:t>P9_TA(2024)0</w:t>
      </w:r>
      <w:bookmarkEnd w:id="1"/>
      <w:r w:rsidR="00064C1A" w:rsidRPr="00064C1A">
        <w:t>314</w:t>
      </w:r>
    </w:p>
    <w:p w:rsidR="000633AD" w:rsidRPr="00064C1A" w:rsidRDefault="00763F77" w:rsidP="000633AD">
      <w:pPr>
        <w:pStyle w:val="ATHeading2"/>
      </w:pPr>
      <w:bookmarkStart w:id="2" w:name="title"/>
      <w:r w:rsidRPr="00064C1A">
        <w:t>Iebildumu neizteikšana pret deleģēto aktu:</w:t>
      </w:r>
      <w:bookmarkEnd w:id="2"/>
      <w:r w:rsidRPr="00064C1A">
        <w:t xml:space="preserve"> narkotisko vielu prekursora </w:t>
      </w:r>
      <w:proofErr w:type="spellStart"/>
      <w:r w:rsidRPr="00064C1A">
        <w:t>izopropilidēna</w:t>
      </w:r>
      <w:proofErr w:type="spellEnd"/>
      <w:r w:rsidRPr="00064C1A">
        <w:t xml:space="preserve"> (2-(3,4-metilēndioksifenil)acetil)</w:t>
      </w:r>
      <w:proofErr w:type="spellStart"/>
      <w:r w:rsidRPr="00064C1A">
        <w:t>malonāta</w:t>
      </w:r>
      <w:proofErr w:type="spellEnd"/>
      <w:r w:rsidRPr="00064C1A">
        <w:t xml:space="preserve"> (</w:t>
      </w:r>
      <w:r w:rsidRPr="00064C1A">
        <w:rPr>
          <w:i/>
        </w:rPr>
        <w:t>IMDPAM</w:t>
      </w:r>
      <w:r w:rsidRPr="00064C1A">
        <w:t>) un citu vielu iekļaušana klasificēto vielu sarakstā</w:t>
      </w:r>
    </w:p>
    <w:p w:rsidR="000633AD" w:rsidRPr="00064C1A" w:rsidRDefault="000633AD" w:rsidP="000633AD">
      <w:pPr>
        <w:rPr>
          <w:i/>
          <w:vanish/>
        </w:rPr>
      </w:pPr>
      <w:r w:rsidRPr="00064C1A">
        <w:rPr>
          <w:i/>
        </w:rPr>
        <w:fldChar w:fldCharType="begin"/>
      </w:r>
      <w:r w:rsidRPr="00064C1A">
        <w:rPr>
          <w:i/>
        </w:rPr>
        <w:instrText xml:space="preserve"> TC"(</w:instrText>
      </w:r>
      <w:bookmarkStart w:id="3" w:name="DocNumber"/>
      <w:r w:rsidRPr="00064C1A">
        <w:rPr>
          <w:i/>
        </w:rPr>
        <w:instrText>B9-0213/2024</w:instrText>
      </w:r>
      <w:bookmarkEnd w:id="3"/>
      <w:r w:rsidRPr="00064C1A">
        <w:rPr>
          <w:i/>
        </w:rPr>
        <w:instrText xml:space="preserve">)"\l3 \n&gt; \* MERGEFORMAT </w:instrText>
      </w:r>
      <w:r w:rsidRPr="00064C1A">
        <w:rPr>
          <w:i/>
        </w:rPr>
        <w:fldChar w:fldCharType="end"/>
      </w:r>
    </w:p>
    <w:p w:rsidR="000633AD" w:rsidRPr="00064C1A" w:rsidRDefault="000633AD" w:rsidP="000633AD">
      <w:pPr>
        <w:rPr>
          <w:vanish/>
        </w:rPr>
      </w:pPr>
      <w:bookmarkStart w:id="4" w:name="PE"/>
      <w:r w:rsidRPr="00064C1A">
        <w:rPr>
          <w:vanish/>
        </w:rPr>
        <w:t>PE760.991</w:t>
      </w:r>
      <w:bookmarkEnd w:id="4"/>
    </w:p>
    <w:p w:rsidR="003A214A" w:rsidRPr="00064C1A" w:rsidRDefault="000633AD" w:rsidP="00763F77">
      <w:pPr>
        <w:pStyle w:val="ATHeading3"/>
      </w:pPr>
      <w:bookmarkStart w:id="5" w:name="Sujet"/>
      <w:r w:rsidRPr="00064C1A">
        <w:t xml:space="preserve">Eiropas Parlamenta </w:t>
      </w:r>
      <w:r w:rsidR="00763F77" w:rsidRPr="00064C1A">
        <w:t>lēmums</w:t>
      </w:r>
      <w:r w:rsidRPr="00064C1A">
        <w:t xml:space="preserve"> par iebildumu neizteikšanu pret Komisijas 2024. gada 28. februāra deleģēto regulu, ar ko attiecībā uz narkotisko vielu prekursora </w:t>
      </w:r>
      <w:proofErr w:type="spellStart"/>
      <w:r w:rsidRPr="00064C1A">
        <w:t>izopropilidēna</w:t>
      </w:r>
      <w:proofErr w:type="spellEnd"/>
      <w:r w:rsidRPr="00064C1A">
        <w:t xml:space="preserve"> (2-(3,4-metilēndioksifenil)acetil)</w:t>
      </w:r>
      <w:proofErr w:type="spellStart"/>
      <w:r w:rsidRPr="00064C1A">
        <w:t>malonāta</w:t>
      </w:r>
      <w:proofErr w:type="spellEnd"/>
      <w:r w:rsidRPr="00064C1A">
        <w:t xml:space="preserve"> (</w:t>
      </w:r>
      <w:r w:rsidRPr="00064C1A">
        <w:rPr>
          <w:i/>
        </w:rPr>
        <w:t>IMDPAM</w:t>
      </w:r>
      <w:r w:rsidRPr="00064C1A">
        <w:t>) un citu vielu iekļaušanu klasificēto vielu sarakstā groza Eiropas Parlamenta un Padomes Regulu (EK) Nr. 273/2004 un Padomes Regulu (EK) Nr. 111/2005</w:t>
      </w:r>
      <w:bookmarkEnd w:id="5"/>
      <w:r w:rsidRPr="00064C1A">
        <w:t xml:space="preserve"> </w:t>
      </w:r>
      <w:bookmarkStart w:id="6" w:name="References"/>
      <w:r w:rsidRPr="00064C1A">
        <w:t>(C(2024)01219 - 2024/2606(DEA))</w:t>
      </w:r>
      <w:bookmarkStart w:id="7" w:name="TextBodyBegin"/>
      <w:bookmarkEnd w:id="6"/>
      <w:bookmarkEnd w:id="7"/>
    </w:p>
    <w:p w:rsidR="003A214A" w:rsidRPr="00064C1A" w:rsidRDefault="003A214A" w:rsidP="003A214A">
      <w:pPr>
        <w:pStyle w:val="EPComma"/>
      </w:pPr>
      <w:r w:rsidRPr="00064C1A">
        <w:rPr>
          <w:i/>
          <w:iCs/>
        </w:rPr>
        <w:t>Eiropas Parlaments,</w:t>
      </w:r>
    </w:p>
    <w:p w:rsidR="003A214A" w:rsidRPr="00064C1A" w:rsidRDefault="003A214A" w:rsidP="003A214A">
      <w:pPr>
        <w:pStyle w:val="NormalHanging12a"/>
      </w:pPr>
      <w:r w:rsidRPr="00064C1A">
        <w:t>–</w:t>
      </w:r>
      <w:r w:rsidRPr="00064C1A">
        <w:tab/>
        <w:t>ņemot vērā Komisijas deleģēto regulu (C(2024)01219),</w:t>
      </w:r>
    </w:p>
    <w:p w:rsidR="003A214A" w:rsidRPr="00064C1A" w:rsidRDefault="003A214A" w:rsidP="003A214A">
      <w:pPr>
        <w:pStyle w:val="NormalHanging12a"/>
        <w:rPr>
          <w:spacing w:val="-2"/>
          <w:szCs w:val="24"/>
        </w:rPr>
      </w:pPr>
      <w:r w:rsidRPr="00064C1A">
        <w:t>–</w:t>
      </w:r>
      <w:r w:rsidRPr="00064C1A">
        <w:tab/>
        <w:t>ņemot vērā Komisijas 2024. gada 13. marta vēstuli, kurā tā lūdz paziņot, ka Parlaments neizteiks iebildumus pret deleģēto regulu,</w:t>
      </w:r>
    </w:p>
    <w:p w:rsidR="003A214A" w:rsidRPr="00064C1A" w:rsidRDefault="003A214A" w:rsidP="003A214A">
      <w:pPr>
        <w:pStyle w:val="NormalHanging12a"/>
      </w:pPr>
      <w:r w:rsidRPr="00064C1A">
        <w:t>–</w:t>
      </w:r>
      <w:r w:rsidRPr="00064C1A">
        <w:tab/>
        <w:t xml:space="preserve">ņemot vērā Pilsoņu brīvību, tieslietu un </w:t>
      </w:r>
      <w:proofErr w:type="spellStart"/>
      <w:r w:rsidRPr="00064C1A">
        <w:t>iekšlietu</w:t>
      </w:r>
      <w:proofErr w:type="spellEnd"/>
      <w:r w:rsidRPr="00064C1A">
        <w:t xml:space="preserve"> komitejas vēstuli Komiteju priekšsēdētāju konferences priekšsēdētājam,</w:t>
      </w:r>
    </w:p>
    <w:p w:rsidR="003A214A" w:rsidRPr="00064C1A" w:rsidRDefault="003A214A" w:rsidP="003A214A">
      <w:pPr>
        <w:pStyle w:val="NormalHanging12a"/>
      </w:pPr>
      <w:r w:rsidRPr="00064C1A">
        <w:t>–</w:t>
      </w:r>
      <w:r w:rsidRPr="00064C1A">
        <w:tab/>
        <w:t>ņemot vērā Līguma par Eiropas Savienības darbību 290. pantu,</w:t>
      </w:r>
    </w:p>
    <w:p w:rsidR="003A214A" w:rsidRPr="00064C1A" w:rsidRDefault="003A214A" w:rsidP="003A214A">
      <w:pPr>
        <w:pStyle w:val="NormalHanging12a"/>
      </w:pPr>
      <w:r w:rsidRPr="00064C1A">
        <w:t>–</w:t>
      </w:r>
      <w:r w:rsidRPr="00064C1A">
        <w:tab/>
        <w:t>ņemot vērā Eiropas Parlamenta un Padomes 2004. gada 11. februāra Regulu (EK) Nr. 273/2004</w:t>
      </w:r>
      <w:r w:rsidRPr="00064C1A">
        <w:rPr>
          <w:rStyle w:val="FootnoteReference"/>
          <w:szCs w:val="24"/>
        </w:rPr>
        <w:footnoteReference w:id="1"/>
      </w:r>
      <w:r w:rsidRPr="00064C1A">
        <w:t xml:space="preserve"> par narkotisko vielu prekursoriem un jo īpaši tās 15. pantu un 15.a panta 5. punktu,</w:t>
      </w:r>
    </w:p>
    <w:p w:rsidR="003A214A" w:rsidRPr="00064C1A" w:rsidRDefault="003A214A" w:rsidP="003A214A">
      <w:pPr>
        <w:pStyle w:val="NormalHanging12a"/>
      </w:pPr>
      <w:r w:rsidRPr="00064C1A">
        <w:t>–</w:t>
      </w:r>
      <w:r w:rsidRPr="00064C1A">
        <w:tab/>
        <w:t>ņemot vērā Padomes 2004. gada 22. decembra Regulu (EK) Nr. 111/2005</w:t>
      </w:r>
      <w:r w:rsidRPr="00064C1A">
        <w:rPr>
          <w:rStyle w:val="FootnoteReference"/>
        </w:rPr>
        <w:footnoteReference w:id="2"/>
      </w:r>
      <w:r w:rsidRPr="00064C1A">
        <w:t xml:space="preserve">, ar ko paredz noteikumus par uzraudzību attiecībā uz narkotisko vielu prekursoru tirdzniecību starp Savienību un </w:t>
      </w:r>
      <w:proofErr w:type="spellStart"/>
      <w:r w:rsidRPr="00064C1A">
        <w:t>trešām</w:t>
      </w:r>
      <w:proofErr w:type="spellEnd"/>
      <w:r w:rsidRPr="00064C1A">
        <w:t xml:space="preserve"> valstīm, un jo īpaši tās 30.a pantu un 30.b panta 5. punktu,</w:t>
      </w:r>
    </w:p>
    <w:p w:rsidR="003A214A" w:rsidRPr="00064C1A" w:rsidRDefault="003A214A" w:rsidP="003A214A">
      <w:pPr>
        <w:pStyle w:val="NormalHanging12a"/>
      </w:pPr>
      <w:r w:rsidRPr="00064C1A">
        <w:t>–</w:t>
      </w:r>
      <w:r w:rsidRPr="00064C1A">
        <w:tab/>
        <w:t>ņemot vērā Reglamenta 111. panta 6. punktu,</w:t>
      </w:r>
    </w:p>
    <w:p w:rsidR="003A214A" w:rsidRPr="00064C1A" w:rsidRDefault="003A214A" w:rsidP="003A214A">
      <w:pPr>
        <w:pStyle w:val="NormalHanging12a"/>
      </w:pPr>
      <w:r w:rsidRPr="00064C1A">
        <w:lastRenderedPageBreak/>
        <w:t>–</w:t>
      </w:r>
      <w:r w:rsidRPr="00064C1A">
        <w:tab/>
        <w:t xml:space="preserve">ņemot vērā Pilsoņu brīvību, tieslietu un </w:t>
      </w:r>
      <w:proofErr w:type="spellStart"/>
      <w:r w:rsidRPr="00064C1A">
        <w:t>iekšlietu</w:t>
      </w:r>
      <w:proofErr w:type="spellEnd"/>
      <w:r w:rsidRPr="00064C1A">
        <w:t xml:space="preserve"> komitejas ieteikumu lēmumam,</w:t>
      </w:r>
    </w:p>
    <w:p w:rsidR="00763F77" w:rsidRPr="00064C1A" w:rsidRDefault="00763F77" w:rsidP="00064C1A">
      <w:pPr>
        <w:spacing w:after="240"/>
        <w:ind w:left="567" w:hanging="567"/>
      </w:pPr>
      <w:r w:rsidRPr="00064C1A">
        <w:t>–</w:t>
      </w:r>
      <w:r w:rsidRPr="00064C1A">
        <w:tab/>
        <w:t>ņemot vērā to, ka netika izteikti iebildumi Reglamenta 111. panta 6. punkta trešajā un ceturtajā ievilkumā noteiktajā termiņā, kurš beidzās 2024. gada 23. aprīlī,</w:t>
      </w:r>
    </w:p>
    <w:p w:rsidR="003A214A" w:rsidRPr="00064C1A" w:rsidRDefault="003A214A" w:rsidP="003A214A">
      <w:pPr>
        <w:pStyle w:val="NormalHanging12a"/>
      </w:pPr>
      <w:r w:rsidRPr="00064C1A">
        <w:t>A.</w:t>
      </w:r>
      <w:r w:rsidRPr="00064C1A">
        <w:tab/>
        <w:t xml:space="preserve">tā kā ES tiesiskais regulējums par pasākumiem, lai kontrolētu piekļuvi vielām, ko izmanto nelikumīgu narkotisko vielu ražošanā, ir pastāvīgi jāatjaunina, lai cīnītos pret tā dēvēto </w:t>
      </w:r>
      <w:proofErr w:type="spellStart"/>
      <w:r w:rsidRPr="00064C1A">
        <w:t>pirmsprekursoru</w:t>
      </w:r>
      <w:proofErr w:type="spellEnd"/>
      <w:r w:rsidRPr="00064C1A">
        <w:t xml:space="preserve"> (“</w:t>
      </w:r>
      <w:proofErr w:type="spellStart"/>
      <w:r w:rsidRPr="00064C1A">
        <w:rPr>
          <w:i/>
          <w:iCs/>
        </w:rPr>
        <w:t>designer</w:t>
      </w:r>
      <w:proofErr w:type="spellEnd"/>
      <w:r w:rsidRPr="00064C1A">
        <w:rPr>
          <w:i/>
          <w:iCs/>
        </w:rPr>
        <w:t xml:space="preserve"> </w:t>
      </w:r>
      <w:proofErr w:type="spellStart"/>
      <w:r w:rsidRPr="00064C1A">
        <w:rPr>
          <w:i/>
          <w:iCs/>
        </w:rPr>
        <w:t>precursors</w:t>
      </w:r>
      <w:proofErr w:type="spellEnd"/>
      <w:r w:rsidRPr="00064C1A">
        <w:t>”) izplatīšanu, kas ir tradicionālo narkotisko vielu prekursoriem ķīmiskā ziņā tuvas vielas, kas radītas ar mērķi apiet spēkā esošos noteikumus;</w:t>
      </w:r>
    </w:p>
    <w:p w:rsidR="003A214A" w:rsidRPr="00064C1A" w:rsidRDefault="003A214A" w:rsidP="003A214A">
      <w:pPr>
        <w:pStyle w:val="ManualConsidrant"/>
        <w:ind w:left="567" w:hanging="567"/>
        <w:jc w:val="left"/>
        <w:rPr>
          <w:noProof/>
        </w:rPr>
      </w:pPr>
      <w:r w:rsidRPr="00064C1A">
        <w:t>B.</w:t>
      </w:r>
      <w:r w:rsidRPr="00064C1A">
        <w:tab/>
        <w:t xml:space="preserve">tā kā </w:t>
      </w:r>
      <w:proofErr w:type="spellStart"/>
      <w:r w:rsidRPr="00064C1A">
        <w:t>izopropilidēna</w:t>
      </w:r>
      <w:proofErr w:type="spellEnd"/>
      <w:r w:rsidRPr="00064C1A">
        <w:t xml:space="preserve"> (2-(3,4-metilēndioksifenil)acetil)</w:t>
      </w:r>
      <w:proofErr w:type="spellStart"/>
      <w:r w:rsidRPr="00064C1A">
        <w:t>malonāta</w:t>
      </w:r>
      <w:proofErr w:type="spellEnd"/>
      <w:r w:rsidRPr="00064C1A">
        <w:t xml:space="preserve"> (IMDPAM) nātrija sāls ir identificēts kā nesen izstrādāts narkotisko vielu prekursors, ko izmanto MDMA (3,4-metilēndioksimetamfetamīna) ražošanā, kurš plašāk pazīstams kā “</w:t>
      </w:r>
      <w:proofErr w:type="spellStart"/>
      <w:r w:rsidRPr="00064C1A">
        <w:t>ekstazī</w:t>
      </w:r>
      <w:proofErr w:type="spellEnd"/>
      <w:r w:rsidRPr="00064C1A">
        <w:t>”;</w:t>
      </w:r>
    </w:p>
    <w:p w:rsidR="003A214A" w:rsidRPr="00064C1A" w:rsidRDefault="003A214A" w:rsidP="003A214A">
      <w:pPr>
        <w:pStyle w:val="ManualConsidrant"/>
        <w:ind w:left="567" w:hanging="567"/>
        <w:jc w:val="left"/>
        <w:rPr>
          <w:noProof/>
        </w:rPr>
      </w:pPr>
      <w:r w:rsidRPr="00064C1A">
        <w:t>C.</w:t>
      </w:r>
      <w:r w:rsidRPr="00064C1A">
        <w:tab/>
        <w:t xml:space="preserve">tā kā septiņi 2-metil-3-feniloksirān-2-karbonskābes (BMK </w:t>
      </w:r>
      <w:proofErr w:type="spellStart"/>
      <w:r w:rsidRPr="00064C1A">
        <w:t>glicīdskābes</w:t>
      </w:r>
      <w:proofErr w:type="spellEnd"/>
      <w:r w:rsidRPr="00064C1A">
        <w:t xml:space="preserve">) esteri un seši 3-(1,3-benzodioksol-5-il)-2-metil-oksirān-2-karbonskābes (PMK </w:t>
      </w:r>
      <w:proofErr w:type="spellStart"/>
      <w:r w:rsidRPr="00064C1A">
        <w:t>glicīdskābes</w:t>
      </w:r>
      <w:proofErr w:type="spellEnd"/>
      <w:r w:rsidRPr="00064C1A">
        <w:t xml:space="preserve">) esteri ir noteikti kā iespējami BMK </w:t>
      </w:r>
      <w:proofErr w:type="spellStart"/>
      <w:r w:rsidRPr="00064C1A">
        <w:t>glicīdskābes</w:t>
      </w:r>
      <w:proofErr w:type="spellEnd"/>
      <w:r w:rsidRPr="00064C1A">
        <w:t xml:space="preserve"> un PMK </w:t>
      </w:r>
      <w:proofErr w:type="spellStart"/>
      <w:r w:rsidRPr="00064C1A">
        <w:t>glicīdskābes</w:t>
      </w:r>
      <w:proofErr w:type="spellEnd"/>
      <w:r w:rsidRPr="00064C1A">
        <w:t xml:space="preserve">, kas ir kontrolei pakļauti prekursori saskaņā ar ES tiesību aktiem, aizstājēji nelikumīgu narkotisko vielu, piemēram, MDMA, </w:t>
      </w:r>
      <w:proofErr w:type="spellStart"/>
      <w:r w:rsidRPr="00064C1A">
        <w:t>metamfetamīna</w:t>
      </w:r>
      <w:proofErr w:type="spellEnd"/>
      <w:r w:rsidRPr="00064C1A">
        <w:t xml:space="preserve"> un amfetamīna, ražošanā;</w:t>
      </w:r>
    </w:p>
    <w:p w:rsidR="003A214A" w:rsidRPr="00064C1A" w:rsidRDefault="003A214A" w:rsidP="003A214A">
      <w:pPr>
        <w:pStyle w:val="ManualConsidrant"/>
        <w:ind w:left="567" w:hanging="567"/>
        <w:jc w:val="left"/>
        <w:rPr>
          <w:noProof/>
        </w:rPr>
      </w:pPr>
      <w:r w:rsidRPr="00064C1A">
        <w:t>D.</w:t>
      </w:r>
      <w:r w:rsidRPr="00064C1A">
        <w:tab/>
        <w:t xml:space="preserve">tā kā ir jāgroza Regulas (EK) Nr. 273/2004 I pielikumā un Regulas (EK) Nr. 111/2005 pielikumā iekļautais klasificēto vielu saraksts, lai šajās regulās paredzētos saskaņotos kontroles un uzraudzības pasākumus piemērotu IMDPAM un konkrētajiem BMK </w:t>
      </w:r>
      <w:proofErr w:type="spellStart"/>
      <w:r w:rsidRPr="00064C1A">
        <w:t>glicīdskābes</w:t>
      </w:r>
      <w:proofErr w:type="spellEnd"/>
      <w:r w:rsidRPr="00064C1A">
        <w:t xml:space="preserve"> un PMK </w:t>
      </w:r>
      <w:proofErr w:type="spellStart"/>
      <w:r w:rsidRPr="00064C1A">
        <w:t>glicīdskābes</w:t>
      </w:r>
      <w:proofErr w:type="spellEnd"/>
      <w:r w:rsidRPr="00064C1A">
        <w:t xml:space="preserve"> esteriem;</w:t>
      </w:r>
    </w:p>
    <w:p w:rsidR="003A214A" w:rsidRPr="00064C1A" w:rsidRDefault="003A214A" w:rsidP="003A214A">
      <w:pPr>
        <w:pStyle w:val="ManualConsidrant"/>
        <w:ind w:left="567" w:hanging="567"/>
        <w:jc w:val="left"/>
        <w:rPr>
          <w:noProof/>
        </w:rPr>
      </w:pPr>
      <w:r w:rsidRPr="00064C1A">
        <w:t xml:space="preserve">E. </w:t>
      </w:r>
      <w:r w:rsidRPr="00064C1A">
        <w:tab/>
        <w:t>tā kā pasākumiem, ar kuriem kontrolē piekļuvi nesen klasificētām vielām saskaņā ar Regulu (EK) Nr. 273/2004 un Regulu (EK) Nr. 111/2005, būtu jāstājas spēkā pēc iespējas ātrāk, lai nepieļautu šo narkotisko vielu prekursoru izmantošanu nelikumīgu narkotisko vielu ražošanai un tirgošanai;</w:t>
      </w:r>
    </w:p>
    <w:p w:rsidR="003A214A" w:rsidRPr="00064C1A" w:rsidRDefault="003A214A" w:rsidP="003A214A">
      <w:pPr>
        <w:pStyle w:val="ManualConsidrant"/>
        <w:spacing w:after="240"/>
        <w:ind w:left="567" w:hanging="567"/>
        <w:jc w:val="left"/>
        <w:rPr>
          <w:spacing w:val="-2"/>
          <w:szCs w:val="24"/>
        </w:rPr>
      </w:pPr>
      <w:r w:rsidRPr="00064C1A">
        <w:t>F.</w:t>
      </w:r>
      <w:r w:rsidRPr="00064C1A">
        <w:tab/>
        <w:t>tā kā ES ceļvedī narkotiku tirdzniecības un organizētās noziedzības apkarošanai (COM(2023)0641) Eiropas Komisija apņēmās sadarbībā ar Parlamentu un Padomi darīt visu iespējamo, lai paātrinātu to turpmāko deleģēto aktu pieņemšanas procedūru, ar kuriem klasificē papildu vielas saskaņā ar Regulu (EK) Nr. 273/2004 un Regulu (EK) Nr. 111/2005,</w:t>
      </w:r>
    </w:p>
    <w:p w:rsidR="003A214A" w:rsidRPr="00064C1A" w:rsidRDefault="003A214A" w:rsidP="003A214A">
      <w:pPr>
        <w:pStyle w:val="NormalHanging12a"/>
      </w:pPr>
      <w:r w:rsidRPr="00064C1A">
        <w:t>1.</w:t>
      </w:r>
      <w:r w:rsidRPr="00064C1A">
        <w:tab/>
        <w:t>paziņo, ka tas neizsaka iebildumus pret deleģēto regulu;</w:t>
      </w:r>
    </w:p>
    <w:p w:rsidR="003A214A" w:rsidRPr="00064C1A" w:rsidRDefault="003A214A" w:rsidP="003A214A">
      <w:pPr>
        <w:pStyle w:val="NormalHanging12a"/>
      </w:pPr>
      <w:r w:rsidRPr="00064C1A">
        <w:t>2.</w:t>
      </w:r>
      <w:r w:rsidRPr="00064C1A">
        <w:tab/>
        <w:t>uzdod priekšsēdētājai šo lēmumu nosūtīt Padomei un Komisijai.</w:t>
      </w:r>
    </w:p>
    <w:p w:rsidR="003A214A" w:rsidRPr="00064C1A" w:rsidRDefault="003A214A" w:rsidP="003A214A"/>
    <w:p w:rsidR="00E365E1" w:rsidRPr="00064C1A" w:rsidRDefault="00E365E1" w:rsidP="000633AD">
      <w:bookmarkStart w:id="8" w:name="TextBodyEnd"/>
      <w:bookmarkEnd w:id="8"/>
    </w:p>
    <w:sectPr w:rsidR="00E365E1" w:rsidRPr="00064C1A" w:rsidSect="002B1D9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33AD" w:rsidRPr="002B1D9D" w:rsidRDefault="000633AD">
      <w:r w:rsidRPr="002B1D9D">
        <w:separator/>
      </w:r>
    </w:p>
  </w:endnote>
  <w:endnote w:type="continuationSeparator" w:id="0">
    <w:p w:rsidR="000633AD" w:rsidRPr="002B1D9D" w:rsidRDefault="000633AD">
      <w:r w:rsidRPr="002B1D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D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D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D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33AD" w:rsidRPr="002B1D9D" w:rsidRDefault="000633AD">
      <w:r w:rsidRPr="002B1D9D">
        <w:separator/>
      </w:r>
    </w:p>
  </w:footnote>
  <w:footnote w:type="continuationSeparator" w:id="0">
    <w:p w:rsidR="000633AD" w:rsidRPr="002B1D9D" w:rsidRDefault="000633AD">
      <w:r w:rsidRPr="002B1D9D">
        <w:continuationSeparator/>
      </w:r>
    </w:p>
  </w:footnote>
  <w:footnote w:id="1">
    <w:p w:rsidR="003A214A" w:rsidRPr="002B1D9D" w:rsidRDefault="003A214A" w:rsidP="002B1D9D">
      <w:pPr>
        <w:pStyle w:val="FootnoteText"/>
        <w:ind w:left="567" w:hanging="567"/>
        <w:rPr>
          <w:sz w:val="24"/>
          <w:lang w:val="lv-LV"/>
        </w:rPr>
      </w:pPr>
      <w:r w:rsidRPr="002B1D9D">
        <w:rPr>
          <w:rStyle w:val="FootnoteReference"/>
          <w:sz w:val="24"/>
          <w:lang w:val="lv-LV"/>
        </w:rPr>
        <w:footnoteRef/>
      </w:r>
      <w:r w:rsidR="002B1D9D" w:rsidRPr="002B1D9D">
        <w:rPr>
          <w:sz w:val="24"/>
          <w:lang w:val="lv-LV"/>
        </w:rPr>
        <w:t xml:space="preserve"> </w:t>
      </w:r>
      <w:r w:rsidR="002B1D9D" w:rsidRPr="002B1D9D">
        <w:rPr>
          <w:sz w:val="24"/>
          <w:lang w:val="lv-LV"/>
        </w:rPr>
        <w:tab/>
      </w:r>
      <w:r w:rsidRPr="002B1D9D">
        <w:rPr>
          <w:sz w:val="24"/>
          <w:lang w:val="lv-LV"/>
        </w:rPr>
        <w:t>OV L 47, 18.2.2004., 1. lpp.</w:t>
      </w:r>
    </w:p>
  </w:footnote>
  <w:footnote w:id="2">
    <w:p w:rsidR="003A214A" w:rsidRPr="002B1D9D" w:rsidRDefault="003A214A" w:rsidP="002B1D9D">
      <w:pPr>
        <w:pStyle w:val="FootnoteText"/>
        <w:ind w:left="567" w:hanging="567"/>
        <w:rPr>
          <w:sz w:val="24"/>
          <w:lang w:val="lv-LV"/>
        </w:rPr>
      </w:pPr>
      <w:r w:rsidRPr="002B1D9D">
        <w:rPr>
          <w:rStyle w:val="FootnoteReference"/>
          <w:sz w:val="24"/>
          <w:lang w:val="lv-LV"/>
        </w:rPr>
        <w:footnoteRef/>
      </w:r>
      <w:r w:rsidR="002B1D9D" w:rsidRPr="002B1D9D">
        <w:rPr>
          <w:sz w:val="24"/>
          <w:lang w:val="lv-LV"/>
        </w:rPr>
        <w:t xml:space="preserve"> </w:t>
      </w:r>
      <w:r w:rsidR="002B1D9D" w:rsidRPr="002B1D9D">
        <w:rPr>
          <w:sz w:val="24"/>
          <w:lang w:val="lv-LV"/>
        </w:rPr>
        <w:tab/>
      </w:r>
      <w:r w:rsidRPr="002B1D9D">
        <w:rPr>
          <w:sz w:val="24"/>
          <w:lang w:val="lv-LV"/>
        </w:rPr>
        <w:t>OV L 22, 26.1.2005., 1.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D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D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D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13/2024"/>
    <w:docVar w:name="dvlangue" w:val="LV"/>
    <w:docVar w:name="dvnumam" w:val="0"/>
    <w:docVar w:name="dvpe" w:val="760.991"/>
    <w:docVar w:name="dvtitre" w:val="Eiropas Parlamenta 2024. gada XX. XXX  rezolūcija par iebildumu neizteikšanu pret Komisijas 2024. gada 28. februāra deleģēto regulu, ar ko attiecībā uz narkotisko vielu prekursora izopropilidēna (2-(3,4-metilēndioksifenil)acetil)malonāta (IMDPAM) un citu vielu iekļaušanu klasificēto vielu sarakstā groza Eiropas Parlamenta un Padomes Regulu (EK) Nr. 273/2004 un Padomes Regulu (EK) Nr. 111/2005(C(2024)01219 - 2024/2606(DEA))"/>
  </w:docVars>
  <w:rsids>
    <w:rsidRoot w:val="000633AD"/>
    <w:rsid w:val="00002272"/>
    <w:rsid w:val="000633AD"/>
    <w:rsid w:val="00064002"/>
    <w:rsid w:val="00064C1A"/>
    <w:rsid w:val="000677B9"/>
    <w:rsid w:val="000831BA"/>
    <w:rsid w:val="000A42CC"/>
    <w:rsid w:val="000E7DD9"/>
    <w:rsid w:val="0010095E"/>
    <w:rsid w:val="00125B37"/>
    <w:rsid w:val="00187494"/>
    <w:rsid w:val="001F32AE"/>
    <w:rsid w:val="002767FF"/>
    <w:rsid w:val="002B18FE"/>
    <w:rsid w:val="002B1D9D"/>
    <w:rsid w:val="002B5493"/>
    <w:rsid w:val="00343214"/>
    <w:rsid w:val="00361C00"/>
    <w:rsid w:val="00395FA1"/>
    <w:rsid w:val="003A214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73D3"/>
    <w:rsid w:val="006037C0"/>
    <w:rsid w:val="006631B6"/>
    <w:rsid w:val="00680577"/>
    <w:rsid w:val="006F74FA"/>
    <w:rsid w:val="00731ADD"/>
    <w:rsid w:val="00734777"/>
    <w:rsid w:val="00747932"/>
    <w:rsid w:val="00751A4A"/>
    <w:rsid w:val="00756632"/>
    <w:rsid w:val="00762C74"/>
    <w:rsid w:val="00763F7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B7799"/>
  <w15:chartTrackingRefBased/>
  <w15:docId w15:val="{A0EBB6F2-F305-457F-8172-55AAE5CEC3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A214A"/>
    <w:pPr>
      <w:spacing w:before="480" w:after="240"/>
    </w:pPr>
  </w:style>
  <w:style w:type="paragraph" w:customStyle="1" w:styleId="NormalBold">
    <w:name w:val="NormalBold"/>
    <w:basedOn w:val="Normal"/>
    <w:rsid w:val="003A214A"/>
    <w:rPr>
      <w:b/>
    </w:rPr>
  </w:style>
  <w:style w:type="paragraph" w:customStyle="1" w:styleId="NormalHanging12a">
    <w:name w:val="NormalHanging12a"/>
    <w:basedOn w:val="Normal"/>
    <w:rsid w:val="003A214A"/>
    <w:pPr>
      <w:spacing w:after="240"/>
      <w:ind w:left="567" w:hanging="567"/>
    </w:pPr>
  </w:style>
  <w:style w:type="paragraph" w:customStyle="1" w:styleId="ManualConsidrant">
    <w:name w:val="Manual Considérant"/>
    <w:basedOn w:val="Normal"/>
    <w:rsid w:val="003A214A"/>
    <w:pPr>
      <w:widowControl/>
      <w:spacing w:before="120" w:after="120"/>
      <w:ind w:left="709" w:hanging="709"/>
      <w:jc w:val="both"/>
    </w:pPr>
    <w:rPr>
      <w:rFonts w:eastAsiaTheme="minorHAnsi"/>
      <w:szCs w:val="22"/>
      <w:lang w:eastAsia="en-US"/>
    </w:rPr>
  </w:style>
  <w:style w:type="paragraph" w:styleId="BalloonText">
    <w:name w:val="Balloon Text"/>
    <w:basedOn w:val="Normal"/>
    <w:link w:val="BalloonTextChar"/>
    <w:rsid w:val="00763F77"/>
    <w:rPr>
      <w:rFonts w:ascii="Segoe UI" w:hAnsi="Segoe UI" w:cs="Segoe UI"/>
      <w:sz w:val="18"/>
      <w:szCs w:val="18"/>
    </w:rPr>
  </w:style>
  <w:style w:type="character" w:customStyle="1" w:styleId="BalloonTextChar">
    <w:name w:val="Balloon Text Char"/>
    <w:basedOn w:val="DefaultParagraphFont"/>
    <w:link w:val="BalloonText"/>
    <w:rsid w:val="00763F77"/>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5CCF2-7DAF-462E-A62D-4E607BE5D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495</Words>
  <Characters>3404</Characters>
  <Application>Microsoft Office Word</Application>
  <DocSecurity>0</DocSecurity>
  <Lines>136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2024-04-24T09:22:00Z</dcterms:created>
  <dcterms:modified xsi:type="dcterms:W3CDTF">2024-04-24T09:22:00Z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B9-0213/2024</vt:lpwstr>
  </property>
  <property fmtid="{D5CDD505-2E9C-101B-9397-08002B2CF9AE}" pid="4" name="&lt;Type&gt;">
    <vt:lpwstr>RR</vt:lpwstr>
  </property>
</Properties>
</file>