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638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638E" w:rsidRDefault="008934DC" w:rsidP="0010095E">
            <w:pPr>
              <w:pStyle w:val="EPName"/>
            </w:pPr>
            <w:r w:rsidRPr="0076638E">
              <w:t>Parlament Ewropew</w:t>
            </w:r>
          </w:p>
          <w:p w:rsidR="00751A4A" w:rsidRPr="0076638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638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6638E" w:rsidRDefault="00187494" w:rsidP="0010095E">
            <w:pPr>
              <w:pStyle w:val="EPLogo"/>
            </w:pPr>
            <w:r w:rsidRPr="0076638E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638E" w:rsidRDefault="00D058B8" w:rsidP="004C5D52">
      <w:pPr>
        <w:pStyle w:val="LineTop"/>
      </w:pPr>
    </w:p>
    <w:p w:rsidR="00680577" w:rsidRPr="0076638E" w:rsidRDefault="008934DC" w:rsidP="00680577">
      <w:pPr>
        <w:pStyle w:val="EPBodyTA1"/>
      </w:pPr>
      <w:r w:rsidRPr="0076638E">
        <w:t>TESTI ADOTTATI</w:t>
      </w:r>
    </w:p>
    <w:p w:rsidR="00D058B8" w:rsidRPr="0076638E" w:rsidRDefault="00D058B8" w:rsidP="00D058B8">
      <w:pPr>
        <w:pStyle w:val="LineBottom"/>
      </w:pPr>
    </w:p>
    <w:p w:rsidR="008934DC" w:rsidRPr="0076638E" w:rsidRDefault="008934DC" w:rsidP="008934DC">
      <w:pPr>
        <w:pStyle w:val="ATHeading1"/>
      </w:pPr>
      <w:bookmarkStart w:id="0" w:name="TANumber"/>
      <w:r w:rsidRPr="0076638E">
        <w:t>P9_TA(2024)0</w:t>
      </w:r>
      <w:bookmarkEnd w:id="0"/>
      <w:r w:rsidR="007365E8">
        <w:t>314</w:t>
      </w:r>
    </w:p>
    <w:p w:rsidR="008934DC" w:rsidRPr="0076638E" w:rsidRDefault="007365E8" w:rsidP="008934DC">
      <w:pPr>
        <w:pStyle w:val="ATHeading2"/>
      </w:pPr>
      <w:r w:rsidRPr="007365E8">
        <w:t xml:space="preserve">Rakkomandazzjoni għal deċiżjoni li ma jkunx hemm oppożizzjoni għal att </w:t>
      </w:r>
      <w:proofErr w:type="spellStart"/>
      <w:r w:rsidRPr="007365E8">
        <w:t>iddelegat</w:t>
      </w:r>
      <w:proofErr w:type="spellEnd"/>
      <w:r w:rsidRPr="007365E8">
        <w:t>: tal-inklużjoni tal-</w:t>
      </w:r>
      <w:proofErr w:type="spellStart"/>
      <w:r w:rsidRPr="007365E8">
        <w:t>prekursur</w:t>
      </w:r>
      <w:proofErr w:type="spellEnd"/>
      <w:r w:rsidRPr="007365E8">
        <w:t xml:space="preserve"> tad-droga </w:t>
      </w:r>
      <w:proofErr w:type="spellStart"/>
      <w:r w:rsidRPr="007365E8">
        <w:t>Malonat</w:t>
      </w:r>
      <w:proofErr w:type="spellEnd"/>
      <w:r w:rsidRPr="007365E8">
        <w:t xml:space="preserve"> tal-</w:t>
      </w:r>
      <w:proofErr w:type="spellStart"/>
      <w:r w:rsidRPr="007365E8">
        <w:t>isopropiliden</w:t>
      </w:r>
      <w:proofErr w:type="spellEnd"/>
      <w:r w:rsidRPr="007365E8">
        <w:t xml:space="preserve"> (2-(3,4-metilendiossifenil)</w:t>
      </w:r>
      <w:proofErr w:type="spellStart"/>
      <w:r w:rsidRPr="007365E8">
        <w:t>aċetil</w:t>
      </w:r>
      <w:proofErr w:type="spellEnd"/>
      <w:r w:rsidRPr="007365E8">
        <w:t>) (IMDPAM) u ta’ sustanzi oħra fil-lista ta’ sustanzi skedati</w:t>
      </w:r>
    </w:p>
    <w:p w:rsidR="008934DC" w:rsidRPr="0076638E" w:rsidRDefault="008934DC" w:rsidP="008934DC">
      <w:pPr>
        <w:rPr>
          <w:i/>
          <w:vanish/>
        </w:rPr>
      </w:pPr>
      <w:r w:rsidRPr="0076638E">
        <w:rPr>
          <w:i/>
        </w:rPr>
        <w:fldChar w:fldCharType="begin"/>
      </w:r>
      <w:r w:rsidRPr="0076638E">
        <w:rPr>
          <w:i/>
        </w:rPr>
        <w:instrText xml:space="preserve"> TC"(</w:instrText>
      </w:r>
      <w:bookmarkStart w:id="1" w:name="DocNumber"/>
      <w:r w:rsidRPr="0076638E">
        <w:rPr>
          <w:i/>
        </w:rPr>
        <w:instrText>B9-0213/2024</w:instrText>
      </w:r>
      <w:bookmarkEnd w:id="1"/>
      <w:r w:rsidRPr="0076638E">
        <w:rPr>
          <w:i/>
        </w:rPr>
        <w:instrText xml:space="preserve">)"\l3 \n&gt; \* MERGEFORMAT </w:instrText>
      </w:r>
      <w:r w:rsidRPr="0076638E">
        <w:rPr>
          <w:i/>
        </w:rPr>
        <w:fldChar w:fldCharType="end"/>
      </w:r>
    </w:p>
    <w:p w:rsidR="008934DC" w:rsidRPr="0076638E" w:rsidRDefault="008934DC" w:rsidP="008934DC">
      <w:pPr>
        <w:rPr>
          <w:vanish/>
        </w:rPr>
      </w:pPr>
      <w:bookmarkStart w:id="2" w:name="PE"/>
      <w:r w:rsidRPr="0076638E">
        <w:rPr>
          <w:vanish/>
        </w:rPr>
        <w:t>PE760.991</w:t>
      </w:r>
      <w:bookmarkEnd w:id="2"/>
    </w:p>
    <w:p w:rsidR="008934DC" w:rsidRPr="0076638E" w:rsidRDefault="007365E8" w:rsidP="008934DC">
      <w:pPr>
        <w:pStyle w:val="ATHeading3"/>
      </w:pPr>
      <w:bookmarkStart w:id="3" w:name="Sujet"/>
      <w:r>
        <w:t>Deċiżjoni</w:t>
      </w:r>
      <w:r w:rsidR="008934DC" w:rsidRPr="0076638E">
        <w:t xml:space="preserve"> tal-Parlament Ewropew li ma ssir ebda oġġezzjoni għar-regolament delegat tal-Kummissjoni tat-28 ta’ Frar 2024 li jemenda r-Regolament (KE) Nru 273/2004 tal-Parlament Ewropew u tal-Kunsill u r-Regolament tal-Kunsill (KE) Nru 111/2005 fir-rigward tal-inklużjoni tal-</w:t>
      </w:r>
      <w:proofErr w:type="spellStart"/>
      <w:r w:rsidR="008934DC" w:rsidRPr="0076638E">
        <w:t>prekursur</w:t>
      </w:r>
      <w:proofErr w:type="spellEnd"/>
      <w:r w:rsidR="008934DC" w:rsidRPr="0076638E">
        <w:t xml:space="preserve"> tad-droga </w:t>
      </w:r>
      <w:proofErr w:type="spellStart"/>
      <w:r w:rsidR="008934DC" w:rsidRPr="0076638E">
        <w:t>Malonat</w:t>
      </w:r>
      <w:proofErr w:type="spellEnd"/>
      <w:r w:rsidR="008934DC" w:rsidRPr="0076638E">
        <w:t xml:space="preserve"> tal-</w:t>
      </w:r>
      <w:proofErr w:type="spellStart"/>
      <w:r w:rsidR="008934DC" w:rsidRPr="0076638E">
        <w:t>isopropiliden</w:t>
      </w:r>
      <w:proofErr w:type="spellEnd"/>
      <w:r w:rsidR="008934DC" w:rsidRPr="0076638E">
        <w:t xml:space="preserve"> (2-(3,4-metilendiossifenil)</w:t>
      </w:r>
      <w:proofErr w:type="spellStart"/>
      <w:r w:rsidR="008934DC" w:rsidRPr="0076638E">
        <w:t>aċetil</w:t>
      </w:r>
      <w:proofErr w:type="spellEnd"/>
      <w:r w:rsidR="008934DC" w:rsidRPr="0076638E">
        <w:t>) (IMDPAM) u ta’ sustanzi oħra fil-lista ta’ sustanzi skedati</w:t>
      </w:r>
      <w:bookmarkEnd w:id="3"/>
      <w:r w:rsidR="008934DC" w:rsidRPr="0076638E">
        <w:t xml:space="preserve"> </w:t>
      </w:r>
      <w:bookmarkStart w:id="4" w:name="References"/>
      <w:r w:rsidR="008934DC" w:rsidRPr="0076638E">
        <w:t>(C(2024)01219 - 2024/2606(DEA))</w:t>
      </w:r>
      <w:bookmarkEnd w:id="4"/>
    </w:p>
    <w:p w:rsidR="00607EFE" w:rsidRPr="0076638E" w:rsidRDefault="00607EFE" w:rsidP="00607EFE">
      <w:pPr>
        <w:pStyle w:val="EPComma"/>
      </w:pPr>
      <w:r w:rsidRPr="0076638E">
        <w:rPr>
          <w:i/>
        </w:rPr>
        <w:t>Il-Parlament Ewropew</w:t>
      </w:r>
      <w:r w:rsidRPr="0076638E">
        <w:t>,</w:t>
      </w:r>
    </w:p>
    <w:p w:rsidR="00607EFE" w:rsidRPr="0076638E" w:rsidRDefault="00607EFE" w:rsidP="00607EFE">
      <w:pPr>
        <w:pStyle w:val="NormalHanging12a"/>
      </w:pPr>
      <w:r w:rsidRPr="0076638E">
        <w:t>–</w:t>
      </w:r>
      <w:r w:rsidRPr="0076638E">
        <w:tab/>
        <w:t>wara li kkunsidra r-regolament delegat tal-Kummissjoni (C(2024)01219),</w:t>
      </w:r>
    </w:p>
    <w:p w:rsidR="00607EFE" w:rsidRPr="0076638E" w:rsidRDefault="00607EFE" w:rsidP="00607EFE">
      <w:pPr>
        <w:pStyle w:val="NormalHanging12a"/>
        <w:rPr>
          <w:spacing w:val="-2"/>
          <w:szCs w:val="24"/>
        </w:rPr>
      </w:pPr>
      <w:r w:rsidRPr="0076638E">
        <w:t>–</w:t>
      </w:r>
      <w:r w:rsidRPr="0076638E">
        <w:tab/>
        <w:t>wara li kkunsidra l-ittra tal-Kummissjoni tat-13 ta’ Marzu 2024, li permezz tagħha talbet lill-Parlament jiddikjara li mhux se joġġezzjona għar-Regolament delegat,</w:t>
      </w:r>
    </w:p>
    <w:p w:rsidR="00607EFE" w:rsidRPr="0076638E" w:rsidRDefault="00607EFE" w:rsidP="00607EFE">
      <w:pPr>
        <w:pStyle w:val="NormalHanging12a"/>
      </w:pPr>
      <w:r w:rsidRPr="0076638E">
        <w:t>–</w:t>
      </w:r>
      <w:r w:rsidRPr="0076638E">
        <w:tab/>
        <w:t>wara li kkunsidra l-ittra tal-Kumitat għal-Libertajiet Ċivili, il-Ġustizzja u l-Intern lill-President tal-Konferenza tal-Presidenti tal-Kumitati,</w:t>
      </w:r>
    </w:p>
    <w:p w:rsidR="00607EFE" w:rsidRPr="0076638E" w:rsidRDefault="00607EFE" w:rsidP="00607EFE">
      <w:pPr>
        <w:pStyle w:val="NormalHanging12a"/>
      </w:pPr>
      <w:r w:rsidRPr="0076638E">
        <w:t>–</w:t>
      </w:r>
      <w:r w:rsidRPr="0076638E">
        <w:tab/>
        <w:t>wara li kkunsidra l-Artikolu 290 tat-Trattat dwar il-Funzjonament tal-Unjoni Ewropea,</w:t>
      </w:r>
    </w:p>
    <w:p w:rsidR="00607EFE" w:rsidRPr="0076638E" w:rsidRDefault="00607EFE" w:rsidP="00607EFE">
      <w:pPr>
        <w:pStyle w:val="NormalHanging12a"/>
      </w:pPr>
      <w:r w:rsidRPr="0076638E">
        <w:t>–</w:t>
      </w:r>
      <w:r w:rsidRPr="0076638E">
        <w:tab/>
        <w:t>wara li kkunsidra r-Regolament (KE) Nru 273/2004 tal-Parlament Ewropew u tal-Kunsill tal-11 ta’ Frar 2004</w:t>
      </w:r>
      <w:r w:rsidRPr="0076638E">
        <w:rPr>
          <w:rStyle w:val="FootnoteReference"/>
          <w:szCs w:val="24"/>
        </w:rPr>
        <w:footnoteReference w:id="1"/>
      </w:r>
      <w:r w:rsidRPr="0076638E">
        <w:t xml:space="preserve"> dwar </w:t>
      </w:r>
      <w:proofErr w:type="spellStart"/>
      <w:r w:rsidRPr="0076638E">
        <w:t>prekursuri</w:t>
      </w:r>
      <w:proofErr w:type="spellEnd"/>
      <w:r w:rsidRPr="0076638E">
        <w:t xml:space="preserve"> tad-droga, u b’mod partikolari l-Artikoli 15 u 15a(5) tiegħu,</w:t>
      </w:r>
    </w:p>
    <w:p w:rsidR="00607EFE" w:rsidRPr="0076638E" w:rsidRDefault="00607EFE" w:rsidP="00607EFE">
      <w:pPr>
        <w:pStyle w:val="NormalHanging12a"/>
      </w:pPr>
      <w:r w:rsidRPr="0076638E">
        <w:t>–</w:t>
      </w:r>
      <w:r w:rsidRPr="0076638E">
        <w:tab/>
        <w:t>wara li kkunsidra r-Regolament tal-Kunsill (KE) Nru 111/2005 tat-22 ta’ Diċembru 2004</w:t>
      </w:r>
      <w:r w:rsidRPr="0076638E">
        <w:rPr>
          <w:rStyle w:val="FootnoteReference"/>
        </w:rPr>
        <w:footnoteReference w:id="2"/>
      </w:r>
      <w:r w:rsidRPr="0076638E">
        <w:t xml:space="preserve"> li jistabbilixxi regoli </w:t>
      </w:r>
      <w:proofErr w:type="spellStart"/>
      <w:r w:rsidRPr="0076638E">
        <w:t>għall-monitoraġġ</w:t>
      </w:r>
      <w:proofErr w:type="spellEnd"/>
      <w:r w:rsidRPr="0076638E">
        <w:t xml:space="preserve"> ta’ kummerċ fil-</w:t>
      </w:r>
      <w:proofErr w:type="spellStart"/>
      <w:r w:rsidRPr="0076638E">
        <w:t>prekursuri</w:t>
      </w:r>
      <w:proofErr w:type="spellEnd"/>
      <w:r w:rsidRPr="0076638E">
        <w:t xml:space="preserve"> ta’ drogi bejn il-Komunità u pajjiżi terzi, u b’mod partikolari l-Artikoli 30a u 30b(5) tiegħu,</w:t>
      </w:r>
    </w:p>
    <w:p w:rsidR="00607EFE" w:rsidRPr="0076638E" w:rsidRDefault="00607EFE" w:rsidP="00607EFE">
      <w:pPr>
        <w:pStyle w:val="NormalHanging12a"/>
      </w:pPr>
      <w:r w:rsidRPr="0076638E">
        <w:lastRenderedPageBreak/>
        <w:t>–</w:t>
      </w:r>
      <w:r w:rsidRPr="0076638E">
        <w:tab/>
        <w:t>wara li kkunsidra l-Artikolu 111(6) tar-Regoli ta’ Proċedura tiegħu,</w:t>
      </w:r>
    </w:p>
    <w:p w:rsidR="00607EFE" w:rsidRDefault="00607EFE" w:rsidP="00607EFE">
      <w:pPr>
        <w:pStyle w:val="NormalHanging12a"/>
      </w:pPr>
      <w:r w:rsidRPr="0076638E">
        <w:t>–</w:t>
      </w:r>
      <w:r w:rsidRPr="0076638E">
        <w:tab/>
        <w:t>wara li kkunsidra r-rakkomandazzjoni għal deċiżjoni tal-Kumitat għal-Libertajiet Ċivili, il-Ġustizzja u l-Intern,</w:t>
      </w:r>
    </w:p>
    <w:p w:rsidR="007365E8" w:rsidRPr="0076638E" w:rsidRDefault="007365E8" w:rsidP="00607EFE">
      <w:pPr>
        <w:pStyle w:val="NormalHanging12a"/>
      </w:pPr>
      <w:r>
        <w:t>–</w:t>
      </w:r>
      <w:r>
        <w:tab/>
      </w:r>
      <w:r w:rsidRPr="007365E8">
        <w:t xml:space="preserve">wara li kkunsidra l-fatt li ma </w:t>
      </w:r>
      <w:r>
        <w:t>saret</w:t>
      </w:r>
      <w:r w:rsidRPr="007365E8">
        <w:t xml:space="preserve"> l-ebda oġġezzjoni fit-terminu stabbilit fl-Artikolu 111(6), it-tielet u r-raba’ </w:t>
      </w:r>
      <w:proofErr w:type="spellStart"/>
      <w:r w:rsidRPr="007365E8">
        <w:t>inċiż</w:t>
      </w:r>
      <w:proofErr w:type="spellEnd"/>
      <w:r w:rsidRPr="007365E8">
        <w:t>, tar-Regoli ta’ Proċedura tiegħu, li skada fit-23 ta’ April 2024,</w:t>
      </w:r>
    </w:p>
    <w:p w:rsidR="00607EFE" w:rsidRPr="0076638E" w:rsidRDefault="00607EFE" w:rsidP="00607EFE">
      <w:pPr>
        <w:pStyle w:val="NormalHanging12a"/>
      </w:pPr>
      <w:r w:rsidRPr="0076638E">
        <w:t>A.</w:t>
      </w:r>
      <w:r w:rsidRPr="0076638E">
        <w:tab/>
        <w:t>billi l-qafas leġiżlattiv tal-UE dwar miżuri għall-kontroll tal-aċċess għal sustanzi użati fil-manifattura ta’ drogi illeċiti jrid jiġi aġġornat kontinwament biex tiġi miġġielda l-proliferazzjoni tal-hekk imsejħa “</w:t>
      </w:r>
      <w:proofErr w:type="spellStart"/>
      <w:r w:rsidRPr="0076638E">
        <w:t>designer</w:t>
      </w:r>
      <w:proofErr w:type="spellEnd"/>
      <w:r w:rsidRPr="0076638E">
        <w:t xml:space="preserve"> </w:t>
      </w:r>
      <w:proofErr w:type="spellStart"/>
      <w:r w:rsidRPr="0076638E">
        <w:t>precursors</w:t>
      </w:r>
      <w:proofErr w:type="spellEnd"/>
      <w:r w:rsidRPr="0076638E">
        <w:t xml:space="preserve">”, li </w:t>
      </w:r>
      <w:proofErr w:type="spellStart"/>
      <w:r w:rsidRPr="0076638E">
        <w:t>kimikament</w:t>
      </w:r>
      <w:proofErr w:type="spellEnd"/>
      <w:r w:rsidRPr="0076638E">
        <w:t xml:space="preserve"> huma qraba tal-</w:t>
      </w:r>
      <w:proofErr w:type="spellStart"/>
      <w:r w:rsidRPr="0076638E">
        <w:t>prekursuri</w:t>
      </w:r>
      <w:proofErr w:type="spellEnd"/>
      <w:r w:rsidRPr="0076638E">
        <w:t xml:space="preserve"> tad-droga tradizzjonali maħluqa biex jiġu evitati r-regoli eżistenti;</w:t>
      </w:r>
    </w:p>
    <w:p w:rsidR="00607EFE" w:rsidRPr="0076638E" w:rsidRDefault="00607EFE" w:rsidP="00607EFE">
      <w:pPr>
        <w:pStyle w:val="ManualConsidrant"/>
        <w:ind w:left="567" w:hanging="567"/>
        <w:jc w:val="left"/>
        <w:rPr>
          <w:noProof/>
        </w:rPr>
      </w:pPr>
      <w:r w:rsidRPr="0076638E">
        <w:t>B.</w:t>
      </w:r>
      <w:r w:rsidRPr="0076638E">
        <w:tab/>
        <w:t>billi l-melħ tas-sodju tal-</w:t>
      </w:r>
      <w:proofErr w:type="spellStart"/>
      <w:r w:rsidRPr="0076638E">
        <w:t>Malonat</w:t>
      </w:r>
      <w:proofErr w:type="spellEnd"/>
      <w:r w:rsidRPr="0076638E">
        <w:t xml:space="preserve"> tal-</w:t>
      </w:r>
      <w:proofErr w:type="spellStart"/>
      <w:r w:rsidRPr="0076638E">
        <w:t>isopropiliden</w:t>
      </w:r>
      <w:proofErr w:type="spellEnd"/>
      <w:r w:rsidRPr="0076638E">
        <w:t xml:space="preserve"> (2-(3,4-metilendiossifenil)</w:t>
      </w:r>
      <w:proofErr w:type="spellStart"/>
      <w:r w:rsidRPr="0076638E">
        <w:t>aċetil</w:t>
      </w:r>
      <w:proofErr w:type="spellEnd"/>
      <w:r w:rsidRPr="0076638E">
        <w:t xml:space="preserve">) (IMDPAM) ġie identifikat bħala </w:t>
      </w:r>
      <w:proofErr w:type="spellStart"/>
      <w:r w:rsidRPr="0076638E">
        <w:t>prekursur</w:t>
      </w:r>
      <w:proofErr w:type="spellEnd"/>
      <w:r w:rsidRPr="0076638E">
        <w:t xml:space="preserve"> tad-droga żviluppat reċentement li jintuża fil-produzzjoni tal-MDMA (3,4-metilendiossimetamfetamina), magħrufa </w:t>
      </w:r>
      <w:proofErr w:type="spellStart"/>
      <w:r w:rsidRPr="0076638E">
        <w:t>komunement</w:t>
      </w:r>
      <w:proofErr w:type="spellEnd"/>
      <w:r w:rsidRPr="0076638E">
        <w:t xml:space="preserve"> bħala “</w:t>
      </w:r>
      <w:proofErr w:type="spellStart"/>
      <w:r w:rsidRPr="0076638E">
        <w:t>ecstasy</w:t>
      </w:r>
      <w:proofErr w:type="spellEnd"/>
      <w:r w:rsidRPr="0076638E">
        <w:t>”;</w:t>
      </w:r>
    </w:p>
    <w:p w:rsidR="00607EFE" w:rsidRPr="0076638E" w:rsidRDefault="00607EFE" w:rsidP="00607EFE">
      <w:pPr>
        <w:pStyle w:val="ManualConsidrant"/>
        <w:ind w:left="567" w:hanging="567"/>
        <w:jc w:val="left"/>
        <w:rPr>
          <w:noProof/>
        </w:rPr>
      </w:pPr>
      <w:r w:rsidRPr="0076638E">
        <w:t>C.</w:t>
      </w:r>
      <w:r w:rsidRPr="0076638E">
        <w:tab/>
        <w:t xml:space="preserve">billi seba’ </w:t>
      </w:r>
      <w:proofErr w:type="spellStart"/>
      <w:r w:rsidRPr="0076638E">
        <w:t>esteri</w:t>
      </w:r>
      <w:proofErr w:type="spellEnd"/>
      <w:r w:rsidRPr="0076638E">
        <w:t xml:space="preserve"> tat-2-metil-3-fenilossiran-2-aċidu </w:t>
      </w:r>
      <w:proofErr w:type="spellStart"/>
      <w:r w:rsidRPr="0076638E">
        <w:t>karbossiliku</w:t>
      </w:r>
      <w:proofErr w:type="spellEnd"/>
      <w:r w:rsidRPr="0076638E">
        <w:t xml:space="preserve"> (aċidu </w:t>
      </w:r>
      <w:proofErr w:type="spellStart"/>
      <w:r w:rsidRPr="0076638E">
        <w:t>gliċidiku</w:t>
      </w:r>
      <w:proofErr w:type="spellEnd"/>
      <w:r w:rsidRPr="0076638E">
        <w:t xml:space="preserve"> BMK) u sitt </w:t>
      </w:r>
      <w:proofErr w:type="spellStart"/>
      <w:r w:rsidRPr="0076638E">
        <w:t>esteri</w:t>
      </w:r>
      <w:proofErr w:type="spellEnd"/>
      <w:r w:rsidRPr="0076638E">
        <w:t xml:space="preserve"> tat-3-(1,3-benżodiossol-5-il)-2-metil-ossiran-2-aċidu </w:t>
      </w:r>
      <w:proofErr w:type="spellStart"/>
      <w:r w:rsidRPr="0076638E">
        <w:t>karbossiliku</w:t>
      </w:r>
      <w:proofErr w:type="spellEnd"/>
      <w:r w:rsidRPr="0076638E">
        <w:t xml:space="preserve"> (aċidu </w:t>
      </w:r>
      <w:proofErr w:type="spellStart"/>
      <w:r w:rsidRPr="0076638E">
        <w:t>gliċidiku</w:t>
      </w:r>
      <w:proofErr w:type="spellEnd"/>
      <w:r w:rsidRPr="0076638E">
        <w:t xml:space="preserve"> PMK)) ġew identifikati bħala sostituti possibbli tal-aċidu </w:t>
      </w:r>
      <w:proofErr w:type="spellStart"/>
      <w:r w:rsidRPr="0076638E">
        <w:t>gliċidiku</w:t>
      </w:r>
      <w:proofErr w:type="spellEnd"/>
      <w:r w:rsidRPr="0076638E">
        <w:t xml:space="preserve"> BMK u tal-aċidu </w:t>
      </w:r>
      <w:proofErr w:type="spellStart"/>
      <w:r w:rsidRPr="0076638E">
        <w:t>gliċidiku</w:t>
      </w:r>
      <w:proofErr w:type="spellEnd"/>
      <w:r w:rsidRPr="0076638E">
        <w:t xml:space="preserve"> PMK, li huma </w:t>
      </w:r>
      <w:proofErr w:type="spellStart"/>
      <w:r w:rsidRPr="0076638E">
        <w:t>prekursuri</w:t>
      </w:r>
      <w:proofErr w:type="spellEnd"/>
      <w:r w:rsidRPr="0076638E">
        <w:t xml:space="preserve"> kontrollati skont id-dritt tal-UE, fil-produzzjoni ta’ drogi illeċiti </w:t>
      </w:r>
      <w:proofErr w:type="spellStart"/>
      <w:r w:rsidRPr="0076638E">
        <w:t>bħall</w:t>
      </w:r>
      <w:proofErr w:type="spellEnd"/>
      <w:r w:rsidRPr="0076638E">
        <w:t>-MDMA, il-</w:t>
      </w:r>
      <w:proofErr w:type="spellStart"/>
      <w:r w:rsidRPr="0076638E">
        <w:t>metamfetamina</w:t>
      </w:r>
      <w:proofErr w:type="spellEnd"/>
      <w:r w:rsidRPr="0076638E">
        <w:t xml:space="preserve"> u l-amfetamina;</w:t>
      </w:r>
    </w:p>
    <w:p w:rsidR="00607EFE" w:rsidRPr="0076638E" w:rsidRDefault="00607EFE" w:rsidP="00607EFE">
      <w:pPr>
        <w:pStyle w:val="ManualConsidrant"/>
        <w:ind w:left="567" w:hanging="567"/>
        <w:jc w:val="left"/>
        <w:rPr>
          <w:noProof/>
        </w:rPr>
      </w:pPr>
      <w:r w:rsidRPr="0076638E">
        <w:t>D.</w:t>
      </w:r>
      <w:r w:rsidRPr="0076638E">
        <w:tab/>
        <w:t xml:space="preserve">billi huwa meħtieġ li tiġi emendata l-lista ta’ sustanzi skedati inklużi fl-Anness I tar-Regolament (KE) Nru 273/2004 u fl-Anness tar-Regolament (KE) Nru 111/2005 biex l-IMDPAM u </w:t>
      </w:r>
      <w:proofErr w:type="spellStart"/>
      <w:r w:rsidRPr="0076638E">
        <w:t>l-esteri</w:t>
      </w:r>
      <w:proofErr w:type="spellEnd"/>
      <w:r w:rsidRPr="0076638E">
        <w:t xml:space="preserve"> identifikati tal-aċidu </w:t>
      </w:r>
      <w:proofErr w:type="spellStart"/>
      <w:r w:rsidRPr="0076638E">
        <w:t>gliċidiku</w:t>
      </w:r>
      <w:proofErr w:type="spellEnd"/>
      <w:r w:rsidRPr="0076638E">
        <w:t xml:space="preserve"> BMK u l-aċidu </w:t>
      </w:r>
      <w:proofErr w:type="spellStart"/>
      <w:r w:rsidRPr="0076638E">
        <w:t>gliċidiku</w:t>
      </w:r>
      <w:proofErr w:type="spellEnd"/>
      <w:r w:rsidRPr="0076638E">
        <w:t xml:space="preserve"> PMK jiġu soġġetti għall-miżuri armonizzati ta’ kontroll u monitoraġġ previsti f’dawk ir-regolamenti;</w:t>
      </w:r>
    </w:p>
    <w:p w:rsidR="00607EFE" w:rsidRPr="0076638E" w:rsidRDefault="00607EFE" w:rsidP="00607EFE">
      <w:pPr>
        <w:pStyle w:val="ManualConsidrant"/>
        <w:ind w:left="567" w:hanging="567"/>
        <w:jc w:val="left"/>
        <w:rPr>
          <w:noProof/>
        </w:rPr>
      </w:pPr>
      <w:r w:rsidRPr="0076638E">
        <w:t xml:space="preserve">E. </w:t>
      </w:r>
      <w:r w:rsidRPr="0076638E">
        <w:tab/>
        <w:t>billi l-miżuri għall-kontroll tal-aċċess għal sustanzi li jkun għadhom kemm ġew skedati skont ir-Regolamenti (KE) Nru 273/2004 u (KE) Nru 111/2005 għandhom jidħlu fis-seħħ malajr kemm jista’ jkun biex jipprevjenu l-użu ta’ dawk il-</w:t>
      </w:r>
      <w:proofErr w:type="spellStart"/>
      <w:r w:rsidRPr="0076638E">
        <w:t>prekursuri</w:t>
      </w:r>
      <w:proofErr w:type="spellEnd"/>
      <w:r w:rsidRPr="0076638E">
        <w:t xml:space="preserve"> tad-droga għall-produzzjoni u t-tqegħid fis-suq ta’ drogi illeċiti;</w:t>
      </w:r>
    </w:p>
    <w:p w:rsidR="00607EFE" w:rsidRPr="0076638E" w:rsidRDefault="00607EFE" w:rsidP="00607EFE">
      <w:pPr>
        <w:pStyle w:val="ManualConsidrant"/>
        <w:spacing w:after="240"/>
        <w:ind w:left="567" w:hanging="567"/>
        <w:jc w:val="left"/>
        <w:rPr>
          <w:spacing w:val="-2"/>
          <w:szCs w:val="24"/>
        </w:rPr>
      </w:pPr>
      <w:r w:rsidRPr="0076638E">
        <w:t>F.</w:t>
      </w:r>
      <w:r w:rsidRPr="0076638E">
        <w:tab/>
        <w:t xml:space="preserve">billi fil-pjan direzzjonali tal-UE biex jiġi </w:t>
      </w:r>
      <w:proofErr w:type="spellStart"/>
      <w:r w:rsidRPr="0076638E">
        <w:t>miġġieled</w:t>
      </w:r>
      <w:proofErr w:type="spellEnd"/>
      <w:r w:rsidRPr="0076638E">
        <w:t xml:space="preserve"> it-traffikar tad-droga u l-kriminalità organizzata (COM(2023)0641) il-Kummissjoni Ewropea impenjat ruħha li tagħmel kull sforz, f’kooperazzjoni mal-Parlament u mal-Kunsill, biex tħaffef il-proċedura ta’ adozzjoni ta’ atti delegati futuri li </w:t>
      </w:r>
      <w:proofErr w:type="spellStart"/>
      <w:r w:rsidRPr="0076638E">
        <w:t>jiskedaw</w:t>
      </w:r>
      <w:proofErr w:type="spellEnd"/>
      <w:r w:rsidRPr="0076638E">
        <w:t xml:space="preserve"> sustanzi addizzjonali skont ir-Regolamenti (KE) Nru 273/2004 u (KE) Nru 111/2005;</w:t>
      </w:r>
    </w:p>
    <w:p w:rsidR="00607EFE" w:rsidRPr="0076638E" w:rsidRDefault="00607EFE" w:rsidP="00607EFE">
      <w:pPr>
        <w:pStyle w:val="NormalHanging12a"/>
      </w:pPr>
      <w:r w:rsidRPr="0076638E">
        <w:t>1.</w:t>
      </w:r>
      <w:r w:rsidRPr="0076638E">
        <w:tab/>
        <w:t>Jiddikjara li ma joġġezzjonax għar-regolament delegat;</w:t>
      </w:r>
    </w:p>
    <w:p w:rsidR="00E365E1" w:rsidRPr="0076638E" w:rsidRDefault="00607EFE" w:rsidP="00590B00">
      <w:pPr>
        <w:ind w:left="567" w:hanging="567"/>
      </w:pPr>
      <w:r w:rsidRPr="0076638E">
        <w:t>2.</w:t>
      </w:r>
      <w:r w:rsidRPr="0076638E">
        <w:tab/>
        <w:t>Jagħti istruzzjonijiet lill-President tiegħu biex tgħaddi din id-deċiżjoni lill-Kunsill u lill-Kummissjoni.</w:t>
      </w:r>
      <w:bookmarkStart w:id="6" w:name="TextBodyEnd"/>
      <w:bookmarkEnd w:id="6"/>
    </w:p>
    <w:sectPr w:rsidR="00E365E1" w:rsidRPr="0076638E" w:rsidSect="007663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4DC" w:rsidRPr="0076638E" w:rsidRDefault="008934DC">
      <w:r w:rsidRPr="0076638E">
        <w:separator/>
      </w:r>
    </w:p>
  </w:endnote>
  <w:endnote w:type="continuationSeparator" w:id="0">
    <w:p w:rsidR="008934DC" w:rsidRPr="0076638E" w:rsidRDefault="008934DC">
      <w:r w:rsidRPr="007663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3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3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3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4DC" w:rsidRPr="0076638E" w:rsidRDefault="008934DC">
      <w:r w:rsidRPr="0076638E">
        <w:separator/>
      </w:r>
    </w:p>
  </w:footnote>
  <w:footnote w:type="continuationSeparator" w:id="0">
    <w:p w:rsidR="008934DC" w:rsidRPr="0076638E" w:rsidRDefault="008934DC">
      <w:r w:rsidRPr="0076638E">
        <w:continuationSeparator/>
      </w:r>
    </w:p>
  </w:footnote>
  <w:footnote w:id="1">
    <w:p w:rsidR="00607EFE" w:rsidRPr="0076638E" w:rsidRDefault="00607EFE" w:rsidP="0076638E">
      <w:pPr>
        <w:pStyle w:val="FootnoteText"/>
        <w:ind w:left="567" w:hanging="567"/>
        <w:rPr>
          <w:sz w:val="24"/>
          <w:lang w:val="mt-MT"/>
        </w:rPr>
      </w:pPr>
      <w:r w:rsidRPr="0076638E">
        <w:rPr>
          <w:rStyle w:val="FootnoteReference"/>
          <w:sz w:val="24"/>
          <w:lang w:val="mt-MT"/>
        </w:rPr>
        <w:footnoteRef/>
      </w:r>
      <w:r w:rsidR="0076638E" w:rsidRPr="0076638E">
        <w:rPr>
          <w:sz w:val="24"/>
          <w:lang w:val="mt-MT"/>
        </w:rPr>
        <w:t xml:space="preserve"> </w:t>
      </w:r>
      <w:r w:rsidR="0076638E" w:rsidRPr="0076638E">
        <w:rPr>
          <w:sz w:val="24"/>
          <w:lang w:val="mt-MT"/>
        </w:rPr>
        <w:tab/>
      </w:r>
      <w:r w:rsidRPr="0076638E">
        <w:rPr>
          <w:sz w:val="24"/>
          <w:lang w:val="mt-MT"/>
        </w:rPr>
        <w:t>ĠU L 47, 18.2.2004, p.</w:t>
      </w:r>
      <w:r w:rsidR="00445AA7">
        <w:rPr>
          <w:sz w:val="24"/>
          <w:lang w:val="lt-LT"/>
        </w:rPr>
        <w:t xml:space="preserve"> </w:t>
      </w:r>
      <w:r w:rsidRPr="0076638E">
        <w:rPr>
          <w:sz w:val="24"/>
          <w:lang w:val="mt-MT"/>
        </w:rPr>
        <w:t>1.</w:t>
      </w:r>
    </w:p>
  </w:footnote>
  <w:footnote w:id="2">
    <w:p w:rsidR="00607EFE" w:rsidRPr="0076638E" w:rsidRDefault="00607EFE" w:rsidP="0076638E">
      <w:pPr>
        <w:pStyle w:val="FootnoteText"/>
        <w:ind w:left="567" w:hanging="567"/>
        <w:rPr>
          <w:sz w:val="24"/>
          <w:lang w:val="mt-MT"/>
        </w:rPr>
      </w:pPr>
      <w:r w:rsidRPr="0076638E">
        <w:rPr>
          <w:rStyle w:val="FootnoteReference"/>
          <w:sz w:val="24"/>
          <w:lang w:val="mt-MT"/>
        </w:rPr>
        <w:footnoteRef/>
      </w:r>
      <w:r w:rsidR="0076638E" w:rsidRPr="0076638E">
        <w:rPr>
          <w:sz w:val="24"/>
          <w:lang w:val="mt-MT"/>
        </w:rPr>
        <w:t xml:space="preserve"> </w:t>
      </w:r>
      <w:r w:rsidR="0076638E" w:rsidRPr="0076638E">
        <w:rPr>
          <w:sz w:val="24"/>
          <w:lang w:val="mt-MT"/>
        </w:rPr>
        <w:tab/>
      </w:r>
      <w:r w:rsidR="00EC67E0">
        <w:rPr>
          <w:sz w:val="24"/>
          <w:lang w:val="mt-MT"/>
        </w:rPr>
        <w:t>ĠU L 22, 26.1.2005, p.</w:t>
      </w:r>
      <w:r w:rsidR="00445AA7">
        <w:rPr>
          <w:sz w:val="24"/>
          <w:lang w:val="lt-LT"/>
        </w:rPr>
        <w:t xml:space="preserve"> </w:t>
      </w:r>
      <w:bookmarkStart w:id="5" w:name="_GoBack"/>
      <w:bookmarkEnd w:id="5"/>
      <w:r w:rsidRPr="0076638E">
        <w:rPr>
          <w:sz w:val="24"/>
          <w:lang w:val="mt-MT"/>
        </w:rPr>
        <w:t>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3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3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3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MT"/>
    <w:docVar w:name="dvnumam" w:val="0"/>
    <w:docVar w:name="dvpe" w:val="760.991"/>
    <w:docVar w:name="dvtitre" w:val="Riżoluzzjoni tal-Parlament Ewropew tal-24 ta' April 2024 li ma ssir ebda oġġezzjoni għar-regolament delegat tal-Kummissjoni tat-28 ta’ Frar 2024 li jemenda r-Regolament (KE) Nru 273/2004 tal-Parlament Ewropew u tal-Kunsill u r-Regolament tal-Kunsill (KE) Nru 111/2005 fir-rigward tal-inklużjoni tal-prekursur tad-droga Malonat tal-isopropiliden (2-(3,4-metilendiossifenil)aċetil) (IMDPAM) u ta’ sustanzi oħra fil-lista ta’ sustanzi skedati(C(2024)01219 - 2024/2606(DEA))"/>
  </w:docVars>
  <w:rsids>
    <w:rsidRoot w:val="008934D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5AA7"/>
    <w:rsid w:val="00471C19"/>
    <w:rsid w:val="004867E3"/>
    <w:rsid w:val="00494A28"/>
    <w:rsid w:val="004C0004"/>
    <w:rsid w:val="004C5D52"/>
    <w:rsid w:val="0050519A"/>
    <w:rsid w:val="00505CAD"/>
    <w:rsid w:val="005072A1"/>
    <w:rsid w:val="00514517"/>
    <w:rsid w:val="00545827"/>
    <w:rsid w:val="00560270"/>
    <w:rsid w:val="00590B00"/>
    <w:rsid w:val="005C2568"/>
    <w:rsid w:val="006037C0"/>
    <w:rsid w:val="00607EFE"/>
    <w:rsid w:val="006631B6"/>
    <w:rsid w:val="00680577"/>
    <w:rsid w:val="006F74FA"/>
    <w:rsid w:val="00731ADD"/>
    <w:rsid w:val="00734777"/>
    <w:rsid w:val="007365E8"/>
    <w:rsid w:val="00747932"/>
    <w:rsid w:val="00751A4A"/>
    <w:rsid w:val="00756632"/>
    <w:rsid w:val="00762C74"/>
    <w:rsid w:val="0076638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4D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69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7E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3E9D"/>
  <w15:chartTrackingRefBased/>
  <w15:docId w15:val="{5D83A8AD-076E-4AF0-B6EF-BEA1F8A8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7EFE"/>
    <w:pPr>
      <w:spacing w:before="480" w:after="240"/>
    </w:pPr>
  </w:style>
  <w:style w:type="paragraph" w:customStyle="1" w:styleId="NormalBold">
    <w:name w:val="NormalBold"/>
    <w:basedOn w:val="Normal"/>
    <w:rsid w:val="00607EFE"/>
    <w:rPr>
      <w:b/>
    </w:rPr>
  </w:style>
  <w:style w:type="paragraph" w:customStyle="1" w:styleId="NormalHanging12a">
    <w:name w:val="NormalHanging12a"/>
    <w:basedOn w:val="Normal"/>
    <w:rsid w:val="00607EFE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607EF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79047-1FC8-4F24-9B42-D0B7CDC70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510</Words>
  <Characters>3879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BINKEVICIUTE Aurelija</cp:lastModifiedBy>
  <cp:revision>3</cp:revision>
  <cp:lastPrinted>2004-11-19T15:42:00Z</cp:lastPrinted>
  <dcterms:created xsi:type="dcterms:W3CDTF">2024-06-12T14:04:00Z</dcterms:created>
  <dcterms:modified xsi:type="dcterms:W3CDTF">2024-10-16T10:59:00Z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B9-0213/2024</vt:lpwstr>
  </property>
  <property fmtid="{D5CDD505-2E9C-101B-9397-08002B2CF9AE}" pid="4" name="&lt;Type&gt;">
    <vt:lpwstr>RR</vt:lpwstr>
  </property>
</Properties>
</file>