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532F" w:rsidTr="0010095E">
        <w:trPr>
          <w:trHeight w:hRule="exact" w:val="1418"/>
        </w:trPr>
        <w:tc>
          <w:tcPr>
            <w:tcW w:w="6804" w:type="dxa"/>
            <w:shd w:val="clear" w:color="auto" w:fill="auto"/>
            <w:vAlign w:val="center"/>
          </w:tcPr>
          <w:p w:rsidR="00751A4A" w:rsidRPr="0072532F" w:rsidRDefault="00AB2D5F" w:rsidP="0010095E">
            <w:pPr>
              <w:pStyle w:val="EPName"/>
            </w:pPr>
            <w:r w:rsidRPr="0072532F">
              <w:t>Parlament Europejski</w:t>
            </w:r>
          </w:p>
          <w:p w:rsidR="00751A4A" w:rsidRPr="0072532F" w:rsidRDefault="00817416" w:rsidP="00756632">
            <w:pPr>
              <w:pStyle w:val="EPTerm"/>
              <w:rPr>
                <w:rStyle w:val="HideTWBExt"/>
                <w:noProof w:val="0"/>
                <w:vanish w:val="0"/>
                <w:color w:val="auto"/>
              </w:rPr>
            </w:pPr>
            <w:r w:rsidRPr="0072532F">
              <w:t>2019-2024</w:t>
            </w:r>
          </w:p>
        </w:tc>
        <w:tc>
          <w:tcPr>
            <w:tcW w:w="2268" w:type="dxa"/>
            <w:shd w:val="clear" w:color="auto" w:fill="auto"/>
          </w:tcPr>
          <w:p w:rsidR="00751A4A" w:rsidRPr="0072532F" w:rsidRDefault="00187494" w:rsidP="0010095E">
            <w:pPr>
              <w:pStyle w:val="EPLogo"/>
            </w:pPr>
            <w:r w:rsidRPr="0072532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532F" w:rsidRDefault="00D058B8" w:rsidP="004C5D52">
      <w:pPr>
        <w:pStyle w:val="LineTop"/>
      </w:pPr>
    </w:p>
    <w:p w:rsidR="00680577" w:rsidRPr="0072532F" w:rsidRDefault="00AB2D5F" w:rsidP="00680577">
      <w:pPr>
        <w:pStyle w:val="EPBodyTA1"/>
      </w:pPr>
      <w:r w:rsidRPr="0072532F">
        <w:t>TEKSTY PRZYJĘTE</w:t>
      </w:r>
    </w:p>
    <w:p w:rsidR="00D058B8" w:rsidRPr="0072532F" w:rsidRDefault="00D058B8" w:rsidP="00D058B8">
      <w:pPr>
        <w:pStyle w:val="LineBottom"/>
      </w:pPr>
    </w:p>
    <w:p w:rsidR="00AB2D5F" w:rsidRPr="0072532F" w:rsidRDefault="00AB2D5F" w:rsidP="00AB2D5F">
      <w:pPr>
        <w:pStyle w:val="ATHeading1"/>
      </w:pPr>
      <w:bookmarkStart w:id="0" w:name="TANumber"/>
      <w:r w:rsidRPr="0072532F">
        <w:t>P9_TA(2024)0</w:t>
      </w:r>
      <w:bookmarkEnd w:id="0"/>
      <w:r w:rsidR="004F3C1F">
        <w:t>314</w:t>
      </w:r>
    </w:p>
    <w:p w:rsidR="00AB2D5F" w:rsidRPr="0072532F" w:rsidRDefault="004F3C1F" w:rsidP="00AB2D5F">
      <w:pPr>
        <w:pStyle w:val="ATHeading2"/>
      </w:pPr>
      <w:r w:rsidRPr="003037F8">
        <w:t>Brak sprzeciwu wobec aktu delegowanego</w:t>
      </w:r>
      <w:r>
        <w:t>: Włączenie</w:t>
      </w:r>
      <w:r w:rsidRPr="004F3C1F">
        <w:t xml:space="preserve"> prekursora narkotyku (2-(3,4-metylenodioksyfenylo</w:t>
      </w:r>
      <w:proofErr w:type="gramStart"/>
      <w:r w:rsidRPr="004F3C1F">
        <w:t>)</w:t>
      </w:r>
      <w:proofErr w:type="spellStart"/>
      <w:r w:rsidRPr="004F3C1F">
        <w:t>acetylo</w:t>
      </w:r>
      <w:proofErr w:type="spellEnd"/>
      <w:proofErr w:type="gramEnd"/>
      <w:r w:rsidRPr="004F3C1F">
        <w:t>)</w:t>
      </w:r>
      <w:proofErr w:type="spellStart"/>
      <w:r w:rsidRPr="004F3C1F">
        <w:t>malonian</w:t>
      </w:r>
      <w:proofErr w:type="spellEnd"/>
      <w:r w:rsidRPr="004F3C1F">
        <w:t xml:space="preserve"> </w:t>
      </w:r>
      <w:proofErr w:type="spellStart"/>
      <w:r w:rsidRPr="004F3C1F">
        <w:t>izopropylidenu</w:t>
      </w:r>
      <w:proofErr w:type="spellEnd"/>
      <w:r w:rsidRPr="004F3C1F">
        <w:t xml:space="preserve"> (IMDPAM) i innych substancji do wykazu substancji sklasyfikowanych</w:t>
      </w:r>
    </w:p>
    <w:p w:rsidR="00AB2D5F" w:rsidRPr="0072532F" w:rsidRDefault="00AB2D5F" w:rsidP="00AB2D5F">
      <w:pPr>
        <w:rPr>
          <w:i/>
          <w:vanish/>
        </w:rPr>
      </w:pPr>
      <w:r w:rsidRPr="0072532F">
        <w:rPr>
          <w:i/>
        </w:rPr>
        <w:fldChar w:fldCharType="begin"/>
      </w:r>
      <w:r w:rsidRPr="0072532F">
        <w:rPr>
          <w:i/>
        </w:rPr>
        <w:instrText xml:space="preserve"> TC"(</w:instrText>
      </w:r>
      <w:bookmarkStart w:id="1" w:name="DocNumber"/>
      <w:r w:rsidRPr="0072532F">
        <w:rPr>
          <w:i/>
        </w:rPr>
        <w:instrText>B9-0213/2024</w:instrText>
      </w:r>
      <w:bookmarkEnd w:id="1"/>
      <w:r w:rsidRPr="0072532F">
        <w:rPr>
          <w:i/>
        </w:rPr>
        <w:instrText xml:space="preserve">)"\l3 \n&gt; \* MERGEFORMAT </w:instrText>
      </w:r>
      <w:r w:rsidRPr="0072532F">
        <w:rPr>
          <w:i/>
        </w:rPr>
        <w:fldChar w:fldCharType="end"/>
      </w:r>
    </w:p>
    <w:p w:rsidR="00AB2D5F" w:rsidRPr="0072532F" w:rsidRDefault="00AB2D5F" w:rsidP="00AB2D5F">
      <w:pPr>
        <w:rPr>
          <w:vanish/>
        </w:rPr>
      </w:pPr>
      <w:bookmarkStart w:id="2" w:name="PE"/>
      <w:r w:rsidRPr="0072532F">
        <w:rPr>
          <w:vanish/>
        </w:rPr>
        <w:t>PE760.991</w:t>
      </w:r>
      <w:bookmarkEnd w:id="2"/>
    </w:p>
    <w:p w:rsidR="00AB2D5F" w:rsidRPr="0072532F" w:rsidRDefault="00AB2D5F" w:rsidP="00AB2D5F">
      <w:pPr>
        <w:pStyle w:val="ATHeading3"/>
      </w:pPr>
      <w:bookmarkStart w:id="3" w:name="Sujet"/>
      <w:r w:rsidRPr="0072532F">
        <w:t>D</w:t>
      </w:r>
      <w:r w:rsidR="004F3C1F">
        <w:t>ecyzja Parlamentu Europejskiego</w:t>
      </w:r>
      <w:r w:rsidRPr="0072532F">
        <w:t xml:space="preserve"> w sprawie niewyrażania sprzeciwu wobec rozporządzenia delegowanego Komisji z dnia 28 lutego 2024 r. zmieniającego rozporządzenie (WE) nr 273/2004 Parlamentu Europejskiego i Rady oraz rozporządzenie Rady (WE) nr 111/2005 w odniesieniu do włączenia prekursora narkotyku (2-(3,4-metylenodioksyfenylo</w:t>
      </w:r>
      <w:proofErr w:type="gramStart"/>
      <w:r w:rsidRPr="0072532F">
        <w:t>)</w:t>
      </w:r>
      <w:proofErr w:type="spellStart"/>
      <w:r w:rsidRPr="0072532F">
        <w:t>acetylo</w:t>
      </w:r>
      <w:proofErr w:type="spellEnd"/>
      <w:proofErr w:type="gramEnd"/>
      <w:r w:rsidRPr="0072532F">
        <w:t>)</w:t>
      </w:r>
      <w:proofErr w:type="spellStart"/>
      <w:r w:rsidRPr="0072532F">
        <w:t>malonian</w:t>
      </w:r>
      <w:proofErr w:type="spellEnd"/>
      <w:r w:rsidRPr="0072532F">
        <w:t xml:space="preserve"> </w:t>
      </w:r>
      <w:proofErr w:type="spellStart"/>
      <w:r w:rsidRPr="0072532F">
        <w:t>izopropylidenu</w:t>
      </w:r>
      <w:proofErr w:type="spellEnd"/>
      <w:r w:rsidRPr="0072532F">
        <w:t xml:space="preserve"> (IMDPAM) i innych substancji do wykazu substancji sklasyfikowanych</w:t>
      </w:r>
      <w:bookmarkEnd w:id="3"/>
      <w:r w:rsidRPr="0072532F">
        <w:t xml:space="preserve"> </w:t>
      </w:r>
      <w:bookmarkStart w:id="4" w:name="References"/>
      <w:r w:rsidRPr="0072532F">
        <w:t>(C(2024)01219 - 2024/2606(DEA))</w:t>
      </w:r>
      <w:bookmarkEnd w:id="4"/>
    </w:p>
    <w:p w:rsidR="00975B9C" w:rsidRPr="0072532F" w:rsidRDefault="00975B9C" w:rsidP="00975B9C">
      <w:pPr>
        <w:pStyle w:val="EPComma"/>
      </w:pPr>
      <w:bookmarkStart w:id="5" w:name="TextBodyBegin"/>
      <w:bookmarkEnd w:id="5"/>
      <w:r w:rsidRPr="0072532F">
        <w:rPr>
          <w:i/>
        </w:rPr>
        <w:t>Parlament Europejski</w:t>
      </w:r>
      <w:r w:rsidRPr="0072532F">
        <w:t>,</w:t>
      </w:r>
      <w:bookmarkStart w:id="6" w:name="_GoBack"/>
      <w:bookmarkEnd w:id="6"/>
    </w:p>
    <w:p w:rsidR="00975B9C" w:rsidRPr="0072532F" w:rsidRDefault="00975B9C" w:rsidP="00975B9C">
      <w:pPr>
        <w:pStyle w:val="NormalHanging12a"/>
      </w:pPr>
      <w:r w:rsidRPr="0072532F">
        <w:t>–</w:t>
      </w:r>
      <w:r w:rsidRPr="0072532F">
        <w:tab/>
        <w:t>uwzględniając rozporządzenie delegowane Komisji (C(2024)01219),</w:t>
      </w:r>
    </w:p>
    <w:p w:rsidR="00975B9C" w:rsidRPr="0072532F" w:rsidRDefault="00975B9C" w:rsidP="00975B9C">
      <w:pPr>
        <w:pStyle w:val="NormalHanging12a"/>
        <w:rPr>
          <w:spacing w:val="-2"/>
          <w:szCs w:val="24"/>
        </w:rPr>
      </w:pPr>
      <w:r w:rsidRPr="0072532F">
        <w:t>–</w:t>
      </w:r>
      <w:r w:rsidRPr="0072532F">
        <w:tab/>
        <w:t>uwzględniając pismo Komisji z dnia 13 marca 2024 r., w którym zwraca się ona do Parlamentu o oświadczenie, że nie wyraża sprzeciwu wobec rozporządzenia delegowanego,</w:t>
      </w:r>
    </w:p>
    <w:p w:rsidR="00975B9C" w:rsidRPr="0072532F" w:rsidRDefault="00975B9C" w:rsidP="00975B9C">
      <w:pPr>
        <w:pStyle w:val="NormalHanging12a"/>
      </w:pPr>
      <w:r w:rsidRPr="0072532F">
        <w:t>–</w:t>
      </w:r>
      <w:r w:rsidRPr="0072532F">
        <w:tab/>
        <w:t>uwzględniając pismo Komisji Wolności Obywatelskich, Sprawiedliwości i Spraw Wewnętrznych skierowane do przewodniczącego Konferencji Przewodniczących Komisji,</w:t>
      </w:r>
    </w:p>
    <w:p w:rsidR="00975B9C" w:rsidRPr="0072532F" w:rsidRDefault="00975B9C" w:rsidP="00975B9C">
      <w:pPr>
        <w:pStyle w:val="NormalHanging12a"/>
      </w:pPr>
      <w:r w:rsidRPr="0072532F">
        <w:t>–</w:t>
      </w:r>
      <w:r w:rsidRPr="0072532F">
        <w:tab/>
        <w:t>uwzględniając art. 290 Traktatu o funkcjonowaniu Unii Europejskiej,</w:t>
      </w:r>
    </w:p>
    <w:p w:rsidR="00975B9C" w:rsidRPr="0072532F" w:rsidRDefault="00975B9C" w:rsidP="00975B9C">
      <w:pPr>
        <w:pStyle w:val="NormalHanging12a"/>
      </w:pPr>
      <w:r w:rsidRPr="0072532F">
        <w:t>–</w:t>
      </w:r>
      <w:r w:rsidRPr="0072532F">
        <w:tab/>
        <w:t>uwzględniając rozporządzenie (WE) nr 273/2004 Parlamentu Europejskiego i Rady z dnia 11 lutego 2004 r.</w:t>
      </w:r>
      <w:r w:rsidRPr="0072532F">
        <w:rPr>
          <w:rStyle w:val="FootnoteReference"/>
          <w:szCs w:val="24"/>
        </w:rPr>
        <w:footnoteReference w:id="1"/>
      </w:r>
      <w:r w:rsidRPr="0072532F">
        <w:t xml:space="preserve"> w sprawie prekursorów narkotykowych, a w szczególności </w:t>
      </w:r>
      <w:proofErr w:type="gramStart"/>
      <w:r w:rsidRPr="0072532F">
        <w:t>jego</w:t>
      </w:r>
      <w:proofErr w:type="gramEnd"/>
      <w:r w:rsidRPr="0072532F">
        <w:t xml:space="preserve"> art. 15 oraz art. 15a ust. 5,</w:t>
      </w:r>
    </w:p>
    <w:p w:rsidR="00975B9C" w:rsidRPr="0072532F" w:rsidRDefault="00975B9C" w:rsidP="00975B9C">
      <w:pPr>
        <w:pStyle w:val="NormalHanging12a"/>
      </w:pPr>
      <w:r w:rsidRPr="0072532F">
        <w:t>–</w:t>
      </w:r>
      <w:r w:rsidRPr="0072532F">
        <w:tab/>
        <w:t>uwzględniając rozporządzenie Rady (WE) nr 111/2005 z dnia 22 grudnia 2004 r.</w:t>
      </w:r>
      <w:r w:rsidRPr="0072532F">
        <w:rPr>
          <w:rStyle w:val="FootnoteReference"/>
        </w:rPr>
        <w:footnoteReference w:id="2"/>
      </w:r>
      <w:r w:rsidRPr="0072532F">
        <w:t xml:space="preserve"> określające zasady nadzorowania handlu prekursorami narkotyków pomiędzy Unią a państwami trzecimi, w szczególności jego art. 30a i art. 30b ust. 5,</w:t>
      </w:r>
    </w:p>
    <w:p w:rsidR="00975B9C" w:rsidRPr="0072532F" w:rsidRDefault="00975B9C" w:rsidP="00975B9C">
      <w:pPr>
        <w:pStyle w:val="NormalHanging12a"/>
      </w:pPr>
      <w:r w:rsidRPr="0072532F">
        <w:lastRenderedPageBreak/>
        <w:t>–</w:t>
      </w:r>
      <w:r w:rsidRPr="0072532F">
        <w:tab/>
        <w:t>uwzględniając art. 111 ust. 6 Regulaminu,</w:t>
      </w:r>
    </w:p>
    <w:p w:rsidR="00975B9C" w:rsidRDefault="00975B9C" w:rsidP="00975B9C">
      <w:pPr>
        <w:pStyle w:val="NormalHanging12a"/>
      </w:pPr>
      <w:r w:rsidRPr="0072532F">
        <w:t>–</w:t>
      </w:r>
      <w:r w:rsidRPr="0072532F">
        <w:tab/>
        <w:t>uwzględniając zalecenie dotyczące decyzji Komisji Wolności Obywatelskich, Sprawiedliwości i Spraw Wewnętrznych,</w:t>
      </w:r>
    </w:p>
    <w:p w:rsidR="004F3C1F" w:rsidRPr="009B5FEA" w:rsidRDefault="004F3C1F" w:rsidP="004F3C1F">
      <w:pPr>
        <w:pStyle w:val="Normal12Hanging"/>
        <w:ind w:left="567" w:hanging="567"/>
      </w:pPr>
      <w:r w:rsidRPr="000B48B7">
        <w:t>–</w:t>
      </w:r>
      <w:r w:rsidRPr="009B5FEA">
        <w:tab/>
        <w:t xml:space="preserve">uwzględniając brak sprzeciwów zgłoszonych </w:t>
      </w:r>
      <w:r>
        <w:t>w terminie określonym w art. 111</w:t>
      </w:r>
      <w:r w:rsidRPr="009B5FEA">
        <w:t xml:space="preserve"> ust. 6 </w:t>
      </w:r>
      <w:proofErr w:type="spellStart"/>
      <w:r w:rsidRPr="009B5FEA">
        <w:t>tiret</w:t>
      </w:r>
      <w:proofErr w:type="spellEnd"/>
      <w:r w:rsidRPr="009B5FEA">
        <w:t xml:space="preserve"> trzecie i czwarte Regulaminu, który upłynął w dniu </w:t>
      </w:r>
      <w:r>
        <w:t>23</w:t>
      </w:r>
      <w:r w:rsidRPr="009B5FEA">
        <w:t xml:space="preserve"> </w:t>
      </w:r>
      <w:r>
        <w:t>kwietnia</w:t>
      </w:r>
      <w:r w:rsidRPr="009B5FEA">
        <w:t xml:space="preserve"> </w:t>
      </w:r>
      <w:r>
        <w:t>2024</w:t>
      </w:r>
      <w:r w:rsidRPr="009B5FEA">
        <w:t> r.,</w:t>
      </w:r>
    </w:p>
    <w:p w:rsidR="00975B9C" w:rsidRPr="0072532F" w:rsidRDefault="00975B9C" w:rsidP="00975B9C">
      <w:pPr>
        <w:pStyle w:val="NormalHanging12a"/>
      </w:pPr>
      <w:r w:rsidRPr="0072532F">
        <w:t>A.</w:t>
      </w:r>
      <w:r w:rsidRPr="0072532F">
        <w:tab/>
      </w:r>
      <w:proofErr w:type="gramStart"/>
      <w:r w:rsidRPr="0072532F">
        <w:t>mając</w:t>
      </w:r>
      <w:proofErr w:type="gramEnd"/>
      <w:r w:rsidRPr="0072532F">
        <w:t xml:space="preserve"> na uwadze, że należy stale aktualizować ramy prawne UE dotyczące środków kontroli dostępu do substancji wykorzystywanych do wytwarzania niedozwolonych środków odurzających, aby przeciwdziałać rozprzestrzenianiu tzw. projektowanych prekursorów narkotyków, które pod względem chemicznym są bliskie tradycyjnym prekursorom narkotykowym tworzonym w celu obchodzenia obowiązujących przepisów;</w:t>
      </w:r>
    </w:p>
    <w:p w:rsidR="00975B9C" w:rsidRPr="0072532F" w:rsidRDefault="00975B9C" w:rsidP="00975B9C">
      <w:pPr>
        <w:pStyle w:val="ManualConsidrant"/>
        <w:ind w:left="567" w:hanging="567"/>
        <w:jc w:val="left"/>
        <w:rPr>
          <w:noProof/>
        </w:rPr>
      </w:pPr>
      <w:r w:rsidRPr="0072532F">
        <w:t>B.</w:t>
      </w:r>
      <w:r w:rsidRPr="0072532F">
        <w:tab/>
        <w:t>mając na uwadze, że sól sodową (2-(3,4-metylenodioksyfenylo</w:t>
      </w:r>
      <w:proofErr w:type="gramStart"/>
      <w:r w:rsidRPr="0072532F">
        <w:t>)</w:t>
      </w:r>
      <w:proofErr w:type="spellStart"/>
      <w:r w:rsidRPr="0072532F">
        <w:t>acetylo</w:t>
      </w:r>
      <w:proofErr w:type="spellEnd"/>
      <w:proofErr w:type="gramEnd"/>
      <w:r w:rsidRPr="0072532F">
        <w:t>)</w:t>
      </w:r>
      <w:proofErr w:type="spellStart"/>
      <w:r w:rsidRPr="0072532F">
        <w:t>malonian</w:t>
      </w:r>
      <w:proofErr w:type="spellEnd"/>
      <w:r w:rsidRPr="0072532F">
        <w:t xml:space="preserve"> </w:t>
      </w:r>
      <w:proofErr w:type="spellStart"/>
      <w:r w:rsidRPr="0072532F">
        <w:t>izopropylidenu</w:t>
      </w:r>
      <w:proofErr w:type="spellEnd"/>
      <w:r w:rsidRPr="0072532F">
        <w:t xml:space="preserve"> (IMDPAM) uznano za nowo opracowany prekursor narkotykowy stosowany do produkcji MDMA (3,4-metylenodioksymetamfetaminy), powszechnie znanej jako „ekstazy”;</w:t>
      </w:r>
    </w:p>
    <w:p w:rsidR="00975B9C" w:rsidRPr="0072532F" w:rsidRDefault="00975B9C" w:rsidP="00975B9C">
      <w:pPr>
        <w:pStyle w:val="ManualConsidrant"/>
        <w:ind w:left="567" w:hanging="567"/>
        <w:jc w:val="left"/>
        <w:rPr>
          <w:noProof/>
        </w:rPr>
      </w:pPr>
      <w:r w:rsidRPr="0072532F">
        <w:t>C.</w:t>
      </w:r>
      <w:r w:rsidRPr="0072532F">
        <w:tab/>
        <w:t xml:space="preserve">mając na uwadze, że siedem estrów kwasu 2-metylo-3-fenylooksirano-2-karboksylowego (kwasu </w:t>
      </w:r>
      <w:proofErr w:type="spellStart"/>
      <w:r w:rsidRPr="0072532F">
        <w:t>glicydowego</w:t>
      </w:r>
      <w:proofErr w:type="spellEnd"/>
      <w:r w:rsidRPr="0072532F">
        <w:t xml:space="preserve"> BMK) oraz sześć estrów kwasu 3-(1,3-benzodioksol-5-ylo</w:t>
      </w:r>
      <w:proofErr w:type="gramStart"/>
      <w:r w:rsidRPr="0072532F">
        <w:t>)-2-metylo-oksirano-</w:t>
      </w:r>
      <w:proofErr w:type="gramEnd"/>
      <w:r w:rsidRPr="0072532F">
        <w:t xml:space="preserve">2-karboksylowego (kwasu </w:t>
      </w:r>
      <w:proofErr w:type="spellStart"/>
      <w:r w:rsidRPr="0072532F">
        <w:t>glicydowego</w:t>
      </w:r>
      <w:proofErr w:type="spellEnd"/>
      <w:r w:rsidRPr="0072532F">
        <w:t xml:space="preserve"> PMK) uznano za potencjalne substytuty kwasu </w:t>
      </w:r>
      <w:proofErr w:type="spellStart"/>
      <w:r w:rsidRPr="0072532F">
        <w:t>glicydowego</w:t>
      </w:r>
      <w:proofErr w:type="spellEnd"/>
      <w:r w:rsidRPr="0072532F">
        <w:t xml:space="preserve"> BMK i kwasu </w:t>
      </w:r>
      <w:proofErr w:type="spellStart"/>
      <w:r w:rsidRPr="0072532F">
        <w:t>glicydowego</w:t>
      </w:r>
      <w:proofErr w:type="spellEnd"/>
      <w:r w:rsidRPr="0072532F">
        <w:t xml:space="preserve"> PMK (które na mocy prawa UE są kontrolowanymi prekursorami) w produkcji takich niedozwolonych środków odurzających jak MDMA, </w:t>
      </w:r>
      <w:proofErr w:type="spellStart"/>
      <w:r w:rsidRPr="0072532F">
        <w:t>metamfetamina</w:t>
      </w:r>
      <w:proofErr w:type="spellEnd"/>
      <w:r w:rsidRPr="0072532F">
        <w:t xml:space="preserve"> i amfetamina;</w:t>
      </w:r>
    </w:p>
    <w:p w:rsidR="00975B9C" w:rsidRPr="0072532F" w:rsidRDefault="00975B9C" w:rsidP="00975B9C">
      <w:pPr>
        <w:pStyle w:val="ManualConsidrant"/>
        <w:ind w:left="567" w:hanging="567"/>
        <w:jc w:val="left"/>
        <w:rPr>
          <w:noProof/>
        </w:rPr>
      </w:pPr>
      <w:r w:rsidRPr="0072532F">
        <w:t>D.</w:t>
      </w:r>
      <w:r w:rsidRPr="0072532F">
        <w:tab/>
      </w:r>
      <w:proofErr w:type="gramStart"/>
      <w:r w:rsidRPr="0072532F">
        <w:t>mając</w:t>
      </w:r>
      <w:proofErr w:type="gramEnd"/>
      <w:r w:rsidRPr="0072532F">
        <w:t xml:space="preserve"> na uwadze, że konieczna jest zmiana wykazu substancji sklasyfikowanych zawartych w załączniku I do rozporządzenia (WE) nr 273/2004 oraz w załączniku do rozporządzenia (WE) nr 111/2005, aby poddać IMDPAM i zidentyfikowane estry kwasu </w:t>
      </w:r>
      <w:proofErr w:type="spellStart"/>
      <w:r w:rsidRPr="0072532F">
        <w:t>glicydowego</w:t>
      </w:r>
      <w:proofErr w:type="spellEnd"/>
      <w:r w:rsidRPr="0072532F">
        <w:t xml:space="preserve"> BMK i kwasu </w:t>
      </w:r>
      <w:proofErr w:type="spellStart"/>
      <w:r w:rsidRPr="0072532F">
        <w:t>glicydowego</w:t>
      </w:r>
      <w:proofErr w:type="spellEnd"/>
      <w:r w:rsidRPr="0072532F">
        <w:t xml:space="preserve"> PMK zharmonizowanym środkom kontroli i monitorowania przewidzianym w tych rozporządzeniach;</w:t>
      </w:r>
    </w:p>
    <w:p w:rsidR="00975B9C" w:rsidRPr="0072532F" w:rsidRDefault="00975B9C" w:rsidP="00975B9C">
      <w:pPr>
        <w:pStyle w:val="ManualConsidrant"/>
        <w:ind w:left="567" w:hanging="567"/>
        <w:jc w:val="left"/>
        <w:rPr>
          <w:noProof/>
        </w:rPr>
      </w:pPr>
      <w:r w:rsidRPr="0072532F">
        <w:t xml:space="preserve">E. </w:t>
      </w:r>
      <w:r w:rsidRPr="0072532F">
        <w:tab/>
      </w:r>
      <w:proofErr w:type="gramStart"/>
      <w:r w:rsidRPr="0072532F">
        <w:t>mając</w:t>
      </w:r>
      <w:proofErr w:type="gramEnd"/>
      <w:r w:rsidRPr="0072532F">
        <w:t xml:space="preserve"> na uwadze, że środki kontroli dostępu do nowych substancji sklasyfikowanych na mocy rozporządzeń (WE) nr 273/2004 i (WE) nr 111/2005 powinny wejść w życie jak najszybciej, aby zapobiec używaniu tych prekursorów narkotykowych do produkcji i wprowadzania do obrotu niedozwolonych środków odurzających;</w:t>
      </w:r>
    </w:p>
    <w:p w:rsidR="00975B9C" w:rsidRPr="0072532F" w:rsidRDefault="00975B9C" w:rsidP="00975B9C">
      <w:pPr>
        <w:pStyle w:val="ManualConsidrant"/>
        <w:spacing w:after="240"/>
        <w:ind w:left="567" w:hanging="567"/>
        <w:jc w:val="left"/>
        <w:rPr>
          <w:spacing w:val="-2"/>
          <w:szCs w:val="24"/>
        </w:rPr>
      </w:pPr>
      <w:r w:rsidRPr="0072532F">
        <w:t>F.</w:t>
      </w:r>
      <w:r w:rsidRPr="0072532F">
        <w:tab/>
        <w:t>mając na uwadze, że w unijnym planie działania na rzecz zwalczania nielegalnego obrotu środkami odurzającymi i przestępczości zorganizowanej (COM</w:t>
      </w:r>
      <w:proofErr w:type="gramStart"/>
      <w:r w:rsidRPr="0072532F">
        <w:t>(2023)0641) Komisja</w:t>
      </w:r>
      <w:proofErr w:type="gramEnd"/>
      <w:r w:rsidRPr="0072532F">
        <w:t xml:space="preserve"> Europejska zobowiązała się dołożyć wszelkich starań, we współpracy z Parlamentem i Radą, aby przyspieszyć procedurę przyjmowania przyszłych aktów delegowanych określających dodatkowe substancje na mocy rozporządzeń (WE) nr 273/2004 i (WE) nr 111/2005;</w:t>
      </w:r>
    </w:p>
    <w:p w:rsidR="00975B9C" w:rsidRPr="0072532F" w:rsidRDefault="00975B9C" w:rsidP="00975B9C">
      <w:pPr>
        <w:pStyle w:val="NormalHanging12a"/>
      </w:pPr>
      <w:r w:rsidRPr="0072532F">
        <w:t>1.</w:t>
      </w:r>
      <w:r w:rsidRPr="0072532F">
        <w:tab/>
      </w:r>
      <w:proofErr w:type="gramStart"/>
      <w:r w:rsidRPr="0072532F">
        <w:t>oświadcza</w:t>
      </w:r>
      <w:proofErr w:type="gramEnd"/>
      <w:r w:rsidRPr="0072532F">
        <w:t>, że nie wyraża sprzeciwu wobec rozporządzenia delegowanego;</w:t>
      </w:r>
    </w:p>
    <w:p w:rsidR="00975B9C" w:rsidRPr="0072532F" w:rsidRDefault="00975B9C" w:rsidP="00975B9C">
      <w:pPr>
        <w:pStyle w:val="NormalHanging12a"/>
      </w:pPr>
      <w:r w:rsidRPr="0072532F">
        <w:t>2.</w:t>
      </w:r>
      <w:r w:rsidRPr="0072532F">
        <w:tab/>
      </w:r>
      <w:proofErr w:type="gramStart"/>
      <w:r w:rsidRPr="0072532F">
        <w:t>zobowiązuje</w:t>
      </w:r>
      <w:proofErr w:type="gramEnd"/>
      <w:r w:rsidRPr="0072532F">
        <w:t xml:space="preserve"> swoją przewodniczącą do przekazania niniejszej decyzji Radzie i Komisji.</w:t>
      </w:r>
    </w:p>
    <w:p w:rsidR="00975B9C" w:rsidRPr="0072532F" w:rsidRDefault="00975B9C" w:rsidP="00975B9C"/>
    <w:sectPr w:rsidR="00975B9C" w:rsidRPr="0072532F" w:rsidSect="0072532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D5F" w:rsidRPr="0072532F" w:rsidRDefault="00AB2D5F">
      <w:r w:rsidRPr="0072532F">
        <w:separator/>
      </w:r>
    </w:p>
  </w:endnote>
  <w:endnote w:type="continuationSeparator" w:id="0">
    <w:p w:rsidR="00AB2D5F" w:rsidRPr="0072532F" w:rsidRDefault="00AB2D5F">
      <w:r w:rsidRPr="007253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32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32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3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D5F" w:rsidRPr="0072532F" w:rsidRDefault="00AB2D5F">
      <w:r w:rsidRPr="0072532F">
        <w:separator/>
      </w:r>
    </w:p>
  </w:footnote>
  <w:footnote w:type="continuationSeparator" w:id="0">
    <w:p w:rsidR="00AB2D5F" w:rsidRPr="0072532F" w:rsidRDefault="00AB2D5F">
      <w:r w:rsidRPr="0072532F">
        <w:continuationSeparator/>
      </w:r>
    </w:p>
  </w:footnote>
  <w:footnote w:id="1">
    <w:p w:rsidR="00975B9C" w:rsidRPr="0072532F" w:rsidRDefault="00975B9C" w:rsidP="0072532F">
      <w:pPr>
        <w:pStyle w:val="FootnoteText"/>
        <w:ind w:left="567" w:hanging="567"/>
        <w:rPr>
          <w:sz w:val="24"/>
          <w:lang w:val="pl-PL"/>
        </w:rPr>
      </w:pPr>
      <w:r w:rsidRPr="0072532F">
        <w:rPr>
          <w:rStyle w:val="FootnoteReference"/>
          <w:sz w:val="24"/>
          <w:lang w:val="pl-PL"/>
        </w:rPr>
        <w:footnoteRef/>
      </w:r>
      <w:r w:rsidR="0072532F" w:rsidRPr="0072532F">
        <w:rPr>
          <w:sz w:val="24"/>
          <w:lang w:val="pl-PL"/>
        </w:rPr>
        <w:t xml:space="preserve"> </w:t>
      </w:r>
      <w:r w:rsidR="0072532F" w:rsidRPr="0072532F">
        <w:rPr>
          <w:sz w:val="24"/>
          <w:lang w:val="pl-PL"/>
        </w:rPr>
        <w:tab/>
      </w:r>
      <w:r w:rsidRPr="0072532F">
        <w:rPr>
          <w:sz w:val="24"/>
          <w:lang w:val="pl-PL"/>
        </w:rPr>
        <w:t xml:space="preserve">Dz.U. L 47 z 18.2.2004, </w:t>
      </w:r>
      <w:proofErr w:type="gramStart"/>
      <w:r w:rsidRPr="0072532F">
        <w:rPr>
          <w:sz w:val="24"/>
          <w:lang w:val="pl-PL"/>
        </w:rPr>
        <w:t>s</w:t>
      </w:r>
      <w:proofErr w:type="gramEnd"/>
      <w:r w:rsidRPr="0072532F">
        <w:rPr>
          <w:sz w:val="24"/>
          <w:lang w:val="pl-PL"/>
        </w:rPr>
        <w:t>. 1.</w:t>
      </w:r>
    </w:p>
  </w:footnote>
  <w:footnote w:id="2">
    <w:p w:rsidR="00975B9C" w:rsidRPr="0072532F" w:rsidRDefault="00975B9C" w:rsidP="0072532F">
      <w:pPr>
        <w:pStyle w:val="FootnoteText"/>
        <w:ind w:left="567" w:hanging="567"/>
        <w:rPr>
          <w:sz w:val="24"/>
          <w:lang w:val="pl-PL"/>
        </w:rPr>
      </w:pPr>
      <w:r w:rsidRPr="0072532F">
        <w:rPr>
          <w:rStyle w:val="FootnoteReference"/>
          <w:sz w:val="24"/>
          <w:lang w:val="pl-PL"/>
        </w:rPr>
        <w:footnoteRef/>
      </w:r>
      <w:r w:rsidR="0072532F" w:rsidRPr="0072532F">
        <w:rPr>
          <w:sz w:val="24"/>
          <w:lang w:val="pl-PL"/>
        </w:rPr>
        <w:t xml:space="preserve"> </w:t>
      </w:r>
      <w:r w:rsidR="0072532F" w:rsidRPr="0072532F">
        <w:rPr>
          <w:sz w:val="24"/>
          <w:lang w:val="pl-PL"/>
        </w:rPr>
        <w:tab/>
      </w:r>
      <w:r w:rsidRPr="0072532F">
        <w:rPr>
          <w:sz w:val="24"/>
          <w:lang w:val="pl-PL"/>
        </w:rPr>
        <w:t xml:space="preserve">Dz.U. L 22 z 26.1.2005, </w:t>
      </w:r>
      <w:proofErr w:type="gramStart"/>
      <w:r w:rsidRPr="0072532F">
        <w:rPr>
          <w:sz w:val="24"/>
          <w:lang w:val="pl-PL"/>
        </w:rPr>
        <w:t>s</w:t>
      </w:r>
      <w:proofErr w:type="gramEnd"/>
      <w:r w:rsidRPr="0072532F">
        <w:rPr>
          <w:sz w:val="24"/>
          <w:lang w:val="pl-PL"/>
        </w:rPr>
        <w:t>.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3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32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3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13/2024"/>
    <w:docVar w:name="dvlangue" w:val="PL"/>
    <w:docVar w:name="dvnumam" w:val="0"/>
    <w:docVar w:name="dvpe" w:val="760.991"/>
    <w:docVar w:name="dvtitre" w:val="Decyzja Parlamentu Europejskiego z dnia  2024 r. w sprawie niewyrażania sprzeciwu wobec rozporządzenia delegowanego Komisji z dnia 28 lutego 2024 r. zmieniającego rozporządzenie (WE) nr 273/2004 Parlamentu Europejskiego i Rady oraz rozporządzenie Rady (WE) nr 111/2005 w odniesieniu do włączenia prekursora narkotyku (2-(3,4-metylenodioksyfenylo)acetylo)malonian izopropylidenu (IMDPAM) i innych substancji do wykazu substancji sklasyfikowanych(C(2024)01219 - 2024/2606(DEA))"/>
  </w:docVars>
  <w:rsids>
    <w:rsidRoot w:val="00AB2D5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3C1F"/>
    <w:rsid w:val="0050519A"/>
    <w:rsid w:val="005072A1"/>
    <w:rsid w:val="00514517"/>
    <w:rsid w:val="00545827"/>
    <w:rsid w:val="00560270"/>
    <w:rsid w:val="005C2568"/>
    <w:rsid w:val="006037C0"/>
    <w:rsid w:val="006631B6"/>
    <w:rsid w:val="00680577"/>
    <w:rsid w:val="006F74FA"/>
    <w:rsid w:val="0072532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B9C"/>
    <w:rsid w:val="00981893"/>
    <w:rsid w:val="00A1687D"/>
    <w:rsid w:val="00A43E52"/>
    <w:rsid w:val="00A4678D"/>
    <w:rsid w:val="00A778C7"/>
    <w:rsid w:val="00AB2D5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82202"/>
  <w15:chartTrackingRefBased/>
  <w15:docId w15:val="{EB54B26C-A786-4AAC-9DBB-D9A004630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75B9C"/>
    <w:pPr>
      <w:spacing w:before="480" w:after="240"/>
    </w:pPr>
  </w:style>
  <w:style w:type="paragraph" w:customStyle="1" w:styleId="NormalHanging12a">
    <w:name w:val="NormalHanging12a"/>
    <w:basedOn w:val="Normal"/>
    <w:rsid w:val="00975B9C"/>
    <w:pPr>
      <w:spacing w:after="240"/>
      <w:ind w:left="567" w:hanging="567"/>
    </w:pPr>
  </w:style>
  <w:style w:type="paragraph" w:customStyle="1" w:styleId="ManualConsidrant">
    <w:name w:val="Manual Considérant"/>
    <w:basedOn w:val="Normal"/>
    <w:rsid w:val="00975B9C"/>
    <w:pPr>
      <w:widowControl/>
      <w:spacing w:before="120" w:after="120"/>
      <w:ind w:left="709" w:hanging="709"/>
      <w:jc w:val="both"/>
    </w:pPr>
    <w:rPr>
      <w:rFonts w:eastAsiaTheme="minorHAnsi"/>
      <w:szCs w:val="22"/>
      <w:lang w:eastAsia="en-US"/>
    </w:rPr>
  </w:style>
  <w:style w:type="paragraph" w:customStyle="1" w:styleId="Normal12Hanging">
    <w:name w:val="Normal12Hanging"/>
    <w:basedOn w:val="Normal"/>
    <w:link w:val="Normal12HangingChar"/>
    <w:rsid w:val="004F3C1F"/>
    <w:pPr>
      <w:spacing w:after="240"/>
      <w:ind w:left="357" w:hanging="357"/>
    </w:pPr>
    <w:rPr>
      <w:snapToGrid w:val="0"/>
    </w:rPr>
  </w:style>
  <w:style w:type="character" w:customStyle="1" w:styleId="Normal12HangingChar">
    <w:name w:val="Normal12Hanging Char"/>
    <w:link w:val="Normal12Hanging"/>
    <w:rsid w:val="004F3C1F"/>
    <w:rPr>
      <w:snapToGrid w:val="0"/>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EB1AF-C46A-40F5-81DA-7B3F12B6E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3849</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2024-04-24T11:33:00Z</dcterms:created>
  <dcterms:modified xsi:type="dcterms:W3CDTF">2024-04-24T11:33:00Z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B9-0213/2024</vt:lpwstr>
  </property>
  <property fmtid="{D5CDD505-2E9C-101B-9397-08002B2CF9AE}" pid="4" name="&lt;Type&gt;">
    <vt:lpwstr>RR</vt:lpwstr>
  </property>
</Properties>
</file>