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1146" w14:paraId="241F8F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78C64F" w14:textId="77777777" w:rsidR="00751A4A" w:rsidRPr="00681146" w:rsidRDefault="00277E1A" w:rsidP="0010095E">
            <w:pPr>
              <w:pStyle w:val="EPName"/>
            </w:pPr>
            <w:r w:rsidRPr="00681146">
              <w:t>Parlamento Europeu</w:t>
            </w:r>
          </w:p>
          <w:p w14:paraId="7F5C9086" w14:textId="77777777" w:rsidR="00751A4A" w:rsidRPr="0068114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114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D215DFE" w14:textId="77777777" w:rsidR="00751A4A" w:rsidRPr="00681146" w:rsidRDefault="00187494" w:rsidP="0010095E">
            <w:pPr>
              <w:pStyle w:val="EPLogo"/>
            </w:pPr>
            <w:r w:rsidRPr="00681146">
              <w:rPr>
                <w:noProof/>
                <w:lang w:val="en-GB"/>
              </w:rPr>
              <w:drawing>
                <wp:inline distT="0" distB="0" distL="0" distR="0" wp14:anchorId="75FC465F" wp14:editId="6A2495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DA6E3F" w14:textId="77777777" w:rsidR="00D058B8" w:rsidRPr="00681146" w:rsidRDefault="00D058B8" w:rsidP="004C5D52">
      <w:pPr>
        <w:pStyle w:val="LineTop"/>
      </w:pPr>
    </w:p>
    <w:p w14:paraId="7BC45B3F" w14:textId="77777777" w:rsidR="00680577" w:rsidRPr="00681146" w:rsidRDefault="00277E1A" w:rsidP="00680577">
      <w:pPr>
        <w:pStyle w:val="EPBodyTA1"/>
      </w:pPr>
      <w:r w:rsidRPr="00681146">
        <w:t>TEXTOS APROVADOS</w:t>
      </w:r>
    </w:p>
    <w:p w14:paraId="36ED8376" w14:textId="77777777" w:rsidR="00D058B8" w:rsidRPr="00681146" w:rsidRDefault="00D058B8" w:rsidP="00D058B8">
      <w:pPr>
        <w:pStyle w:val="LineBottom"/>
      </w:pPr>
    </w:p>
    <w:p w14:paraId="50D91E35" w14:textId="6F283576" w:rsidR="00277E1A" w:rsidRPr="00681146" w:rsidRDefault="00277E1A" w:rsidP="00277E1A">
      <w:pPr>
        <w:pStyle w:val="ATHeading1"/>
      </w:pPr>
      <w:bookmarkStart w:id="0" w:name="TANumber"/>
      <w:r w:rsidRPr="00681146">
        <w:t>P9_TA(2024)</w:t>
      </w:r>
      <w:bookmarkEnd w:id="0"/>
      <w:r w:rsidR="00DD7B1D" w:rsidRPr="00681146">
        <w:t>0314</w:t>
      </w:r>
    </w:p>
    <w:p w14:paraId="3468B703" w14:textId="77777777" w:rsidR="00277E1A" w:rsidRPr="00681146" w:rsidRDefault="00D82CEF" w:rsidP="00277E1A">
      <w:pPr>
        <w:pStyle w:val="ATHeading2"/>
      </w:pPr>
      <w:bookmarkStart w:id="1" w:name="title"/>
      <w:r w:rsidRPr="00681146">
        <w:t>Não objeção a um ato delegado: I</w:t>
      </w:r>
      <w:r w:rsidR="00277E1A" w:rsidRPr="00681146">
        <w:t>nclusão do precursor da substância (2-(3,4-metilenodioxifenil)acetil)Malonato de isopropilideno (IMDPAM) e outras substâncias constantes da lista de substâncias inventariadas</w:t>
      </w:r>
      <w:bookmarkEnd w:id="1"/>
    </w:p>
    <w:p w14:paraId="3041CD2D" w14:textId="77777777" w:rsidR="00277E1A" w:rsidRPr="00681146" w:rsidRDefault="00277E1A" w:rsidP="00277E1A">
      <w:pPr>
        <w:rPr>
          <w:i/>
          <w:vanish/>
        </w:rPr>
      </w:pPr>
      <w:r w:rsidRPr="00681146">
        <w:rPr>
          <w:i/>
        </w:rPr>
        <w:fldChar w:fldCharType="begin"/>
      </w:r>
      <w:r w:rsidRPr="00681146">
        <w:rPr>
          <w:i/>
        </w:rPr>
        <w:instrText xml:space="preserve"> TC"(</w:instrText>
      </w:r>
      <w:bookmarkStart w:id="2" w:name="DocNumber"/>
      <w:r w:rsidRPr="00681146">
        <w:rPr>
          <w:i/>
        </w:rPr>
        <w:instrText>B9-0213/2024</w:instrText>
      </w:r>
      <w:bookmarkEnd w:id="2"/>
      <w:r w:rsidRPr="00681146">
        <w:rPr>
          <w:i/>
        </w:rPr>
        <w:instrText xml:space="preserve">)"\l3 \n&gt; \* MERGEFORMAT </w:instrText>
      </w:r>
      <w:r w:rsidRPr="00681146">
        <w:rPr>
          <w:i/>
        </w:rPr>
        <w:fldChar w:fldCharType="end"/>
      </w:r>
    </w:p>
    <w:p w14:paraId="6768FE14" w14:textId="77777777" w:rsidR="00277E1A" w:rsidRPr="00681146" w:rsidRDefault="00277E1A" w:rsidP="00277E1A">
      <w:pPr>
        <w:rPr>
          <w:vanish/>
        </w:rPr>
      </w:pPr>
      <w:bookmarkStart w:id="3" w:name="PE"/>
      <w:r w:rsidRPr="00681146">
        <w:rPr>
          <w:vanish/>
        </w:rPr>
        <w:t>PE760.991</w:t>
      </w:r>
      <w:bookmarkEnd w:id="3"/>
    </w:p>
    <w:p w14:paraId="41E83116" w14:textId="6C97D8B0" w:rsidR="00277E1A" w:rsidRPr="00681146" w:rsidRDefault="00277E1A" w:rsidP="00277E1A">
      <w:pPr>
        <w:pStyle w:val="ATHeading3"/>
      </w:pPr>
      <w:bookmarkStart w:id="4" w:name="Sujet"/>
      <w:r w:rsidRPr="00681146">
        <w:t>Decisão do Parlamento Europeu referente à não formulação de objeções ao Regulamento delegado de 28 de fevereiro de 20</w:t>
      </w:r>
      <w:r w:rsidR="00B557A7">
        <w:t>2</w:t>
      </w:r>
      <w:bookmarkStart w:id="5" w:name="_GoBack"/>
      <w:bookmarkEnd w:id="5"/>
      <w:r w:rsidRPr="00681146">
        <w:t>4 da Comissão que altera o Regulamento (CE) n.º 273/2004 do Parlamento Europeu e do Conselho e o Regulamento (CE) n.º 111/2005 do Conselho no que diz respeito à inclusão do precursor da substância (2-(3,4-metilenodioxifenil)acetil)Malonato de isopropilideno (IMDPAM) e outras substâncias constantes da lista de substâncias inventariadas</w:t>
      </w:r>
      <w:bookmarkEnd w:id="4"/>
      <w:r w:rsidRPr="00681146">
        <w:t xml:space="preserve"> </w:t>
      </w:r>
      <w:bookmarkStart w:id="6" w:name="References"/>
      <w:r w:rsidRPr="00681146">
        <w:t>(C(2024)01219 - 2024/2606(DEA))</w:t>
      </w:r>
      <w:bookmarkEnd w:id="6"/>
    </w:p>
    <w:p w14:paraId="03B00172" w14:textId="77777777" w:rsidR="003018C5" w:rsidRPr="00681146" w:rsidRDefault="003018C5" w:rsidP="003018C5">
      <w:pPr>
        <w:pStyle w:val="EPComma"/>
      </w:pPr>
      <w:bookmarkStart w:id="7" w:name="TextBodyBegin"/>
      <w:bookmarkEnd w:id="7"/>
      <w:r w:rsidRPr="00681146">
        <w:rPr>
          <w:i/>
          <w:iCs/>
        </w:rPr>
        <w:t>O Parlamento Europeu</w:t>
      </w:r>
      <w:r w:rsidRPr="00681146">
        <w:t>,</w:t>
      </w:r>
    </w:p>
    <w:p w14:paraId="12342DD6" w14:textId="77777777" w:rsidR="003018C5" w:rsidRPr="00681146" w:rsidRDefault="003018C5" w:rsidP="003018C5">
      <w:pPr>
        <w:pStyle w:val="NormalHanging12a"/>
      </w:pPr>
      <w:r w:rsidRPr="00681146">
        <w:t>–</w:t>
      </w:r>
      <w:r w:rsidRPr="00681146">
        <w:tab/>
        <w:t>Tendo em conta o Regulamento delegado da Comissão (C(2024)01219),</w:t>
      </w:r>
    </w:p>
    <w:p w14:paraId="76CF1FCA" w14:textId="77777777" w:rsidR="003018C5" w:rsidRPr="00681146" w:rsidRDefault="003018C5" w:rsidP="003018C5">
      <w:pPr>
        <w:pStyle w:val="NormalHanging12a"/>
        <w:rPr>
          <w:spacing w:val="-2"/>
          <w:szCs w:val="24"/>
        </w:rPr>
      </w:pPr>
      <w:r w:rsidRPr="00681146">
        <w:t>–</w:t>
      </w:r>
      <w:r w:rsidRPr="00681146">
        <w:tab/>
        <w:t>Tendo em conta a carta da Comissão, de 13 de março de 2024, em que a Comissão solicita ao Parlamento que declare que não formulará objeções ao Regulamento delegado,</w:t>
      </w:r>
    </w:p>
    <w:p w14:paraId="0303794E" w14:textId="77777777" w:rsidR="003018C5" w:rsidRPr="00681146" w:rsidRDefault="003018C5" w:rsidP="003018C5">
      <w:pPr>
        <w:pStyle w:val="NormalHanging12a"/>
      </w:pPr>
      <w:r w:rsidRPr="00681146">
        <w:t>–</w:t>
      </w:r>
      <w:r w:rsidRPr="00681146">
        <w:tab/>
        <w:t>Tendo em conta a carta da Comissão das Liberdades Cívicas, da Justiça e dos Assuntos Internos ao Presidente da Conferência dos Presidentes das Comissões,</w:t>
      </w:r>
    </w:p>
    <w:p w14:paraId="37514E9F" w14:textId="77777777" w:rsidR="003018C5" w:rsidRPr="00681146" w:rsidRDefault="003018C5" w:rsidP="003018C5">
      <w:pPr>
        <w:pStyle w:val="NormalHanging12a"/>
      </w:pPr>
      <w:r w:rsidRPr="00681146">
        <w:t>–</w:t>
      </w:r>
      <w:r w:rsidRPr="00681146">
        <w:tab/>
        <w:t>Tendo em conta o artigo 290.º do Tratado sobre o Funcionamento da União Europeia,</w:t>
      </w:r>
    </w:p>
    <w:p w14:paraId="454206D3" w14:textId="77777777" w:rsidR="003018C5" w:rsidRPr="00681146" w:rsidRDefault="003018C5" w:rsidP="003018C5">
      <w:pPr>
        <w:pStyle w:val="NormalHanging12a"/>
      </w:pPr>
      <w:r w:rsidRPr="00681146">
        <w:t>–</w:t>
      </w:r>
      <w:r w:rsidRPr="00681146">
        <w:tab/>
        <w:t>Tendo em conta o Regulamento (CE) n.º 273/2004 do Parlamento Europeu e do Conselho, de 11 de fevereiro de 2004</w:t>
      </w:r>
      <w:r w:rsidRPr="00681146">
        <w:rPr>
          <w:rStyle w:val="FootnoteReference"/>
          <w:szCs w:val="24"/>
        </w:rPr>
        <w:footnoteReference w:id="1"/>
      </w:r>
      <w:r w:rsidRPr="00681146">
        <w:t>, relativo aos precursores de drogas, nomeadamente os seus artigos 15.º e 15.º-A, n.º 5,</w:t>
      </w:r>
    </w:p>
    <w:p w14:paraId="110CAE10" w14:textId="77777777" w:rsidR="003018C5" w:rsidRPr="00681146" w:rsidRDefault="003018C5" w:rsidP="003018C5">
      <w:pPr>
        <w:pStyle w:val="NormalHanging12a"/>
      </w:pPr>
      <w:r w:rsidRPr="00681146">
        <w:t>–</w:t>
      </w:r>
      <w:r w:rsidRPr="00681146">
        <w:tab/>
        <w:t>Tendo em conta o Regulamento (CE) n.º 111/2005 do</w:t>
      </w:r>
      <w:r w:rsidR="00FE539C" w:rsidRPr="00681146">
        <w:t xml:space="preserve"> Conselho, de 22 de dezembro de </w:t>
      </w:r>
      <w:r w:rsidRPr="00681146">
        <w:t>2004</w:t>
      </w:r>
      <w:r w:rsidRPr="00681146">
        <w:rPr>
          <w:rStyle w:val="FootnoteReference"/>
        </w:rPr>
        <w:footnoteReference w:id="2"/>
      </w:r>
      <w:r w:rsidRPr="00681146">
        <w:t>, que estabelece regras de controlo do comércio de precursores de drogas entre a União e países terceiros, nomeadamente os seus artigos 30.º-A e 30.º-B, n.º 5,</w:t>
      </w:r>
    </w:p>
    <w:p w14:paraId="2E7E5462" w14:textId="77777777" w:rsidR="003018C5" w:rsidRPr="00681146" w:rsidRDefault="003018C5" w:rsidP="003018C5">
      <w:pPr>
        <w:pStyle w:val="NormalHanging12a"/>
      </w:pPr>
      <w:r w:rsidRPr="00681146">
        <w:lastRenderedPageBreak/>
        <w:t>–</w:t>
      </w:r>
      <w:r w:rsidRPr="00681146">
        <w:tab/>
        <w:t>Tendo em conta o artigo 111.º, n.º 6, do seu Regimento,</w:t>
      </w:r>
    </w:p>
    <w:p w14:paraId="3F7812C3" w14:textId="77777777" w:rsidR="003018C5" w:rsidRPr="00681146" w:rsidRDefault="003018C5" w:rsidP="003018C5">
      <w:pPr>
        <w:pStyle w:val="NormalHanging12a"/>
      </w:pPr>
      <w:r w:rsidRPr="00681146">
        <w:t>–</w:t>
      </w:r>
      <w:r w:rsidRPr="00681146">
        <w:tab/>
        <w:t>Tendo em conta a recomendação de decisão da Comissão das Liberdades Cívicas, da Justiça e dos Assuntos Internos,</w:t>
      </w:r>
    </w:p>
    <w:p w14:paraId="7C74908A" w14:textId="77777777" w:rsidR="00B063D4" w:rsidRPr="00681146" w:rsidRDefault="00B063D4" w:rsidP="003018C5">
      <w:pPr>
        <w:pStyle w:val="NormalHanging12a"/>
      </w:pPr>
      <w:r w:rsidRPr="00681146">
        <w:t>–</w:t>
      </w:r>
      <w:r w:rsidRPr="00681146">
        <w:tab/>
        <w:t>Tendo em conta que não foram formuladas objeções no prazo fixado no artigo 111.º, n.º 6, terceiro e quarto travessões, do seu Regimento, que expirou em 23 de abril de 2024,</w:t>
      </w:r>
    </w:p>
    <w:p w14:paraId="1ED9E5D6" w14:textId="77777777" w:rsidR="003018C5" w:rsidRPr="00681146" w:rsidRDefault="003018C5" w:rsidP="003018C5">
      <w:pPr>
        <w:pStyle w:val="NormalHanging12a"/>
      </w:pPr>
      <w:r w:rsidRPr="00681146">
        <w:t>A.</w:t>
      </w:r>
      <w:r w:rsidRPr="00681146">
        <w:tab/>
        <w:t>Considerando que é necessário atualizar permanentemente o quadro legislativo da UE relativo a medidas destinadas a controlar o acesso a substâncias utilizadas no fabrico de drogas ilícitas, com vista a combater a proliferação dos chamados «precursores de síntese», produtos químicos da mesma família dos precursores de drogas tradicionais, criados para contornar as regras em vigor;</w:t>
      </w:r>
    </w:p>
    <w:p w14:paraId="28530535" w14:textId="77777777" w:rsidR="003018C5" w:rsidRPr="00681146" w:rsidRDefault="003018C5" w:rsidP="003018C5">
      <w:pPr>
        <w:pStyle w:val="ManualConsidrant"/>
        <w:ind w:left="567" w:hanging="567"/>
        <w:jc w:val="left"/>
        <w:rPr>
          <w:noProof/>
        </w:rPr>
      </w:pPr>
      <w:r w:rsidRPr="00681146">
        <w:t>B.</w:t>
      </w:r>
      <w:r w:rsidRPr="00681146">
        <w:tab/>
        <w:t>Considerando que o sal de sódio do (2-(3,4-metilenodioxifenil)acetil)Malonato de isopropilideno (IMDPAM) foi identificado como um precursor de drogas de desenvolvimento recente, utilizado na produção de MDMA (3,4-metilenodioximetanfetamina), vulgarmente conhecida como «ecstasy»;</w:t>
      </w:r>
    </w:p>
    <w:p w14:paraId="13FB7A27" w14:textId="77777777" w:rsidR="003018C5" w:rsidRPr="00681146" w:rsidRDefault="003018C5" w:rsidP="003018C5">
      <w:pPr>
        <w:pStyle w:val="ManualConsidrant"/>
        <w:ind w:left="567" w:hanging="567"/>
        <w:jc w:val="left"/>
        <w:rPr>
          <w:noProof/>
        </w:rPr>
      </w:pPr>
      <w:r w:rsidRPr="00681146">
        <w:t>C.</w:t>
      </w:r>
      <w:r w:rsidRPr="00681146">
        <w:tab/>
        <w:t>Considerando que sete ésteres do ácido 2-metil-3-feniloxirano-2-carboxílico (ácido BMK-glicídico) e seis ésteres do ácido 3- (1,3-benzodioxol-5-il)-2-metil-oxirano-2-carboxílico (ácido PMK-glicídico) foram identificados como possíveis substitutos do ácido BMK-glicídico e do ácido PMK-glicídico (que são precursores controlados nos termos da legislação da UE) na produção de drogas ilícitas como a MDMA, a metanfetamina e a anfetamina;</w:t>
      </w:r>
    </w:p>
    <w:p w14:paraId="3189F0FA" w14:textId="77777777" w:rsidR="003018C5" w:rsidRPr="00681146" w:rsidRDefault="003018C5" w:rsidP="003018C5">
      <w:pPr>
        <w:pStyle w:val="ManualConsidrant"/>
        <w:ind w:left="567" w:hanging="567"/>
        <w:jc w:val="left"/>
        <w:rPr>
          <w:noProof/>
        </w:rPr>
      </w:pPr>
      <w:r w:rsidRPr="00681146">
        <w:t>D.</w:t>
      </w:r>
      <w:r w:rsidRPr="00681146">
        <w:tab/>
        <w:t>Considerando que é necessário alterar a lista de substâncias inventariadas incluída no anexo I do Regulamento (CE) n.º 273/2004 e no anexo do Regulamento (CE) n.º 111/2005, com o objetivo de sujeitar o IMDPAM e os ésteres identificados do ácido BMK-glicídico e do ácido PMK-glicídico às medidas harmonizadas de controlo e vigilância previstas nesses regulamentos;</w:t>
      </w:r>
    </w:p>
    <w:p w14:paraId="13EE7340" w14:textId="3626CBCC" w:rsidR="003018C5" w:rsidRPr="00681146" w:rsidRDefault="003018C5" w:rsidP="003018C5">
      <w:pPr>
        <w:pStyle w:val="ManualConsidrant"/>
        <w:ind w:left="567" w:hanging="567"/>
        <w:jc w:val="left"/>
        <w:rPr>
          <w:noProof/>
        </w:rPr>
      </w:pPr>
      <w:r w:rsidRPr="00681146">
        <w:t>E.</w:t>
      </w:r>
      <w:r w:rsidRPr="00681146">
        <w:tab/>
        <w:t>Considerando que as medidas de controlo do acesso a substâncias inventariadas recentemente, ao abrigo dos Regulamentos (CE) n.º 273/2004 e (CE) n.º 111/2005, devem entrar em vigor o mais rapidamente possível, a fim de impedir a utilização desses precursores de drogas na produção e colocação no mercado de drogas ilícitas;</w:t>
      </w:r>
    </w:p>
    <w:p w14:paraId="3DC81C37" w14:textId="77777777" w:rsidR="003018C5" w:rsidRPr="00681146" w:rsidRDefault="003018C5" w:rsidP="003018C5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681146">
        <w:t>F.</w:t>
      </w:r>
      <w:r w:rsidRPr="00681146">
        <w:tab/>
        <w:t>Considerando que, no roteiro da UE em matéria de luta contra o tráfico de droga e o crime organizado (COM(2023)0641), a Comissão Europeia se comprometeu a envidar todos os esforços, em cooperação com o Parlamento e o Conselho, para acelerar o procedimento de adoção de futuros atos delegados que inventariem substâncias adicionais, ao abrigo dos Regulamentos (CE) n.º 273/2004 e (CE) n.º 111/2005;</w:t>
      </w:r>
    </w:p>
    <w:p w14:paraId="40EF4C23" w14:textId="77777777" w:rsidR="003018C5" w:rsidRPr="00681146" w:rsidRDefault="003018C5" w:rsidP="003018C5">
      <w:pPr>
        <w:pStyle w:val="NormalHanging12a"/>
      </w:pPr>
      <w:r w:rsidRPr="00681146">
        <w:t>1.</w:t>
      </w:r>
      <w:r w:rsidRPr="00681146">
        <w:tab/>
        <w:t>Declara não formular objeções ao Regulamento delegado;</w:t>
      </w:r>
    </w:p>
    <w:p w14:paraId="3748B29B" w14:textId="77777777" w:rsidR="003018C5" w:rsidRPr="00681146" w:rsidRDefault="003018C5" w:rsidP="003018C5">
      <w:pPr>
        <w:pStyle w:val="NormalHanging12a"/>
      </w:pPr>
      <w:r w:rsidRPr="00681146">
        <w:t>2.</w:t>
      </w:r>
      <w:r w:rsidRPr="00681146">
        <w:tab/>
        <w:t xml:space="preserve">Encarrega a sua Presidente de transmitir a presente decisão </w:t>
      </w:r>
      <w:r w:rsidR="009A3A39" w:rsidRPr="00681146">
        <w:t>ao Conselho e à Comissão.</w:t>
      </w:r>
    </w:p>
    <w:sectPr w:rsidR="003018C5" w:rsidRPr="00681146" w:rsidSect="009A3A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0451A" w14:textId="77777777" w:rsidR="00277E1A" w:rsidRPr="009A3A39" w:rsidRDefault="00277E1A">
      <w:r w:rsidRPr="009A3A39">
        <w:separator/>
      </w:r>
    </w:p>
  </w:endnote>
  <w:endnote w:type="continuationSeparator" w:id="0">
    <w:p w14:paraId="4574AFCB" w14:textId="77777777" w:rsidR="00277E1A" w:rsidRPr="009A3A39" w:rsidRDefault="00277E1A">
      <w:r w:rsidRPr="009A3A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20BD2" w14:textId="77777777" w:rsidR="00064002" w:rsidRPr="009A3A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633B5" w14:textId="77777777" w:rsidR="00064002" w:rsidRPr="009A3A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4CD7" w14:textId="77777777" w:rsidR="00064002" w:rsidRPr="009A3A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73A4B" w14:textId="77777777" w:rsidR="00277E1A" w:rsidRPr="009A3A39" w:rsidRDefault="00277E1A">
      <w:r w:rsidRPr="009A3A39">
        <w:separator/>
      </w:r>
    </w:p>
  </w:footnote>
  <w:footnote w:type="continuationSeparator" w:id="0">
    <w:p w14:paraId="64D60DFC" w14:textId="77777777" w:rsidR="00277E1A" w:rsidRPr="009A3A39" w:rsidRDefault="00277E1A">
      <w:r w:rsidRPr="009A3A39">
        <w:continuationSeparator/>
      </w:r>
    </w:p>
  </w:footnote>
  <w:footnote w:id="1">
    <w:p w14:paraId="13548530" w14:textId="77777777" w:rsidR="003018C5" w:rsidRPr="00681146" w:rsidRDefault="003018C5" w:rsidP="009A3A39">
      <w:pPr>
        <w:pStyle w:val="FootnoteText"/>
        <w:ind w:left="567" w:hanging="567"/>
        <w:rPr>
          <w:sz w:val="24"/>
          <w:lang w:val="da-DK"/>
        </w:rPr>
      </w:pPr>
      <w:r w:rsidRPr="009A3A39">
        <w:rPr>
          <w:rStyle w:val="FootnoteReference"/>
          <w:sz w:val="24"/>
          <w:lang w:val="pt-PT"/>
        </w:rPr>
        <w:footnoteRef/>
      </w:r>
      <w:r w:rsidR="009A3A39" w:rsidRPr="00681146">
        <w:rPr>
          <w:sz w:val="24"/>
          <w:lang w:val="da-DK"/>
        </w:rPr>
        <w:t xml:space="preserve"> </w:t>
      </w:r>
      <w:r w:rsidR="009A3A39" w:rsidRPr="00681146">
        <w:rPr>
          <w:sz w:val="24"/>
          <w:lang w:val="da-DK"/>
        </w:rPr>
        <w:tab/>
      </w:r>
      <w:r w:rsidRPr="00681146">
        <w:rPr>
          <w:sz w:val="24"/>
          <w:lang w:val="da-DK"/>
        </w:rPr>
        <w:t>JO L 47 de 18.2.2004, p. 1.</w:t>
      </w:r>
    </w:p>
  </w:footnote>
  <w:footnote w:id="2">
    <w:p w14:paraId="2C864400" w14:textId="77777777" w:rsidR="003018C5" w:rsidRPr="00681146" w:rsidRDefault="003018C5" w:rsidP="009A3A39">
      <w:pPr>
        <w:pStyle w:val="FootnoteText"/>
        <w:ind w:left="567" w:hanging="567"/>
        <w:rPr>
          <w:sz w:val="24"/>
          <w:lang w:val="da-DK"/>
        </w:rPr>
      </w:pPr>
      <w:r w:rsidRPr="009A3A39">
        <w:rPr>
          <w:rStyle w:val="FootnoteReference"/>
          <w:sz w:val="24"/>
          <w:lang w:val="pt-PT"/>
        </w:rPr>
        <w:footnoteRef/>
      </w:r>
      <w:r w:rsidR="009A3A39" w:rsidRPr="00681146">
        <w:rPr>
          <w:sz w:val="24"/>
          <w:lang w:val="da-DK"/>
        </w:rPr>
        <w:t xml:space="preserve"> </w:t>
      </w:r>
      <w:r w:rsidR="009A3A39" w:rsidRPr="00681146">
        <w:rPr>
          <w:sz w:val="24"/>
          <w:lang w:val="da-DK"/>
        </w:rPr>
        <w:tab/>
      </w:r>
      <w:r w:rsidRPr="00681146">
        <w:rPr>
          <w:sz w:val="24"/>
          <w:lang w:val="da-DK"/>
        </w:rPr>
        <w:t>JO L 22 de 26.1.2005,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9734C" w14:textId="77777777" w:rsidR="00064002" w:rsidRPr="009A3A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FFECF" w14:textId="77777777" w:rsidR="00064002" w:rsidRPr="009A3A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6B271" w14:textId="77777777" w:rsidR="00064002" w:rsidRPr="009A3A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PT"/>
    <w:docVar w:name="dvnumam" w:val="0"/>
    <w:docVar w:name="dvpe" w:val="760.991"/>
    <w:docVar w:name="dvtitre" w:val="Decisão do Parlamento Europeu, de ... de ... de 2024, referente à não formulação de objeções ao Regulamento delegado de 28 de fevereiro de 2004 da Comissão que altera o Regulamento (CE) n.º 273/2004 do Parlamento Europeu e do Conselho e o Regulamento (CE) n.º 111/2005 do Conselho no que diz respeito à inclusão do precursor da substância (2-(3,4-metilenodioxifenil)acetil)Malonato de isopropilideno (IMDPAM) e outras substâncias constantes da lista de substâncias inventariadas(C(2024)01219 - 2024/2606(DEA))"/>
  </w:docVars>
  <w:rsids>
    <w:rsidRoot w:val="00277E1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7E1A"/>
    <w:rsid w:val="002B18FE"/>
    <w:rsid w:val="002B5493"/>
    <w:rsid w:val="003018C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B91"/>
    <w:rsid w:val="005C2568"/>
    <w:rsid w:val="006037C0"/>
    <w:rsid w:val="006631B6"/>
    <w:rsid w:val="00680577"/>
    <w:rsid w:val="0068114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A39"/>
    <w:rsid w:val="00A1687D"/>
    <w:rsid w:val="00A43E52"/>
    <w:rsid w:val="00A4678D"/>
    <w:rsid w:val="00A778C7"/>
    <w:rsid w:val="00AB441E"/>
    <w:rsid w:val="00AB6293"/>
    <w:rsid w:val="00AE0928"/>
    <w:rsid w:val="00AE4231"/>
    <w:rsid w:val="00AF3B82"/>
    <w:rsid w:val="00B063D4"/>
    <w:rsid w:val="00B12E95"/>
    <w:rsid w:val="00B22876"/>
    <w:rsid w:val="00B557A7"/>
    <w:rsid w:val="00B558F0"/>
    <w:rsid w:val="00BD48FE"/>
    <w:rsid w:val="00BD7BD8"/>
    <w:rsid w:val="00BE6ADC"/>
    <w:rsid w:val="00C05BFE"/>
    <w:rsid w:val="00C23CD4"/>
    <w:rsid w:val="00C61C0C"/>
    <w:rsid w:val="00C77D4F"/>
    <w:rsid w:val="00C941CB"/>
    <w:rsid w:val="00CC2357"/>
    <w:rsid w:val="00CF071A"/>
    <w:rsid w:val="00D058B8"/>
    <w:rsid w:val="00D56C11"/>
    <w:rsid w:val="00D82CEF"/>
    <w:rsid w:val="00D834A0"/>
    <w:rsid w:val="00D872DF"/>
    <w:rsid w:val="00D91E21"/>
    <w:rsid w:val="00DA7FCD"/>
    <w:rsid w:val="00DD7B1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C352B"/>
  <w15:chartTrackingRefBased/>
  <w15:docId w15:val="{34E1F364-0898-4CC2-B597-E71D8F71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18C5"/>
    <w:pPr>
      <w:spacing w:before="480" w:after="240"/>
    </w:pPr>
  </w:style>
  <w:style w:type="paragraph" w:customStyle="1" w:styleId="NormalHanging12a">
    <w:name w:val="NormalHanging12a"/>
    <w:basedOn w:val="Normal"/>
    <w:rsid w:val="003018C5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3018C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C77D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7D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7D4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77D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7D4F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C77D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7D4F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C77D4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77D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337F0-167D-445D-874B-9EA58ED5C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3775</Characters>
  <Application>Microsoft Office Word</Application>
  <DocSecurity>0</DocSecurity>
  <Lines>58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PEREIRA Dulce</cp:lastModifiedBy>
  <cp:revision>2</cp:revision>
  <cp:lastPrinted>2004-11-19T15:42:00Z</cp:lastPrinted>
  <dcterms:created xsi:type="dcterms:W3CDTF">2024-06-12T07:23:00Z</dcterms:created>
  <dcterms:modified xsi:type="dcterms:W3CDTF">2024-06-12T07:23:00Z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