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67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676B" w:rsidRDefault="00037F5A" w:rsidP="0010095E">
            <w:pPr>
              <w:pStyle w:val="EPName"/>
            </w:pPr>
            <w:r w:rsidRPr="00A4676B">
              <w:t>Parlamentul European</w:t>
            </w:r>
          </w:p>
          <w:p w:rsidR="00751A4A" w:rsidRPr="00A467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676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4676B" w:rsidRDefault="00187494" w:rsidP="0010095E">
            <w:pPr>
              <w:pStyle w:val="EPLogo"/>
            </w:pPr>
            <w:r w:rsidRPr="00A467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676B" w:rsidRDefault="00D058B8" w:rsidP="004C5D52">
      <w:pPr>
        <w:pStyle w:val="LineTop"/>
      </w:pPr>
    </w:p>
    <w:p w:rsidR="00680577" w:rsidRPr="00A4676B" w:rsidRDefault="00037F5A" w:rsidP="00680577">
      <w:pPr>
        <w:pStyle w:val="EPBodyTA1"/>
      </w:pPr>
      <w:r w:rsidRPr="00A4676B">
        <w:t>TEXTE ADOPTATE</w:t>
      </w:r>
    </w:p>
    <w:p w:rsidR="00D058B8" w:rsidRPr="00A4676B" w:rsidRDefault="00D058B8" w:rsidP="00D058B8">
      <w:pPr>
        <w:pStyle w:val="LineBottom"/>
      </w:pPr>
    </w:p>
    <w:p w:rsidR="00037F5A" w:rsidRPr="00A4676B" w:rsidRDefault="00037F5A" w:rsidP="00037F5A">
      <w:pPr>
        <w:pStyle w:val="ATHeading1"/>
      </w:pPr>
      <w:bookmarkStart w:id="0" w:name="TANumber"/>
      <w:r w:rsidRPr="00A4676B">
        <w:t>P9_TA(2024)0</w:t>
      </w:r>
      <w:bookmarkEnd w:id="0"/>
      <w:r w:rsidR="00410BFD" w:rsidRPr="00A4676B">
        <w:t>314</w:t>
      </w:r>
    </w:p>
    <w:p w:rsidR="00037F5A" w:rsidRPr="00A4676B" w:rsidRDefault="00807182" w:rsidP="00037F5A">
      <w:pPr>
        <w:pStyle w:val="ATHeading2"/>
      </w:pPr>
      <w:bookmarkStart w:id="1" w:name="title"/>
      <w:r w:rsidRPr="00A4676B">
        <w:t xml:space="preserve">Decizia </w:t>
      </w:r>
      <w:r w:rsidR="00B201C2">
        <w:t xml:space="preserve">de a nu formula </w:t>
      </w:r>
      <w:r w:rsidR="00B201C2">
        <w:t xml:space="preserve">obiecții la un act delegat: includerea precursorului de droguri </w:t>
      </w:r>
      <w:proofErr w:type="spellStart"/>
      <w:r w:rsidR="00B201C2">
        <w:t>malonat</w:t>
      </w:r>
      <w:proofErr w:type="spellEnd"/>
      <w:r w:rsidR="00B201C2">
        <w:t xml:space="preserve"> de </w:t>
      </w:r>
      <w:proofErr w:type="spellStart"/>
      <w:r w:rsidR="00B201C2">
        <w:t>izopropiliden</w:t>
      </w:r>
      <w:proofErr w:type="spellEnd"/>
      <w:r w:rsidR="00B201C2">
        <w:t xml:space="preserve"> [2-(3,4-metilendioxifenil) acetil] (IMDPAM) și a altor substanțe î</w:t>
      </w:r>
      <w:r w:rsidR="00B201C2">
        <w:t>n lista substanțelor clasificat</w:t>
      </w:r>
      <w:r w:rsidR="00037F5A" w:rsidRPr="00A4676B">
        <w:t>e</w:t>
      </w:r>
      <w:bookmarkEnd w:id="1"/>
    </w:p>
    <w:p w:rsidR="00037F5A" w:rsidRPr="00A4676B" w:rsidRDefault="00037F5A" w:rsidP="00037F5A">
      <w:pPr>
        <w:rPr>
          <w:i/>
          <w:vanish/>
        </w:rPr>
      </w:pPr>
      <w:r w:rsidRPr="00A4676B">
        <w:rPr>
          <w:i/>
        </w:rPr>
        <w:fldChar w:fldCharType="begin"/>
      </w:r>
      <w:r w:rsidRPr="00A4676B">
        <w:rPr>
          <w:i/>
        </w:rPr>
        <w:instrText xml:space="preserve"> TC"(</w:instrText>
      </w:r>
      <w:bookmarkStart w:id="2" w:name="DocNumber"/>
      <w:r w:rsidRPr="00A4676B">
        <w:rPr>
          <w:i/>
        </w:rPr>
        <w:instrText>B9-0213/2024</w:instrText>
      </w:r>
      <w:bookmarkEnd w:id="2"/>
      <w:r w:rsidRPr="00A4676B">
        <w:rPr>
          <w:i/>
        </w:rPr>
        <w:instrText xml:space="preserve">)"\l3 \n&gt; \* MERGEFORMAT </w:instrText>
      </w:r>
      <w:r w:rsidRPr="00A4676B">
        <w:rPr>
          <w:i/>
        </w:rPr>
        <w:fldChar w:fldCharType="end"/>
      </w:r>
    </w:p>
    <w:p w:rsidR="00037F5A" w:rsidRPr="00A4676B" w:rsidRDefault="00037F5A" w:rsidP="00037F5A">
      <w:pPr>
        <w:rPr>
          <w:vanish/>
        </w:rPr>
      </w:pPr>
      <w:bookmarkStart w:id="3" w:name="PE"/>
      <w:r w:rsidRPr="00A4676B">
        <w:rPr>
          <w:vanish/>
        </w:rPr>
        <w:t>PE760.991</w:t>
      </w:r>
      <w:bookmarkEnd w:id="3"/>
    </w:p>
    <w:p w:rsidR="00037F5A" w:rsidRPr="00A4676B" w:rsidRDefault="00037F5A" w:rsidP="00037F5A">
      <w:pPr>
        <w:pStyle w:val="ATHeading3"/>
      </w:pPr>
      <w:bookmarkStart w:id="4" w:name="Sujet"/>
      <w:r w:rsidRPr="00A4676B">
        <w:t xml:space="preserve">Decizia Parlamentului European de a nu formula obiecții la Regulamentul delegat al Comisiei din 28 februarie 2024 de modificare a Regulamentului (CE) nr. 273/2004 al Parlamentului European și al Consiliului și a Regulamentului (CE) nr. 111/2005 al Consiliului în ceea ce privește includerea precursorului de droguri </w:t>
      </w:r>
      <w:proofErr w:type="spellStart"/>
      <w:r w:rsidRPr="00A4676B">
        <w:t>malonat</w:t>
      </w:r>
      <w:proofErr w:type="spellEnd"/>
      <w:r w:rsidRPr="00A4676B">
        <w:t xml:space="preserve"> de </w:t>
      </w:r>
      <w:proofErr w:type="spellStart"/>
      <w:r w:rsidRPr="00A4676B">
        <w:t>izopropiliden</w:t>
      </w:r>
      <w:proofErr w:type="spellEnd"/>
      <w:r w:rsidRPr="00A4676B">
        <w:t xml:space="preserve"> [2-(3,4-metilendioxifenil) acetil] (IMDPAM) și a altor substanțe în lista substanțelor clasificate</w:t>
      </w:r>
      <w:bookmarkEnd w:id="4"/>
      <w:r w:rsidRPr="00A4676B">
        <w:t xml:space="preserve"> </w:t>
      </w:r>
      <w:bookmarkStart w:id="5" w:name="References"/>
      <w:r w:rsidRPr="00A4676B">
        <w:t>(C(2024)01219 - 2024/2606(DEA))</w:t>
      </w:r>
      <w:bookmarkEnd w:id="5"/>
    </w:p>
    <w:p w:rsidR="001056F8" w:rsidRPr="00A4676B" w:rsidRDefault="001056F8" w:rsidP="001056F8">
      <w:pPr>
        <w:pStyle w:val="EPComma"/>
      </w:pPr>
      <w:bookmarkStart w:id="6" w:name="TextBodyBegin"/>
      <w:bookmarkEnd w:id="6"/>
      <w:r w:rsidRPr="00A4676B">
        <w:rPr>
          <w:i/>
          <w:iCs/>
        </w:rPr>
        <w:t>Parlamentul European</w:t>
      </w:r>
      <w:r w:rsidRPr="00A4676B">
        <w:t>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regulamentul delegat al Comisiei (C(2024)01219),</w:t>
      </w:r>
    </w:p>
    <w:p w:rsidR="001056F8" w:rsidRPr="00A4676B" w:rsidRDefault="001056F8" w:rsidP="001056F8">
      <w:pPr>
        <w:pStyle w:val="NormalHanging12a"/>
        <w:rPr>
          <w:spacing w:val="-2"/>
          <w:szCs w:val="24"/>
        </w:rPr>
      </w:pPr>
      <w:r w:rsidRPr="00A4676B">
        <w:t>–</w:t>
      </w:r>
      <w:r w:rsidRPr="00A4676B">
        <w:tab/>
        <w:t>având în vedere scrisoarea Comisiei din 13 martie 2024 prin care aceasta îi solicită să declare că nu va formula obiecții la regulamentul delegat,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scrisoarea Comisiei pentru libertăți civile, justiție și afaceri interne trimisă președintelui Conferinței președinților de comisie,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articolul 290 din Tratatul privind funcționarea Uniunii Europene,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Regulamentul (CE) nr. 273/2004 al Parlamentului European și al Consiliului din 11 februarie 2004 privind precursorii drogurilor</w:t>
      </w:r>
      <w:r w:rsidRPr="00A4676B">
        <w:rPr>
          <w:rStyle w:val="FootnoteReference"/>
          <w:szCs w:val="24"/>
        </w:rPr>
        <w:footnoteReference w:id="1"/>
      </w:r>
      <w:r w:rsidRPr="00A4676B">
        <w:t>, în special articolul 15 și articolul 15a alineatul (5),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Regulamentul (CE) nr. 111/2005 al Consiliului din 22 decembrie 2004 de stabilire a normelor de monitorizare a comerțului cu precursori de droguri între Uniune și țările terțe</w:t>
      </w:r>
      <w:r w:rsidRPr="00A4676B">
        <w:rPr>
          <w:rStyle w:val="FootnoteReference"/>
        </w:rPr>
        <w:footnoteReference w:id="2"/>
      </w:r>
      <w:r w:rsidRPr="00A4676B">
        <w:t>, în special articolul 30a și articolul 30b alineatul (5),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articolul 111 alineatul (6) din Regulamentul său de procedură,</w:t>
      </w:r>
    </w:p>
    <w:p w:rsidR="001056F8" w:rsidRPr="00A4676B" w:rsidRDefault="001056F8" w:rsidP="001056F8">
      <w:pPr>
        <w:pStyle w:val="NormalHanging12a"/>
      </w:pPr>
      <w:r w:rsidRPr="00A4676B">
        <w:t>–</w:t>
      </w:r>
      <w:r w:rsidRPr="00A4676B">
        <w:tab/>
        <w:t>având în vedere recomandarea de decizie a Comisiei pentru libertăți civile, justiție și afaceri interne,</w:t>
      </w:r>
    </w:p>
    <w:p w:rsidR="00807182" w:rsidRPr="00A4676B" w:rsidRDefault="00807182" w:rsidP="001056F8">
      <w:pPr>
        <w:pStyle w:val="NormalHanging12a"/>
      </w:pPr>
      <w:r w:rsidRPr="00A4676B">
        <w:t>–</w:t>
      </w:r>
      <w:r w:rsidRPr="00A4676B">
        <w:tab/>
        <w:t xml:space="preserve">având în vedere că nu a fost formulată nicio obiecție în termenul prevăzut la articolul </w:t>
      </w:r>
      <w:r w:rsidRPr="00A4676B">
        <w:lastRenderedPageBreak/>
        <w:t>111 alineatul (6) liniuța a treia și a patra din Regulamentul său de procedură, termen care a expirat la 23 aprilie 2024,</w:t>
      </w:r>
    </w:p>
    <w:p w:rsidR="001056F8" w:rsidRPr="00A4676B" w:rsidRDefault="001056F8" w:rsidP="001056F8">
      <w:pPr>
        <w:pStyle w:val="NormalHanging12a"/>
      </w:pPr>
      <w:r w:rsidRPr="00A4676B">
        <w:t>A.</w:t>
      </w:r>
      <w:r w:rsidRPr="00A4676B">
        <w:tab/>
        <w:t>întrucât cadrul legislativ al UE privind măsurile de control al accesului la substanțele utilizate la fabricarea drogurilor ilicite trebuie actualizat în permanență pentru a contracara proliferarea așa-numiților „precursori de sinteză”, care sunt substanțe chimice înrudite cu precursorii de droguri tradiționali, create pentru a eluda normele existente;</w:t>
      </w:r>
    </w:p>
    <w:p w:rsidR="001056F8" w:rsidRPr="00A4676B" w:rsidRDefault="001056F8" w:rsidP="001056F8">
      <w:pPr>
        <w:pStyle w:val="ManualConsidrant"/>
        <w:ind w:left="567" w:hanging="567"/>
        <w:jc w:val="left"/>
        <w:rPr>
          <w:noProof/>
        </w:rPr>
      </w:pPr>
      <w:r w:rsidRPr="00A4676B">
        <w:t>B.</w:t>
      </w:r>
      <w:r w:rsidRPr="00A4676B">
        <w:tab/>
        <w:t xml:space="preserve">întrucât sarea de sodiu a </w:t>
      </w:r>
      <w:proofErr w:type="spellStart"/>
      <w:r w:rsidRPr="00A4676B">
        <w:t>malonatului</w:t>
      </w:r>
      <w:proofErr w:type="spellEnd"/>
      <w:r w:rsidRPr="00A4676B">
        <w:t xml:space="preserve"> de </w:t>
      </w:r>
      <w:proofErr w:type="spellStart"/>
      <w:r w:rsidRPr="00A4676B">
        <w:t>izopropiliden</w:t>
      </w:r>
      <w:proofErr w:type="spellEnd"/>
      <w:r w:rsidRPr="00A4676B">
        <w:t xml:space="preserve"> [2-(3,4-metilendioxifenil) acetil] (IMDPAM) a fost identificată ca precursor de droguri recent dezvoltat care se folosește în producția de MDMA (3,4-metilendioximetamfetamină), cunoscută sub denumirea de „</w:t>
      </w:r>
      <w:proofErr w:type="spellStart"/>
      <w:r w:rsidRPr="00A4676B">
        <w:t>ecstasy</w:t>
      </w:r>
      <w:proofErr w:type="spellEnd"/>
      <w:r w:rsidRPr="00A4676B">
        <w:t>”;</w:t>
      </w:r>
    </w:p>
    <w:p w:rsidR="001056F8" w:rsidRPr="00A4676B" w:rsidRDefault="001056F8" w:rsidP="001056F8">
      <w:pPr>
        <w:pStyle w:val="ManualConsidrant"/>
        <w:ind w:left="567" w:hanging="567"/>
        <w:jc w:val="left"/>
        <w:rPr>
          <w:noProof/>
        </w:rPr>
      </w:pPr>
      <w:r w:rsidRPr="00A4676B">
        <w:t>C.</w:t>
      </w:r>
      <w:r w:rsidRPr="00A4676B">
        <w:tab/>
        <w:t xml:space="preserve">întrucât șapte esteri ai acidului 2-metil-3-feniloxiran-2-carboxilic (acid </w:t>
      </w:r>
      <w:proofErr w:type="spellStart"/>
      <w:r w:rsidRPr="00A4676B">
        <w:t>glicidic</w:t>
      </w:r>
      <w:proofErr w:type="spellEnd"/>
      <w:r w:rsidRPr="00A4676B">
        <w:t xml:space="preserve"> BMK) și șase esteri ai acidului 3-(1,3-benzodioxol-5-il)-2-metil-oxiran-2-carboxilic (acid </w:t>
      </w:r>
      <w:proofErr w:type="spellStart"/>
      <w:r w:rsidRPr="00A4676B">
        <w:t>glicidic</w:t>
      </w:r>
      <w:proofErr w:type="spellEnd"/>
      <w:r w:rsidRPr="00A4676B">
        <w:t xml:space="preserve"> PMK) au fost identificați ca posibili înlocuitori ai acidului </w:t>
      </w:r>
      <w:proofErr w:type="spellStart"/>
      <w:r w:rsidRPr="00A4676B">
        <w:t>glicidic</w:t>
      </w:r>
      <w:proofErr w:type="spellEnd"/>
      <w:r w:rsidRPr="00A4676B">
        <w:t xml:space="preserve"> BMK și ai acidului </w:t>
      </w:r>
      <w:proofErr w:type="spellStart"/>
      <w:r w:rsidRPr="00A4676B">
        <w:t>glicidic</w:t>
      </w:r>
      <w:proofErr w:type="spellEnd"/>
      <w:r w:rsidRPr="00A4676B">
        <w:t xml:space="preserve"> PMK, care sunt precursori controlați în temeiul legislației UE, în producția de droguri ilicite precum MDMA, </w:t>
      </w:r>
      <w:proofErr w:type="spellStart"/>
      <w:r w:rsidRPr="00A4676B">
        <w:t>metamfetamină</w:t>
      </w:r>
      <w:proofErr w:type="spellEnd"/>
      <w:r w:rsidRPr="00A4676B">
        <w:t xml:space="preserve"> și amfetamină;</w:t>
      </w:r>
    </w:p>
    <w:p w:rsidR="001056F8" w:rsidRPr="00A4676B" w:rsidRDefault="001056F8" w:rsidP="001056F8">
      <w:pPr>
        <w:pStyle w:val="ManualConsidrant"/>
        <w:ind w:left="567" w:hanging="567"/>
        <w:jc w:val="left"/>
        <w:rPr>
          <w:noProof/>
        </w:rPr>
      </w:pPr>
      <w:r w:rsidRPr="00A4676B">
        <w:t>D.</w:t>
      </w:r>
      <w:r w:rsidRPr="00A4676B">
        <w:tab/>
        <w:t xml:space="preserve">întrucât este necesar să se modifice lista substanțelor clasificate incluse în anexa I la Regulamentul (CE) nr. 273/2004 și în anexa la Regulamentul (CE) nr. 111/2005 pentru a supune IMDPAM și esterii identificați ai acidului </w:t>
      </w:r>
      <w:proofErr w:type="spellStart"/>
      <w:r w:rsidRPr="00A4676B">
        <w:t>glicidic</w:t>
      </w:r>
      <w:proofErr w:type="spellEnd"/>
      <w:r w:rsidRPr="00A4676B">
        <w:t xml:space="preserve"> BMK și ai acidului </w:t>
      </w:r>
      <w:proofErr w:type="spellStart"/>
      <w:r w:rsidRPr="00A4676B">
        <w:t>glicidic</w:t>
      </w:r>
      <w:proofErr w:type="spellEnd"/>
      <w:r w:rsidRPr="00A4676B">
        <w:t xml:space="preserve"> PMK măsurilor armonizate de control și monitorizare prevăzute de regulamentele respective;</w:t>
      </w:r>
    </w:p>
    <w:p w:rsidR="001056F8" w:rsidRPr="00A4676B" w:rsidRDefault="00184AE3" w:rsidP="001056F8">
      <w:pPr>
        <w:pStyle w:val="ManualConsidrant"/>
        <w:ind w:left="567" w:hanging="567"/>
        <w:jc w:val="left"/>
        <w:rPr>
          <w:noProof/>
        </w:rPr>
      </w:pPr>
      <w:r>
        <w:t>E.</w:t>
      </w:r>
      <w:r w:rsidR="001056F8" w:rsidRPr="00A4676B">
        <w:tab/>
        <w:t>întrucât măsurile de control al accesului la substanțele nou clasificate în temeiul Regulamentelor (CE) nr. 273/2004 și (CE) nr. 111/2005 ar trebui să intre în vigoare cât mai curând posibil pentru a preveni utilizarea acestor precursori de droguri pentru producerea și introducerea pe piață a drogurilor ilicite;</w:t>
      </w:r>
    </w:p>
    <w:p w:rsidR="001056F8" w:rsidRPr="00A4676B" w:rsidRDefault="001056F8" w:rsidP="001056F8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A4676B">
        <w:t>F.</w:t>
      </w:r>
      <w:r w:rsidRPr="00A4676B">
        <w:tab/>
        <w:t>întrucât, în foaia de parcurs a UE pentru combaterea traficului de droguri și a criminalității organizate (COM(2023)0641), Comisia Europeană s-a angajat să depună toate eforturile posibile, în cooperare cu Parlamentul și Consiliul, pentru a accelera procedura de adoptare a viitoarelor acte delegate care clasifică substanțe suplimentare în temeiul Regulamentelor (CE) nr</w:t>
      </w:r>
      <w:r w:rsidR="00B201C2">
        <w:t>. 273/2004 și (CE) nr. 111/2005,</w:t>
      </w:r>
      <w:bookmarkStart w:id="7" w:name="_GoBack"/>
      <w:bookmarkEnd w:id="7"/>
    </w:p>
    <w:p w:rsidR="001056F8" w:rsidRPr="00A4676B" w:rsidRDefault="001056F8" w:rsidP="001056F8">
      <w:pPr>
        <w:pStyle w:val="NormalHanging12a"/>
      </w:pPr>
      <w:r w:rsidRPr="00A4676B">
        <w:t>1.</w:t>
      </w:r>
      <w:r w:rsidRPr="00A4676B">
        <w:tab/>
        <w:t>declară că nu formulează obiecții la regulamentul delegat;</w:t>
      </w:r>
    </w:p>
    <w:p w:rsidR="001056F8" w:rsidRPr="00A4676B" w:rsidRDefault="001056F8" w:rsidP="001056F8">
      <w:pPr>
        <w:pStyle w:val="NormalHanging12a"/>
      </w:pPr>
      <w:r w:rsidRPr="00A4676B">
        <w:t>2.</w:t>
      </w:r>
      <w:r w:rsidRPr="00A4676B">
        <w:tab/>
        <w:t>încredințează Președintei sarcina de a transmite prezenta decizie Consiliului și Comisiei.</w:t>
      </w:r>
    </w:p>
    <w:sectPr w:rsidR="001056F8" w:rsidRPr="00A4676B" w:rsidSect="00F360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F5A" w:rsidRPr="00F360DA" w:rsidRDefault="00037F5A">
      <w:r w:rsidRPr="00F360DA">
        <w:separator/>
      </w:r>
    </w:p>
  </w:endnote>
  <w:endnote w:type="continuationSeparator" w:id="0">
    <w:p w:rsidR="00037F5A" w:rsidRPr="00F360DA" w:rsidRDefault="00037F5A">
      <w:r w:rsidRPr="00F360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0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0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0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F5A" w:rsidRPr="00F360DA" w:rsidRDefault="00037F5A">
      <w:r w:rsidRPr="00F360DA">
        <w:separator/>
      </w:r>
    </w:p>
  </w:footnote>
  <w:footnote w:type="continuationSeparator" w:id="0">
    <w:p w:rsidR="00037F5A" w:rsidRPr="00F360DA" w:rsidRDefault="00037F5A">
      <w:r w:rsidRPr="00F360DA">
        <w:continuationSeparator/>
      </w:r>
    </w:p>
  </w:footnote>
  <w:footnote w:id="1">
    <w:p w:rsidR="001056F8" w:rsidRPr="00F360DA" w:rsidRDefault="001056F8" w:rsidP="00F360DA">
      <w:pPr>
        <w:pStyle w:val="FootnoteText"/>
        <w:ind w:left="567" w:hanging="567"/>
        <w:rPr>
          <w:sz w:val="24"/>
          <w:lang w:val="ro-RO"/>
        </w:rPr>
      </w:pPr>
      <w:r w:rsidRPr="00F360DA">
        <w:rPr>
          <w:rStyle w:val="FootnoteReference"/>
          <w:sz w:val="24"/>
          <w:lang w:val="ro-RO"/>
        </w:rPr>
        <w:footnoteRef/>
      </w:r>
      <w:r w:rsidR="00F360DA" w:rsidRPr="00F360DA">
        <w:rPr>
          <w:sz w:val="24"/>
          <w:lang w:val="ro-RO"/>
        </w:rPr>
        <w:t xml:space="preserve"> </w:t>
      </w:r>
      <w:r w:rsidR="00F360DA" w:rsidRPr="00F360DA">
        <w:rPr>
          <w:sz w:val="24"/>
          <w:lang w:val="ro-RO"/>
        </w:rPr>
        <w:tab/>
      </w:r>
      <w:r w:rsidRPr="00F360DA">
        <w:rPr>
          <w:sz w:val="24"/>
          <w:lang w:val="ro-RO"/>
        </w:rPr>
        <w:t>JO L 47, 18.2.2004, p.</w:t>
      </w:r>
      <w:r w:rsidR="00F848FC">
        <w:rPr>
          <w:sz w:val="24"/>
          <w:lang w:val="ro-RO"/>
        </w:rPr>
        <w:t xml:space="preserve"> </w:t>
      </w:r>
      <w:r w:rsidRPr="00F360DA">
        <w:rPr>
          <w:sz w:val="24"/>
          <w:lang w:val="ro-RO"/>
        </w:rPr>
        <w:t>1.</w:t>
      </w:r>
    </w:p>
  </w:footnote>
  <w:footnote w:id="2">
    <w:p w:rsidR="001056F8" w:rsidRPr="00F360DA" w:rsidRDefault="001056F8" w:rsidP="00F360DA">
      <w:pPr>
        <w:pStyle w:val="FootnoteText"/>
        <w:ind w:left="567" w:hanging="567"/>
        <w:rPr>
          <w:sz w:val="24"/>
          <w:lang w:val="ro-RO"/>
        </w:rPr>
      </w:pPr>
      <w:r w:rsidRPr="00F360DA">
        <w:rPr>
          <w:rStyle w:val="FootnoteReference"/>
          <w:sz w:val="24"/>
          <w:lang w:val="ro-RO"/>
        </w:rPr>
        <w:footnoteRef/>
      </w:r>
      <w:r w:rsidR="00F360DA" w:rsidRPr="00F360DA">
        <w:rPr>
          <w:sz w:val="24"/>
          <w:lang w:val="ro-RO"/>
        </w:rPr>
        <w:t xml:space="preserve"> </w:t>
      </w:r>
      <w:r w:rsidR="00F360DA" w:rsidRPr="00F360DA">
        <w:rPr>
          <w:sz w:val="24"/>
          <w:lang w:val="ro-RO"/>
        </w:rPr>
        <w:tab/>
      </w:r>
      <w:r w:rsidR="00184AE3">
        <w:rPr>
          <w:sz w:val="24"/>
          <w:lang w:val="ro-RO"/>
        </w:rPr>
        <w:t>JO L 22, 26.1.2005, p.</w:t>
      </w:r>
      <w:r w:rsidR="00F848FC">
        <w:rPr>
          <w:sz w:val="24"/>
          <w:lang w:val="ro-RO"/>
        </w:rPr>
        <w:t xml:space="preserve"> </w:t>
      </w:r>
      <w:r w:rsidRPr="00F360DA">
        <w:rPr>
          <w:sz w:val="24"/>
          <w:lang w:val="ro-RO"/>
        </w:rPr>
        <w:t>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0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0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0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RO"/>
    <w:docVar w:name="dvnumam" w:val="0"/>
    <w:docVar w:name="dvpe" w:val="760.991"/>
    <w:docVar w:name="dvtitre" w:val="Decizia Parlamentului European din 23 aprilie 2024 de a nu formula obiecții la Regulamentul delegat al Comisiei din 28 februarie 2024 de modificare a Regulamentului (CE) nr. 273/2004 al Parlamentului European și al Consiliului și a Regulamentului (CE) nr. 111/2005 al Consiliului în ceea ce privește includerea precursorului de droguri malonat de izopropiliden [2-(3,4-metilendioxifenil) acetil] (IMDPAM) și a altor substanțe în lista substanțelor clasificate(C(2024)01219 - 2024/2606(DEA))"/>
  </w:docVars>
  <w:rsids>
    <w:rsidRoot w:val="00037F5A"/>
    <w:rsid w:val="00002272"/>
    <w:rsid w:val="00037F5A"/>
    <w:rsid w:val="00064002"/>
    <w:rsid w:val="000677B9"/>
    <w:rsid w:val="000831BA"/>
    <w:rsid w:val="000A42CC"/>
    <w:rsid w:val="000E7DD9"/>
    <w:rsid w:val="0010095E"/>
    <w:rsid w:val="001056F8"/>
    <w:rsid w:val="00125B37"/>
    <w:rsid w:val="00180F67"/>
    <w:rsid w:val="00184AE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0BF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18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6B"/>
    <w:rsid w:val="00A4678D"/>
    <w:rsid w:val="00A778C7"/>
    <w:rsid w:val="00AB441E"/>
    <w:rsid w:val="00AB6293"/>
    <w:rsid w:val="00AE0928"/>
    <w:rsid w:val="00AF3B82"/>
    <w:rsid w:val="00B12E95"/>
    <w:rsid w:val="00B201C2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095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0DA"/>
    <w:rsid w:val="00F5134D"/>
    <w:rsid w:val="00F74202"/>
    <w:rsid w:val="00F848F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D797A"/>
  <w15:chartTrackingRefBased/>
  <w15:docId w15:val="{B8E55013-16B4-42D2-BA36-51E96A3E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56F8"/>
    <w:pPr>
      <w:spacing w:before="480" w:after="240"/>
    </w:pPr>
  </w:style>
  <w:style w:type="paragraph" w:customStyle="1" w:styleId="NormalHanging12a">
    <w:name w:val="NormalHanging12a"/>
    <w:basedOn w:val="Normal"/>
    <w:rsid w:val="001056F8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1056F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807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7182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46F8A-D20D-47F0-ABFE-7FB5FB668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PAUL Andrada</cp:lastModifiedBy>
  <cp:revision>2</cp:revision>
  <cp:lastPrinted>2004-11-19T15:42:00Z</cp:lastPrinted>
  <dcterms:created xsi:type="dcterms:W3CDTF">2024-06-21T09:09:00Z</dcterms:created>
  <dcterms:modified xsi:type="dcterms:W3CDTF">2024-06-21T09:09:00Z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