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0A5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A0A51" w:rsidRDefault="00021B38" w:rsidP="0010095E">
            <w:pPr>
              <w:pStyle w:val="EPName"/>
            </w:pPr>
            <w:bookmarkStart w:id="0" w:name="_GoBack"/>
            <w:bookmarkEnd w:id="0"/>
            <w:r w:rsidRPr="002A0A51">
              <w:t>Európsky parlament</w:t>
            </w:r>
          </w:p>
          <w:p w:rsidR="00751A4A" w:rsidRPr="002A0A5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0A5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A0A51" w:rsidRDefault="00187494" w:rsidP="0010095E">
            <w:pPr>
              <w:pStyle w:val="EPLogo"/>
            </w:pPr>
            <w:r w:rsidRPr="002A0A5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A0A51" w:rsidRDefault="00D058B8" w:rsidP="004C5D52">
      <w:pPr>
        <w:pStyle w:val="LineTop"/>
      </w:pPr>
    </w:p>
    <w:p w:rsidR="00680577" w:rsidRPr="002A0A51" w:rsidRDefault="00021B38" w:rsidP="00680577">
      <w:pPr>
        <w:pStyle w:val="EPBodyTA1"/>
      </w:pPr>
      <w:r w:rsidRPr="002A0A51">
        <w:t>PRIJATÉ TEXTY</w:t>
      </w:r>
    </w:p>
    <w:p w:rsidR="00D058B8" w:rsidRPr="002A0A51" w:rsidRDefault="00D058B8" w:rsidP="00D058B8">
      <w:pPr>
        <w:pStyle w:val="LineBottom"/>
      </w:pPr>
    </w:p>
    <w:p w:rsidR="00021B38" w:rsidRPr="002A0A51" w:rsidRDefault="00021B38" w:rsidP="00021B38">
      <w:pPr>
        <w:pStyle w:val="ATHeading1"/>
      </w:pPr>
      <w:bookmarkStart w:id="1" w:name="TANumber"/>
      <w:r w:rsidRPr="002A0A51">
        <w:t>P9_TA(2024)0</w:t>
      </w:r>
      <w:r w:rsidR="00AF430E" w:rsidRPr="002A0A51">
        <w:t>314</w:t>
      </w:r>
      <w:bookmarkEnd w:id="1"/>
    </w:p>
    <w:p w:rsidR="00021B38" w:rsidRPr="002A0A51" w:rsidRDefault="00AF430E" w:rsidP="00021B38">
      <w:pPr>
        <w:pStyle w:val="ATHeading2"/>
      </w:pPr>
      <w:bookmarkStart w:id="2" w:name="title"/>
      <w:r w:rsidRPr="002A0A51">
        <w:t xml:space="preserve">Nevznesenie námietky voči delegovanému aktu: zaradenie drogového prekurzora </w:t>
      </w:r>
      <w:proofErr w:type="spellStart"/>
      <w:r w:rsidRPr="002A0A51">
        <w:t>izopropylidén</w:t>
      </w:r>
      <w:proofErr w:type="spellEnd"/>
      <w:r w:rsidRPr="002A0A51">
        <w:t xml:space="preserve"> [2-(3,4-metyléndioxyfenyl)</w:t>
      </w:r>
      <w:proofErr w:type="spellStart"/>
      <w:r w:rsidRPr="002A0A51">
        <w:t>acetyl</w:t>
      </w:r>
      <w:proofErr w:type="spellEnd"/>
      <w:r w:rsidRPr="002A0A51">
        <w:t>]</w:t>
      </w:r>
      <w:proofErr w:type="spellStart"/>
      <w:r w:rsidRPr="002A0A51">
        <w:t>malonát</w:t>
      </w:r>
      <w:proofErr w:type="spellEnd"/>
      <w:r w:rsidRPr="002A0A51">
        <w:t xml:space="preserve"> (IMDPAM) a ďalších látok do zoznamu určených látok</w:t>
      </w:r>
      <w:bookmarkEnd w:id="2"/>
    </w:p>
    <w:p w:rsidR="00021B38" w:rsidRPr="002A0A51" w:rsidRDefault="00021B38" w:rsidP="00021B38">
      <w:pPr>
        <w:rPr>
          <w:i/>
          <w:vanish/>
        </w:rPr>
      </w:pPr>
      <w:r w:rsidRPr="002A0A51">
        <w:rPr>
          <w:i/>
        </w:rPr>
        <w:fldChar w:fldCharType="begin"/>
      </w:r>
      <w:r w:rsidRPr="002A0A51">
        <w:rPr>
          <w:i/>
        </w:rPr>
        <w:instrText xml:space="preserve"> TC"(</w:instrText>
      </w:r>
      <w:bookmarkStart w:id="3" w:name="DocNumber"/>
      <w:r w:rsidRPr="002A0A51">
        <w:rPr>
          <w:i/>
        </w:rPr>
        <w:instrText>B9-0213/2024</w:instrText>
      </w:r>
      <w:bookmarkEnd w:id="3"/>
      <w:r w:rsidRPr="002A0A51">
        <w:rPr>
          <w:i/>
        </w:rPr>
        <w:instrText xml:space="preserve">)"\l3 \n&gt; \* MERGEFORMAT </w:instrText>
      </w:r>
      <w:r w:rsidRPr="002A0A51">
        <w:rPr>
          <w:i/>
        </w:rPr>
        <w:fldChar w:fldCharType="end"/>
      </w:r>
    </w:p>
    <w:p w:rsidR="00021B38" w:rsidRPr="002A0A51" w:rsidRDefault="00021B38" w:rsidP="00021B38">
      <w:pPr>
        <w:rPr>
          <w:vanish/>
        </w:rPr>
      </w:pPr>
      <w:bookmarkStart w:id="4" w:name="PE"/>
      <w:r w:rsidRPr="002A0A51">
        <w:rPr>
          <w:vanish/>
        </w:rPr>
        <w:t>PE760.991</w:t>
      </w:r>
      <w:bookmarkEnd w:id="4"/>
    </w:p>
    <w:p w:rsidR="00021B38" w:rsidRPr="002A0A51" w:rsidRDefault="00021B38" w:rsidP="00021B38">
      <w:pPr>
        <w:pStyle w:val="ATHeading3"/>
      </w:pPr>
      <w:bookmarkStart w:id="5" w:name="Sujet"/>
      <w:r w:rsidRPr="002A0A51">
        <w:t xml:space="preserve">Rozhodnutie Európskeho parlamentu nevzniesť námietku voči delegovanému nariadeniu Komisie z 28. februára 2024, ktorým sa mení nariadenie Európskeho parlamentu a Rady (ES) č. 273/2004 a nariadenie Rady (ES) č. 111/2005, pokiaľ ide o zaradenie drogového prekurzora </w:t>
      </w:r>
      <w:proofErr w:type="spellStart"/>
      <w:r w:rsidRPr="002A0A51">
        <w:t>izopropylidén</w:t>
      </w:r>
      <w:proofErr w:type="spellEnd"/>
      <w:r w:rsidRPr="002A0A51">
        <w:t xml:space="preserve"> [2-(3,4-metyléndioxyfenyl)</w:t>
      </w:r>
      <w:proofErr w:type="spellStart"/>
      <w:r w:rsidRPr="002A0A51">
        <w:t>acetyl</w:t>
      </w:r>
      <w:proofErr w:type="spellEnd"/>
      <w:r w:rsidRPr="002A0A51">
        <w:t>]</w:t>
      </w:r>
      <w:proofErr w:type="spellStart"/>
      <w:r w:rsidRPr="002A0A51">
        <w:t>malonát</w:t>
      </w:r>
      <w:proofErr w:type="spellEnd"/>
      <w:r w:rsidRPr="002A0A51">
        <w:t xml:space="preserve"> (IMDPAM) a ďalších látok do zoznamu určených látok</w:t>
      </w:r>
      <w:bookmarkEnd w:id="5"/>
      <w:r w:rsidRPr="002A0A51">
        <w:t xml:space="preserve"> </w:t>
      </w:r>
      <w:bookmarkStart w:id="6" w:name="References"/>
      <w:r w:rsidRPr="002A0A51">
        <w:t xml:space="preserve">(C(2024)01219 </w:t>
      </w:r>
      <w:r w:rsidR="00756FFF" w:rsidRPr="002A0A51">
        <w:t>–</w:t>
      </w:r>
      <w:r w:rsidRPr="002A0A51">
        <w:t xml:space="preserve"> 2024/2606(DEA))</w:t>
      </w:r>
      <w:bookmarkEnd w:id="6"/>
    </w:p>
    <w:p w:rsidR="00021B38" w:rsidRPr="002A0A51" w:rsidRDefault="00021B38" w:rsidP="00021B38"/>
    <w:p w:rsidR="00D94CB6" w:rsidRPr="002A0A51" w:rsidRDefault="00D94CB6" w:rsidP="002A0A51">
      <w:pPr>
        <w:pStyle w:val="NormalBold"/>
        <w:spacing w:after="240"/>
      </w:pPr>
      <w:bookmarkStart w:id="7" w:name="TextBodyBegin"/>
      <w:bookmarkEnd w:id="7"/>
      <w:r w:rsidRPr="002A0A51">
        <w:rPr>
          <w:b w:val="0"/>
          <w:i/>
        </w:rPr>
        <w:t>Európsky parlament</w:t>
      </w:r>
      <w:r w:rsidRPr="002A0A51">
        <w:rPr>
          <w:b w:val="0"/>
        </w:rPr>
        <w:t>,</w:t>
      </w:r>
    </w:p>
    <w:p w:rsidR="00D94CB6" w:rsidRPr="002A0A51" w:rsidRDefault="00D94CB6" w:rsidP="00D94CB6">
      <w:pPr>
        <w:pStyle w:val="NormalHanging12a"/>
      </w:pPr>
      <w:r w:rsidRPr="002A0A51">
        <w:t>–</w:t>
      </w:r>
      <w:r w:rsidRPr="002A0A51">
        <w:tab/>
        <w:t xml:space="preserve">so zreteľom na delegované nariadenie Komisie </w:t>
      </w:r>
      <w:r w:rsidR="00756FFF" w:rsidRPr="002A0A51">
        <w:t>(</w:t>
      </w:r>
      <w:r w:rsidRPr="002A0A51">
        <w:t>C(2024)01219</w:t>
      </w:r>
      <w:r w:rsidR="00756FFF" w:rsidRPr="002A0A51">
        <w:t>)</w:t>
      </w:r>
      <w:r w:rsidRPr="002A0A51">
        <w:t>,</w:t>
      </w:r>
    </w:p>
    <w:p w:rsidR="00D94CB6" w:rsidRPr="002A0A51" w:rsidRDefault="00D94CB6" w:rsidP="00D94CB6">
      <w:pPr>
        <w:pStyle w:val="NormalHanging12a"/>
        <w:rPr>
          <w:spacing w:val="-2"/>
          <w:szCs w:val="24"/>
        </w:rPr>
      </w:pPr>
      <w:r w:rsidRPr="002A0A51">
        <w:t>–</w:t>
      </w:r>
      <w:r w:rsidRPr="002A0A51">
        <w:tab/>
        <w:t>so zreteľom na list Komisie z 13. marca 2024, ktorým ho žiada, aby oznámil, že nevznesie námietku voči delegovanému nariadeniu,</w:t>
      </w:r>
    </w:p>
    <w:p w:rsidR="00D94CB6" w:rsidRPr="002A0A51" w:rsidRDefault="00D94CB6" w:rsidP="00D94CB6">
      <w:pPr>
        <w:pStyle w:val="NormalHanging12a"/>
      </w:pPr>
      <w:r w:rsidRPr="002A0A51">
        <w:t>–</w:t>
      </w:r>
      <w:r w:rsidRPr="002A0A51">
        <w:tab/>
        <w:t>so zreteľom na list Výboru pre občianske slobody, spravodlivosť a vnútorné veci predsedovi Konferencie predsedov výborov,</w:t>
      </w:r>
    </w:p>
    <w:p w:rsidR="00D94CB6" w:rsidRPr="002A0A51" w:rsidRDefault="00D94CB6" w:rsidP="00D94CB6">
      <w:pPr>
        <w:pStyle w:val="NormalHanging12a"/>
      </w:pPr>
      <w:r w:rsidRPr="002A0A51">
        <w:t>–</w:t>
      </w:r>
      <w:r w:rsidRPr="002A0A51">
        <w:tab/>
        <w:t>so zreteľom na článok 290 Zmluvy o fungovaní Európskej únie,</w:t>
      </w:r>
    </w:p>
    <w:p w:rsidR="00D94CB6" w:rsidRPr="002A0A51" w:rsidRDefault="00D94CB6" w:rsidP="00D94CB6">
      <w:pPr>
        <w:pStyle w:val="NormalHanging12a"/>
      </w:pPr>
      <w:r w:rsidRPr="002A0A51">
        <w:t>–</w:t>
      </w:r>
      <w:r w:rsidRPr="002A0A51">
        <w:tab/>
        <w:t>so zreteľom na nariadenie Európskeho parlamentu a Rady (ES) č. 273/2004 z 11. februára 2004</w:t>
      </w:r>
      <w:r w:rsidRPr="002A0A51">
        <w:rPr>
          <w:rStyle w:val="FootnoteReference"/>
          <w:szCs w:val="24"/>
        </w:rPr>
        <w:footnoteReference w:id="1"/>
      </w:r>
      <w:r w:rsidRPr="002A0A51">
        <w:t xml:space="preserve"> o prekurzoroch drog, a najmä na jeho článok 15 a 15a ods. 5,</w:t>
      </w:r>
    </w:p>
    <w:p w:rsidR="00D94CB6" w:rsidRPr="002A0A51" w:rsidRDefault="00D94CB6" w:rsidP="00D94CB6">
      <w:pPr>
        <w:pStyle w:val="NormalHanging12a"/>
      </w:pPr>
      <w:r w:rsidRPr="002A0A51">
        <w:t>–</w:t>
      </w:r>
      <w:r w:rsidRPr="002A0A51">
        <w:tab/>
        <w:t>so zreteľom na nariadenie Rady (ES) č. 111/2005 z 22. decembra 2004</w:t>
      </w:r>
      <w:r w:rsidRPr="002A0A51">
        <w:rPr>
          <w:rStyle w:val="FootnoteReference"/>
        </w:rPr>
        <w:footnoteReference w:id="2"/>
      </w:r>
      <w:r w:rsidRPr="002A0A51">
        <w:t>, ktorým sa stanovujú pravidlá sledovania obchodu s drogovými prekurzormi medzi Úniou a tretími krajinami, a najmä na jeho článok 30a a 30b ods. 5,</w:t>
      </w:r>
    </w:p>
    <w:p w:rsidR="00D94CB6" w:rsidRPr="002A0A51" w:rsidRDefault="00D94CB6" w:rsidP="00D94CB6">
      <w:pPr>
        <w:pStyle w:val="NormalHanging12a"/>
      </w:pPr>
      <w:r w:rsidRPr="002A0A51">
        <w:t>–</w:t>
      </w:r>
      <w:r w:rsidRPr="002A0A51">
        <w:tab/>
        <w:t>so zreteľom na článok 111 ods. 6 rokovacieho poriadku,</w:t>
      </w:r>
    </w:p>
    <w:p w:rsidR="00D94CB6" w:rsidRPr="002A0A51" w:rsidRDefault="00D94CB6" w:rsidP="00D94CB6">
      <w:pPr>
        <w:pStyle w:val="NormalHanging12a"/>
      </w:pPr>
      <w:r w:rsidRPr="002A0A51">
        <w:t>–</w:t>
      </w:r>
      <w:r w:rsidRPr="002A0A51">
        <w:tab/>
        <w:t xml:space="preserve">so zreteľom na návrh uznesenia Výboru pre občianske slobody, spravodlivosť </w:t>
      </w:r>
      <w:r w:rsidRPr="002A0A51">
        <w:lastRenderedPageBreak/>
        <w:t>a vnútorné veci,</w:t>
      </w:r>
    </w:p>
    <w:p w:rsidR="00413D11" w:rsidRPr="002A0A51" w:rsidRDefault="00413D11" w:rsidP="00D94CB6">
      <w:pPr>
        <w:pStyle w:val="NormalHanging12a"/>
      </w:pPr>
      <w:r w:rsidRPr="002A0A51">
        <w:t>–</w:t>
      </w:r>
      <w:r w:rsidRPr="002A0A51">
        <w:tab/>
        <w:t>so zreteľom na skutočnosť, že neboli vznesené námietky v lehote stanovenej v článku 111 ods. 6 tretej a štvrtej zarážke rokovacieho poriadku, ktorá uplynula 23. apríla 2024,</w:t>
      </w:r>
    </w:p>
    <w:p w:rsidR="00D94CB6" w:rsidRPr="002A0A51" w:rsidRDefault="00D94CB6" w:rsidP="00D94CB6">
      <w:pPr>
        <w:pStyle w:val="NormalHanging12a"/>
      </w:pPr>
      <w:r w:rsidRPr="002A0A51">
        <w:t>A.</w:t>
      </w:r>
      <w:r w:rsidRPr="002A0A51">
        <w:tab/>
        <w:t>keďže legislatívny rámec EÚ týkajúci sa opatrení na kontrolu prístupu k látkam používaným pri výrobe nelegálnych drog sa musí neustále aktualizovať, aby sa zabránilo šíreniu tzv. dizajnových prekurzorov, ktoré sú blízkymi chemickými príbuznými tradičných drogových prekurzorov a sú vytvorené s cieľom obísť existujúce pravidlá;</w:t>
      </w:r>
    </w:p>
    <w:p w:rsidR="00D94CB6" w:rsidRPr="002A0A51" w:rsidRDefault="00D94CB6" w:rsidP="00D94CB6">
      <w:pPr>
        <w:pStyle w:val="ManualConsidrant"/>
        <w:ind w:left="567" w:hanging="567"/>
        <w:jc w:val="left"/>
        <w:rPr>
          <w:noProof/>
        </w:rPr>
      </w:pPr>
      <w:r w:rsidRPr="002A0A51">
        <w:t>B.</w:t>
      </w:r>
      <w:r w:rsidRPr="002A0A51">
        <w:tab/>
        <w:t xml:space="preserve">keďže sodná soľ </w:t>
      </w:r>
      <w:proofErr w:type="spellStart"/>
      <w:r w:rsidRPr="002A0A51">
        <w:t>izopropylidénu</w:t>
      </w:r>
      <w:proofErr w:type="spellEnd"/>
      <w:r w:rsidRPr="002A0A51">
        <w:t xml:space="preserve"> [2-(3,4-metyléndioxyfenyl)</w:t>
      </w:r>
      <w:proofErr w:type="spellStart"/>
      <w:r w:rsidRPr="002A0A51">
        <w:t>acetyl</w:t>
      </w:r>
      <w:proofErr w:type="spellEnd"/>
      <w:r w:rsidRPr="002A0A51">
        <w:t xml:space="preserve">] </w:t>
      </w:r>
      <w:proofErr w:type="spellStart"/>
      <w:r w:rsidRPr="002A0A51">
        <w:t>malonátu</w:t>
      </w:r>
      <w:proofErr w:type="spellEnd"/>
      <w:r w:rsidRPr="002A0A51">
        <w:t xml:space="preserve"> (IMDPAM) bola identifikovaná ako novo vyvinutý drogový prekurzor používaný pri výrobe MDMA (3,4-metyléndioxymetamfetamínu), bežne známeho ako „extáza“;</w:t>
      </w:r>
    </w:p>
    <w:p w:rsidR="00D94CB6" w:rsidRPr="002A0A51" w:rsidRDefault="00D94CB6" w:rsidP="00D94CB6">
      <w:pPr>
        <w:pStyle w:val="ManualConsidrant"/>
        <w:ind w:left="567" w:hanging="567"/>
        <w:jc w:val="left"/>
        <w:rPr>
          <w:noProof/>
        </w:rPr>
      </w:pPr>
      <w:r w:rsidRPr="002A0A51">
        <w:t>C.</w:t>
      </w:r>
      <w:r w:rsidRPr="002A0A51">
        <w:tab/>
        <w:t xml:space="preserve">keďže v súvislosti s výrobou nelegálnych drog, ako sú MDMA, </w:t>
      </w:r>
      <w:proofErr w:type="spellStart"/>
      <w:r w:rsidRPr="002A0A51">
        <w:t>metamfetamín</w:t>
      </w:r>
      <w:proofErr w:type="spellEnd"/>
      <w:r w:rsidRPr="002A0A51">
        <w:t xml:space="preserve"> a </w:t>
      </w:r>
      <w:proofErr w:type="spellStart"/>
      <w:r w:rsidRPr="002A0A51">
        <w:t>amfetamín</w:t>
      </w:r>
      <w:proofErr w:type="spellEnd"/>
      <w:r w:rsidRPr="002A0A51">
        <w:t xml:space="preserve">, bolo sedem esterov kyseliny 2-metyl-3-fenyloxirán-2-karboxylovej (BMK kyseliny </w:t>
      </w:r>
      <w:proofErr w:type="spellStart"/>
      <w:r w:rsidRPr="002A0A51">
        <w:t>glycidovej</w:t>
      </w:r>
      <w:proofErr w:type="spellEnd"/>
      <w:r w:rsidRPr="002A0A51">
        <w:t xml:space="preserve">) a šesť esterov kyseliny 3-(1,3-benzodioxol-5-yl)-2-metyl-oxirán-2-karboxylovej (PMK kyseliny </w:t>
      </w:r>
      <w:proofErr w:type="spellStart"/>
      <w:r w:rsidRPr="002A0A51">
        <w:t>glycidovej</w:t>
      </w:r>
      <w:proofErr w:type="spellEnd"/>
      <w:r w:rsidRPr="002A0A51">
        <w:t xml:space="preserve">) identifikovaných ako možné náhrady BMK kyseliny </w:t>
      </w:r>
      <w:proofErr w:type="spellStart"/>
      <w:r w:rsidRPr="002A0A51">
        <w:t>glycidovej</w:t>
      </w:r>
      <w:proofErr w:type="spellEnd"/>
      <w:r w:rsidRPr="002A0A51">
        <w:t xml:space="preserve"> a PMK kyseliny </w:t>
      </w:r>
      <w:proofErr w:type="spellStart"/>
      <w:r w:rsidRPr="002A0A51">
        <w:t>glycidovej</w:t>
      </w:r>
      <w:proofErr w:type="spellEnd"/>
      <w:r w:rsidRPr="002A0A51">
        <w:t xml:space="preserve">, ktoré sú podľa práva EÚ kontrolovanými </w:t>
      </w:r>
      <w:proofErr w:type="spellStart"/>
      <w:r w:rsidRPr="002A0A51">
        <w:t>perkurzormi</w:t>
      </w:r>
      <w:proofErr w:type="spellEnd"/>
      <w:r w:rsidRPr="002A0A51">
        <w:t>;</w:t>
      </w:r>
    </w:p>
    <w:p w:rsidR="00D94CB6" w:rsidRPr="002A0A51" w:rsidRDefault="00D94CB6" w:rsidP="00D94CB6">
      <w:pPr>
        <w:pStyle w:val="ManualConsidrant"/>
        <w:ind w:left="567" w:hanging="567"/>
        <w:jc w:val="left"/>
        <w:rPr>
          <w:noProof/>
        </w:rPr>
      </w:pPr>
      <w:r w:rsidRPr="002A0A51">
        <w:t>D.</w:t>
      </w:r>
      <w:r w:rsidRPr="002A0A51">
        <w:tab/>
        <w:t xml:space="preserve">keďže treba pozmeniť zoznam určených látok uvedených v prílohe I k nariadeniu (ES) č. 273/2004 a v prílohe k nariadeniu (ES) č. 111/2005 s cieľom podrobiť IMDPAM a identifikované estery BMK kyseliny </w:t>
      </w:r>
      <w:proofErr w:type="spellStart"/>
      <w:r w:rsidRPr="002A0A51">
        <w:t>glycidovej</w:t>
      </w:r>
      <w:proofErr w:type="spellEnd"/>
      <w:r w:rsidRPr="002A0A51">
        <w:t xml:space="preserve"> a PMK kyseliny </w:t>
      </w:r>
      <w:proofErr w:type="spellStart"/>
      <w:r w:rsidRPr="002A0A51">
        <w:t>glycidovej</w:t>
      </w:r>
      <w:proofErr w:type="spellEnd"/>
      <w:r w:rsidRPr="002A0A51">
        <w:t xml:space="preserve"> harmonizovaným kontrolným a monitorovacím opatreniam stanoveným v týchto nariadeniach;</w:t>
      </w:r>
    </w:p>
    <w:p w:rsidR="00D94CB6" w:rsidRPr="002A0A51" w:rsidRDefault="00D94CB6" w:rsidP="00D94CB6">
      <w:pPr>
        <w:pStyle w:val="ManualConsidrant"/>
        <w:ind w:left="567" w:hanging="567"/>
        <w:jc w:val="left"/>
        <w:rPr>
          <w:noProof/>
        </w:rPr>
      </w:pPr>
      <w:r w:rsidRPr="002A0A51">
        <w:t xml:space="preserve">E. </w:t>
      </w:r>
      <w:r w:rsidRPr="002A0A51">
        <w:tab/>
        <w:t>keďže opatrenia na kontrolu prístupu k novo určeným látkam podľa nariadení (ES) č. 273/2004 a (ES) č. 111/2005 by mali nadobudnúť účinnosť čo najskôr, aby sa zabránilo používaniu týchto drogových prekurzorov na výrobu a uvádzanie nelegálnych drog na trh;</w:t>
      </w:r>
    </w:p>
    <w:p w:rsidR="00D94CB6" w:rsidRPr="002A0A51" w:rsidRDefault="00D94CB6" w:rsidP="00D94CB6">
      <w:pPr>
        <w:pStyle w:val="ManualConsidrant"/>
        <w:spacing w:after="240"/>
        <w:ind w:left="567" w:hanging="567"/>
        <w:jc w:val="left"/>
        <w:rPr>
          <w:spacing w:val="-2"/>
          <w:szCs w:val="24"/>
        </w:rPr>
      </w:pPr>
      <w:r w:rsidRPr="002A0A51">
        <w:t>F.</w:t>
      </w:r>
      <w:r w:rsidRPr="002A0A51">
        <w:tab/>
        <w:t xml:space="preserve">keďže v pláne EÚ na boj proti obchodovaniu s drogami a organizovanej trestnej činnosti </w:t>
      </w:r>
      <w:r w:rsidR="00756FFF" w:rsidRPr="002A0A51">
        <w:t>(</w:t>
      </w:r>
      <w:r w:rsidRPr="002A0A51">
        <w:t>COM(2023)</w:t>
      </w:r>
      <w:r w:rsidR="00756FFF" w:rsidRPr="002A0A51">
        <w:t>0</w:t>
      </w:r>
      <w:r w:rsidRPr="002A0A51">
        <w:t>641</w:t>
      </w:r>
      <w:r w:rsidR="00756FFF" w:rsidRPr="002A0A51">
        <w:t>)</w:t>
      </w:r>
      <w:r w:rsidRPr="002A0A51">
        <w:t xml:space="preserve"> sa Európska komisia zaviazala, že v spolupráci s Parlamentom a Radou vynaloží všetko úsilie na urýchlenie postupu prijímania budúcich delegovaných aktov, ktorými sa zaraďujú ďalšie látky do zoznamu podľa nariadení (ES) č. 273/2004 a (ES) č. 111/2005;</w:t>
      </w:r>
    </w:p>
    <w:p w:rsidR="00D94CB6" w:rsidRPr="002A0A51" w:rsidRDefault="00D94CB6" w:rsidP="00D94CB6">
      <w:pPr>
        <w:pStyle w:val="NormalHanging12a"/>
      </w:pPr>
      <w:r w:rsidRPr="002A0A51">
        <w:t>1.</w:t>
      </w:r>
      <w:r w:rsidRPr="002A0A51">
        <w:tab/>
        <w:t>oznamuje, že nevznesie námietku voči delegovanému nariadeniu;</w:t>
      </w:r>
    </w:p>
    <w:p w:rsidR="00D94CB6" w:rsidRPr="002A0A51" w:rsidRDefault="00D94CB6" w:rsidP="00D94CB6">
      <w:pPr>
        <w:pStyle w:val="NormalHanging12a"/>
      </w:pPr>
      <w:r w:rsidRPr="002A0A51">
        <w:t>2.</w:t>
      </w:r>
      <w:r w:rsidRPr="002A0A51">
        <w:tab/>
        <w:t xml:space="preserve">poveruje svoju predsedníčku, aby postúpila toto rozhodnutie </w:t>
      </w:r>
      <w:r w:rsidR="00AE6C36" w:rsidRPr="002A0A51">
        <w:t>Rade a Komisii.</w:t>
      </w:r>
    </w:p>
    <w:sectPr w:rsidR="00D94CB6" w:rsidRPr="002A0A51" w:rsidSect="00AE6C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B38" w:rsidRPr="00AE6C36" w:rsidRDefault="00021B38">
      <w:r w:rsidRPr="00AE6C36">
        <w:separator/>
      </w:r>
    </w:p>
  </w:endnote>
  <w:endnote w:type="continuationSeparator" w:id="0">
    <w:p w:rsidR="00021B38" w:rsidRPr="00AE6C36" w:rsidRDefault="00021B38">
      <w:r w:rsidRPr="00AE6C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6C3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6C3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6C3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B38" w:rsidRPr="00AE6C36" w:rsidRDefault="00021B38">
      <w:r w:rsidRPr="00AE6C36">
        <w:separator/>
      </w:r>
    </w:p>
  </w:footnote>
  <w:footnote w:type="continuationSeparator" w:id="0">
    <w:p w:rsidR="00021B38" w:rsidRPr="00AE6C36" w:rsidRDefault="00021B38">
      <w:r w:rsidRPr="00AE6C36">
        <w:continuationSeparator/>
      </w:r>
    </w:p>
  </w:footnote>
  <w:footnote w:id="1">
    <w:p w:rsidR="00D94CB6" w:rsidRPr="00AE6C36" w:rsidRDefault="00D94CB6" w:rsidP="00AE6C36">
      <w:pPr>
        <w:pStyle w:val="FootnoteText"/>
        <w:ind w:left="567" w:hanging="567"/>
        <w:rPr>
          <w:sz w:val="24"/>
          <w:lang w:val="sk-SK"/>
        </w:rPr>
      </w:pPr>
      <w:r w:rsidRPr="00AE6C36">
        <w:rPr>
          <w:rStyle w:val="FootnoteReference"/>
          <w:sz w:val="24"/>
          <w:lang w:val="sk-SK"/>
        </w:rPr>
        <w:footnoteRef/>
      </w:r>
      <w:r w:rsidR="00AE6C36" w:rsidRPr="00AE6C36">
        <w:rPr>
          <w:sz w:val="24"/>
          <w:lang w:val="sk-SK"/>
        </w:rPr>
        <w:t xml:space="preserve"> </w:t>
      </w:r>
      <w:r w:rsidR="00AE6C36" w:rsidRPr="00AE6C36">
        <w:rPr>
          <w:sz w:val="24"/>
          <w:lang w:val="sk-SK"/>
        </w:rPr>
        <w:tab/>
      </w:r>
      <w:r w:rsidRPr="00AE6C36">
        <w:rPr>
          <w:sz w:val="24"/>
          <w:lang w:val="sk-SK"/>
        </w:rPr>
        <w:t>Ú. v. EÚ L 47, 18.2.2004, s. 1.</w:t>
      </w:r>
    </w:p>
  </w:footnote>
  <w:footnote w:id="2">
    <w:p w:rsidR="00D94CB6" w:rsidRPr="00AE6C36" w:rsidRDefault="00D94CB6" w:rsidP="00AE6C36">
      <w:pPr>
        <w:pStyle w:val="FootnoteText"/>
        <w:ind w:left="567" w:hanging="567"/>
        <w:rPr>
          <w:sz w:val="24"/>
          <w:lang w:val="sk-SK"/>
        </w:rPr>
      </w:pPr>
      <w:r w:rsidRPr="00AE6C36">
        <w:rPr>
          <w:rStyle w:val="FootnoteReference"/>
          <w:sz w:val="24"/>
          <w:lang w:val="sk-SK"/>
        </w:rPr>
        <w:footnoteRef/>
      </w:r>
      <w:r w:rsidR="00AE6C36" w:rsidRPr="00AE6C36">
        <w:rPr>
          <w:sz w:val="24"/>
          <w:lang w:val="sk-SK"/>
        </w:rPr>
        <w:t xml:space="preserve"> </w:t>
      </w:r>
      <w:r w:rsidR="00AE6C36" w:rsidRPr="00AE6C36">
        <w:rPr>
          <w:sz w:val="24"/>
          <w:lang w:val="sk-SK"/>
        </w:rPr>
        <w:tab/>
      </w:r>
      <w:r w:rsidRPr="00AE6C36">
        <w:rPr>
          <w:sz w:val="24"/>
          <w:lang w:val="sk-SK"/>
        </w:rPr>
        <w:t>Ú. v. EÚ L 22, 26.1.2005,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6C3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6C3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6C3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13/2024"/>
    <w:docVar w:name="dvlangue" w:val="SK"/>
    <w:docVar w:name="dvnumam" w:val="0"/>
    <w:docVar w:name="dvpe" w:val="760.991"/>
    <w:docVar w:name="dvtitre" w:val="Rozhodnutie Európskeho parlamentu z xx. apríla 2024 nevzniesť námietku voči delegovanému nariadeniu Komisie z 28. februára 2024, ktorým sa mení nariadenie Európskeho parlamentu a Rady (ES) č. 273/2004 a nariadenie Rady (ES) č. 111/2005, pokiaľ ide o zaradenie drogového prekurzora izopropylidén [2-(3,4-metyléndioxyfenyl)acetyl]malonát (IMDPAM) a ďalších látok do zoznamu určených látok(C(2024)01219 - 2024/2606(DEA))"/>
  </w:docVars>
  <w:rsids>
    <w:rsidRoot w:val="00021B38"/>
    <w:rsid w:val="00002272"/>
    <w:rsid w:val="00021B3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0A51"/>
    <w:rsid w:val="002B18FE"/>
    <w:rsid w:val="002B5493"/>
    <w:rsid w:val="00343214"/>
    <w:rsid w:val="00354088"/>
    <w:rsid w:val="00361C00"/>
    <w:rsid w:val="00363014"/>
    <w:rsid w:val="00395FA1"/>
    <w:rsid w:val="003E15D4"/>
    <w:rsid w:val="00411CCE"/>
    <w:rsid w:val="00413D11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6FFF"/>
    <w:rsid w:val="00762C74"/>
    <w:rsid w:val="00786EC0"/>
    <w:rsid w:val="007D1690"/>
    <w:rsid w:val="007E22AD"/>
    <w:rsid w:val="00817416"/>
    <w:rsid w:val="00842779"/>
    <w:rsid w:val="0086439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6C36"/>
    <w:rsid w:val="00AF3B82"/>
    <w:rsid w:val="00AF430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3007"/>
    <w:rsid w:val="00D56C11"/>
    <w:rsid w:val="00D834A0"/>
    <w:rsid w:val="00D872DF"/>
    <w:rsid w:val="00D91E21"/>
    <w:rsid w:val="00D94CB6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75332F-AB61-493D-97D9-4CD798CA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94CB6"/>
    <w:pPr>
      <w:spacing w:before="480" w:after="240"/>
    </w:pPr>
  </w:style>
  <w:style w:type="paragraph" w:customStyle="1" w:styleId="NormalBold">
    <w:name w:val="NormalBold"/>
    <w:basedOn w:val="Normal"/>
    <w:rsid w:val="00D94CB6"/>
    <w:rPr>
      <w:b/>
    </w:rPr>
  </w:style>
  <w:style w:type="paragraph" w:customStyle="1" w:styleId="NormalHanging12a">
    <w:name w:val="NormalHanging12a"/>
    <w:basedOn w:val="Normal"/>
    <w:rsid w:val="00D94CB6"/>
    <w:pPr>
      <w:spacing w:after="240"/>
      <w:ind w:left="567" w:hanging="567"/>
    </w:pPr>
  </w:style>
  <w:style w:type="paragraph" w:customStyle="1" w:styleId="ManualConsidrant">
    <w:name w:val="Manual Considérant"/>
    <w:basedOn w:val="Normal"/>
    <w:rsid w:val="00D94CB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2C29C-AAE6-4609-AB34-538B4178C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3349</Characters>
  <Application>Microsoft Office Word</Application>
  <DocSecurity>0</DocSecurity>
  <Lines>128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2024-04-24T09:48:00Z</dcterms:created>
  <dcterms:modified xsi:type="dcterms:W3CDTF">2024-04-24T09:48:00Z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B9-0213/2024</vt:lpwstr>
  </property>
  <property fmtid="{D5CDD505-2E9C-101B-9397-08002B2CF9AE}" pid="4" name="&lt;Type&gt;">
    <vt:lpwstr>RR</vt:lpwstr>
  </property>
</Properties>
</file>