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48AF" w:rsidTr="0010095E">
        <w:trPr>
          <w:trHeight w:hRule="exact" w:val="1418"/>
        </w:trPr>
        <w:tc>
          <w:tcPr>
            <w:tcW w:w="6804" w:type="dxa"/>
            <w:shd w:val="clear" w:color="auto" w:fill="auto"/>
            <w:vAlign w:val="center"/>
          </w:tcPr>
          <w:p w:rsidR="00751A4A" w:rsidRPr="00EB48AF" w:rsidRDefault="001652F7" w:rsidP="0010095E">
            <w:pPr>
              <w:pStyle w:val="EPName"/>
            </w:pPr>
            <w:r w:rsidRPr="00EB48AF">
              <w:t>Evropski parlament</w:t>
            </w:r>
          </w:p>
          <w:p w:rsidR="00751A4A" w:rsidRPr="00EB48AF" w:rsidRDefault="00817416" w:rsidP="00756632">
            <w:pPr>
              <w:pStyle w:val="EPTerm"/>
              <w:rPr>
                <w:rStyle w:val="HideTWBExt"/>
                <w:noProof w:val="0"/>
                <w:vanish w:val="0"/>
                <w:color w:val="auto"/>
              </w:rPr>
            </w:pPr>
            <w:r w:rsidRPr="00EB48AF">
              <w:t>2019-2024</w:t>
            </w:r>
          </w:p>
        </w:tc>
        <w:tc>
          <w:tcPr>
            <w:tcW w:w="2268" w:type="dxa"/>
            <w:shd w:val="clear" w:color="auto" w:fill="auto"/>
          </w:tcPr>
          <w:p w:rsidR="00751A4A" w:rsidRPr="00EB48AF" w:rsidRDefault="00187494" w:rsidP="0010095E">
            <w:pPr>
              <w:pStyle w:val="EPLogo"/>
            </w:pPr>
            <w:r w:rsidRPr="00EB48A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48AF" w:rsidRDefault="00D058B8" w:rsidP="004C5D52">
      <w:pPr>
        <w:pStyle w:val="LineTop"/>
      </w:pPr>
    </w:p>
    <w:p w:rsidR="00680577" w:rsidRPr="00EB48AF" w:rsidRDefault="001652F7" w:rsidP="00680577">
      <w:pPr>
        <w:pStyle w:val="EPBodyTA1"/>
      </w:pPr>
      <w:r w:rsidRPr="00EB48AF">
        <w:t>SPREJETA BESEDILA</w:t>
      </w:r>
    </w:p>
    <w:p w:rsidR="00D058B8" w:rsidRPr="00EB48AF" w:rsidRDefault="00D058B8" w:rsidP="00D058B8">
      <w:pPr>
        <w:pStyle w:val="LineBottom"/>
      </w:pPr>
    </w:p>
    <w:p w:rsidR="001652F7" w:rsidRPr="00EB48AF" w:rsidRDefault="001652F7" w:rsidP="001652F7">
      <w:pPr>
        <w:pStyle w:val="ATHeading1"/>
      </w:pPr>
      <w:bookmarkStart w:id="0" w:name="TANumber"/>
      <w:r w:rsidRPr="00EB48AF">
        <w:t>P9_TA(2024)</w:t>
      </w:r>
      <w:bookmarkEnd w:id="0"/>
      <w:r w:rsidR="002009DB">
        <w:t>0314</w:t>
      </w:r>
    </w:p>
    <w:p w:rsidR="001652F7" w:rsidRPr="00EB48AF" w:rsidRDefault="00D229DE" w:rsidP="001652F7">
      <w:pPr>
        <w:pStyle w:val="ATHeading2"/>
      </w:pPr>
      <w:bookmarkStart w:id="1" w:name="title"/>
      <w:proofErr w:type="spellStart"/>
      <w:r>
        <w:t>Nenasp</w:t>
      </w:r>
      <w:r w:rsidR="001652F7" w:rsidRPr="00EB48AF">
        <w:t>r</w:t>
      </w:r>
      <w:r>
        <w:t>o</w:t>
      </w:r>
      <w:r w:rsidR="001652F7" w:rsidRPr="00EB48AF">
        <w:t>tovanje</w:t>
      </w:r>
      <w:proofErr w:type="spellEnd"/>
      <w:r w:rsidR="001652F7" w:rsidRPr="00EB48AF">
        <w:t xml:space="preserve"> delegiranemu aktu: </w:t>
      </w:r>
      <w:bookmarkEnd w:id="1"/>
      <w:r w:rsidR="004517D6">
        <w:t>vključitev</w:t>
      </w:r>
      <w:r w:rsidR="004517D6" w:rsidRPr="00EB48AF">
        <w:t xml:space="preserve"> predhodne sestavine za prepovedane droge </w:t>
      </w:r>
      <w:proofErr w:type="spellStart"/>
      <w:r w:rsidR="004517D6" w:rsidRPr="00EB48AF">
        <w:t>izopropiliden</w:t>
      </w:r>
      <w:proofErr w:type="spellEnd"/>
      <w:r w:rsidR="004517D6" w:rsidRPr="00EB48AF">
        <w:t xml:space="preserve"> (2-(3,4-metilendioksifenil)acetil)</w:t>
      </w:r>
      <w:proofErr w:type="spellStart"/>
      <w:r w:rsidR="004517D6" w:rsidRPr="00EB48AF">
        <w:t>malonat</w:t>
      </w:r>
      <w:proofErr w:type="spellEnd"/>
      <w:r w:rsidR="004517D6" w:rsidRPr="00EB48AF">
        <w:t xml:space="preserve"> (IMDPAM) in drugih snovi med snovi s seznama </w:t>
      </w:r>
    </w:p>
    <w:p w:rsidR="001652F7" w:rsidRPr="00EB48AF" w:rsidRDefault="001652F7" w:rsidP="001652F7">
      <w:pPr>
        <w:rPr>
          <w:i/>
          <w:vanish/>
        </w:rPr>
      </w:pPr>
      <w:r w:rsidRPr="00EB48AF">
        <w:rPr>
          <w:i/>
        </w:rPr>
        <w:fldChar w:fldCharType="begin"/>
      </w:r>
      <w:r w:rsidRPr="00EB48AF">
        <w:rPr>
          <w:i/>
        </w:rPr>
        <w:instrText xml:space="preserve"> TC"(</w:instrText>
      </w:r>
      <w:bookmarkStart w:id="2" w:name="DocNumber"/>
      <w:r w:rsidRPr="00EB48AF">
        <w:rPr>
          <w:i/>
        </w:rPr>
        <w:instrText>B9-0213/2024</w:instrText>
      </w:r>
      <w:bookmarkEnd w:id="2"/>
      <w:r w:rsidRPr="00EB48AF">
        <w:rPr>
          <w:i/>
        </w:rPr>
        <w:instrText xml:space="preserve">)"\l3 \n&gt; \* MERGEFORMAT </w:instrText>
      </w:r>
      <w:r w:rsidRPr="00EB48AF">
        <w:rPr>
          <w:i/>
        </w:rPr>
        <w:fldChar w:fldCharType="end"/>
      </w:r>
    </w:p>
    <w:p w:rsidR="001652F7" w:rsidRPr="00EB48AF" w:rsidRDefault="001652F7" w:rsidP="001652F7">
      <w:pPr>
        <w:rPr>
          <w:vanish/>
        </w:rPr>
      </w:pPr>
      <w:bookmarkStart w:id="3" w:name="PE"/>
      <w:r w:rsidRPr="00EB48AF">
        <w:rPr>
          <w:vanish/>
        </w:rPr>
        <w:t>PE760.991</w:t>
      </w:r>
      <w:bookmarkEnd w:id="3"/>
    </w:p>
    <w:p w:rsidR="001652F7" w:rsidRPr="00EB48AF" w:rsidRDefault="001652F7" w:rsidP="001652F7">
      <w:pPr>
        <w:pStyle w:val="ATHeading3"/>
      </w:pPr>
      <w:bookmarkStart w:id="4" w:name="Sujet"/>
      <w:r w:rsidRPr="00EB48AF">
        <w:t>Sklep Evropskega parlamenta</w:t>
      </w:r>
      <w:r w:rsidR="00D229DE">
        <w:t>,</w:t>
      </w:r>
      <w:r w:rsidRPr="00EB48AF">
        <w:t xml:space="preserve"> da se ne nasprotuje delegirani uredbi Komisije z dne 28. februarja 2024 o spremembi Uredbe (ES) št. 273/2004 Evropskega parlamenta in Sveta ter Uredbe Sveta (ES) št. 111/2005 zaradi vključitve predhodne sestavine za prepovedane droge </w:t>
      </w:r>
      <w:proofErr w:type="spellStart"/>
      <w:r w:rsidRPr="00EB48AF">
        <w:t>izopropiliden</w:t>
      </w:r>
      <w:proofErr w:type="spellEnd"/>
      <w:r w:rsidRPr="00EB48AF">
        <w:t xml:space="preserve"> (2-(3,4-metilendioksifenil)acetil)</w:t>
      </w:r>
      <w:proofErr w:type="spellStart"/>
      <w:r w:rsidRPr="00EB48AF">
        <w:t>malonat</w:t>
      </w:r>
      <w:proofErr w:type="spellEnd"/>
      <w:r w:rsidRPr="00EB48AF">
        <w:t xml:space="preserve"> (IMDPAM) in drugih snovi med snovi s seznama</w:t>
      </w:r>
      <w:bookmarkEnd w:id="4"/>
      <w:r w:rsidRPr="00EB48AF">
        <w:t xml:space="preserve"> </w:t>
      </w:r>
      <w:bookmarkStart w:id="5" w:name="References"/>
      <w:r w:rsidRPr="00EB48AF">
        <w:t>(C(2024)01219 – 2024/2606(DEA))</w:t>
      </w:r>
      <w:bookmarkEnd w:id="5"/>
    </w:p>
    <w:p w:rsidR="00DE4847" w:rsidRPr="00EB48AF" w:rsidRDefault="00DE4847" w:rsidP="00DE4847">
      <w:pPr>
        <w:pStyle w:val="EPComma"/>
      </w:pPr>
      <w:bookmarkStart w:id="6" w:name="TextBodyBegin"/>
      <w:bookmarkEnd w:id="6"/>
      <w:r w:rsidRPr="00EB48AF">
        <w:rPr>
          <w:i/>
        </w:rPr>
        <w:t>Evropski parlament</w:t>
      </w:r>
      <w:r w:rsidRPr="00EB48AF">
        <w:t>,</w:t>
      </w:r>
    </w:p>
    <w:p w:rsidR="00DE4847" w:rsidRPr="00EB48AF" w:rsidRDefault="00DE4847" w:rsidP="00DE4847">
      <w:pPr>
        <w:pStyle w:val="NormalHanging12a"/>
      </w:pPr>
      <w:r w:rsidRPr="00EB48AF">
        <w:t>–</w:t>
      </w:r>
      <w:r w:rsidRPr="00EB48AF">
        <w:tab/>
        <w:t>ob upoštevanju delegirane uredbe Komisije (C(2024)01219),</w:t>
      </w:r>
    </w:p>
    <w:p w:rsidR="00DE4847" w:rsidRPr="00EB48AF" w:rsidRDefault="00DE4847" w:rsidP="00DE4847">
      <w:pPr>
        <w:pStyle w:val="NormalHanging12a"/>
        <w:rPr>
          <w:spacing w:val="-2"/>
          <w:szCs w:val="24"/>
        </w:rPr>
      </w:pPr>
      <w:r w:rsidRPr="00EB48AF">
        <w:t>–</w:t>
      </w:r>
      <w:r w:rsidRPr="00EB48AF">
        <w:tab/>
        <w:t>ob upoštevanju pisma Komisije z dne 13. marca 20</w:t>
      </w:r>
      <w:r w:rsidR="00944D47">
        <w:t>2</w:t>
      </w:r>
      <w:r w:rsidRPr="00EB48AF">
        <w:t>4, v katerem poziva Parlament, naj izjavi, da ne bo nasprotoval delegirani uredbi,</w:t>
      </w:r>
    </w:p>
    <w:p w:rsidR="00DE4847" w:rsidRPr="00EB48AF" w:rsidRDefault="00DE4847" w:rsidP="00DE4847">
      <w:pPr>
        <w:pStyle w:val="NormalHanging12a"/>
      </w:pPr>
      <w:r w:rsidRPr="00EB48AF">
        <w:t>–</w:t>
      </w:r>
      <w:r w:rsidRPr="00EB48AF">
        <w:tab/>
        <w:t>ob upoštevanju pisma Odbora za državljanske svoboščine, pravosodje in notranje zadeve predsedniku konference predsednikov odborov,</w:t>
      </w:r>
    </w:p>
    <w:p w:rsidR="00DE4847" w:rsidRPr="00EB48AF" w:rsidRDefault="00DE4847" w:rsidP="00DE4847">
      <w:pPr>
        <w:pStyle w:val="NormalHanging12a"/>
      </w:pPr>
      <w:r w:rsidRPr="00EB48AF">
        <w:t>–</w:t>
      </w:r>
      <w:r w:rsidRPr="00EB48AF">
        <w:tab/>
        <w:t>ob upoštevanju člena 290 Pogodbe o delovanju Evropske unije,</w:t>
      </w:r>
    </w:p>
    <w:p w:rsidR="00DE4847" w:rsidRPr="00EB48AF" w:rsidRDefault="00DE4847" w:rsidP="00DE4847">
      <w:pPr>
        <w:pStyle w:val="NormalHanging12a"/>
      </w:pPr>
      <w:r w:rsidRPr="00EB48AF">
        <w:t>–</w:t>
      </w:r>
      <w:r w:rsidRPr="00EB48AF">
        <w:tab/>
        <w:t>ob upoštevanju Uredbe (ES) št. 273/2004 Evropskega parlamenta in Sveta z dne 11. februarja 2004</w:t>
      </w:r>
      <w:r w:rsidRPr="00EB48AF">
        <w:rPr>
          <w:rStyle w:val="FootnoteReference"/>
          <w:szCs w:val="24"/>
        </w:rPr>
        <w:footnoteReference w:id="1"/>
      </w:r>
      <w:r w:rsidRPr="00EB48AF">
        <w:t xml:space="preserve"> o predhodnih sestavinah pri prepovedanih drogah in zlasti členov 15 in 15a(5),</w:t>
      </w:r>
    </w:p>
    <w:p w:rsidR="00DE4847" w:rsidRPr="00EB48AF" w:rsidRDefault="00DE4847" w:rsidP="00DE4847">
      <w:pPr>
        <w:pStyle w:val="NormalHanging12a"/>
      </w:pPr>
      <w:r w:rsidRPr="00EB48AF">
        <w:t>–</w:t>
      </w:r>
      <w:r w:rsidRPr="00EB48AF">
        <w:tab/>
        <w:t>ob upoštevanju Uredbe Sveta (ES) št. 111/2005 z dne 22. decembra 2004</w:t>
      </w:r>
      <w:r w:rsidRPr="00EB48AF">
        <w:rPr>
          <w:rStyle w:val="FootnoteReference"/>
        </w:rPr>
        <w:footnoteReference w:id="2"/>
      </w:r>
      <w:r w:rsidRPr="00EB48AF">
        <w:t xml:space="preserve"> o določitvi pravil za nadzor trgovine s predhodnimi sestavinami za prepovedane droge med Unijo in tretjimi državami, zlasti členov 30a in 30b(5),</w:t>
      </w:r>
    </w:p>
    <w:p w:rsidR="00DE4847" w:rsidRPr="00EB48AF" w:rsidRDefault="00DE4847" w:rsidP="00DE4847">
      <w:pPr>
        <w:pStyle w:val="NormalHanging12a"/>
      </w:pPr>
      <w:r w:rsidRPr="00EB48AF">
        <w:t>–</w:t>
      </w:r>
      <w:r w:rsidRPr="00EB48AF">
        <w:tab/>
        <w:t>ob upoštevanju člena 111(6) Poslovnika,</w:t>
      </w:r>
    </w:p>
    <w:p w:rsidR="00DE4847" w:rsidRDefault="00DE4847" w:rsidP="00DE4847">
      <w:pPr>
        <w:pStyle w:val="NormalHanging12a"/>
      </w:pPr>
      <w:r w:rsidRPr="00EB48AF">
        <w:t>–</w:t>
      </w:r>
      <w:r w:rsidRPr="00EB48AF">
        <w:tab/>
        <w:t xml:space="preserve">ob upoštevanju priporočila za sklep Odbora za državljanske svoboščine, pravosodje in </w:t>
      </w:r>
      <w:r w:rsidRPr="00EB48AF">
        <w:lastRenderedPageBreak/>
        <w:t>notranje zadeve,</w:t>
      </w:r>
    </w:p>
    <w:p w:rsidR="004517D6" w:rsidRPr="00EB48AF" w:rsidRDefault="004517D6" w:rsidP="00DE4847">
      <w:pPr>
        <w:pStyle w:val="NormalHanging12a"/>
      </w:pPr>
      <w:r>
        <w:t>–</w:t>
      </w:r>
      <w:r>
        <w:tab/>
        <w:t>o</w:t>
      </w:r>
      <w:r w:rsidRPr="004517D6">
        <w:t xml:space="preserve">b upoštevanju da ni bilo izraženo nobeno nasprotovanje v roku iz tretje in četrte alinee člena 111(6) Poslovnika, ki se je iztekel </w:t>
      </w:r>
      <w:r>
        <w:t>23</w:t>
      </w:r>
      <w:r w:rsidRPr="004517D6">
        <w:t>. aprila 2024,</w:t>
      </w:r>
    </w:p>
    <w:p w:rsidR="00DE4847" w:rsidRPr="00EB48AF" w:rsidRDefault="00DE4847" w:rsidP="00DE4847">
      <w:pPr>
        <w:pStyle w:val="NormalHanging12a"/>
      </w:pPr>
      <w:r w:rsidRPr="00EB48AF">
        <w:t>A.</w:t>
      </w:r>
      <w:r w:rsidRPr="00EB48AF">
        <w:tab/>
        <w:t>ker je treba zakonodajni okvir EU o ukrepih za nadzor dostopa do snovi, ki se uporabljajo za proizvodnjo prepovedanih drog, stalno posodabljati, da bi preprečili širjenje dizajniranih predhodnikov, ki so po kemijski sestavi sorodni tradicionalnim predhodnim sestavinam za prepovedane droge, ustvarjenim z namenom izogibanja obstoječim pravilom;</w:t>
      </w:r>
    </w:p>
    <w:p w:rsidR="00DE4847" w:rsidRPr="00EB48AF" w:rsidRDefault="00DE4847" w:rsidP="00DE4847">
      <w:pPr>
        <w:pStyle w:val="ManualConsidrant"/>
        <w:ind w:left="567" w:hanging="567"/>
        <w:jc w:val="left"/>
        <w:rPr>
          <w:noProof/>
        </w:rPr>
      </w:pPr>
      <w:r w:rsidRPr="00EB48AF">
        <w:t>B.</w:t>
      </w:r>
      <w:r w:rsidRPr="00EB48AF">
        <w:tab/>
        <w:t xml:space="preserve">ker je bila natrijeva sol </w:t>
      </w:r>
      <w:proofErr w:type="spellStart"/>
      <w:r w:rsidRPr="00EB48AF">
        <w:t>izopropiliden</w:t>
      </w:r>
      <w:proofErr w:type="spellEnd"/>
      <w:r w:rsidRPr="00EB48AF">
        <w:t xml:space="preserve"> (2-(3,4-metilendioksifenil)acetil)</w:t>
      </w:r>
      <w:proofErr w:type="spellStart"/>
      <w:r w:rsidRPr="00EB48AF">
        <w:t>malonat</w:t>
      </w:r>
      <w:proofErr w:type="spellEnd"/>
      <w:r w:rsidRPr="00EB48AF">
        <w:t xml:space="preserve"> (IMDPAM) opredeljena kot nova predhodna sestavina za prepovedane droge, ki se uporablja pri proizvodnji MDMA (3,4-metilendioksimetamfetamina), splošno znanega kot „ekstazi“;</w:t>
      </w:r>
    </w:p>
    <w:p w:rsidR="00DE4847" w:rsidRPr="00EB48AF" w:rsidRDefault="00DE4847" w:rsidP="00DE4847">
      <w:pPr>
        <w:pStyle w:val="ManualConsidrant"/>
        <w:ind w:left="567" w:hanging="567"/>
        <w:jc w:val="left"/>
        <w:rPr>
          <w:noProof/>
        </w:rPr>
      </w:pPr>
      <w:r w:rsidRPr="00EB48AF">
        <w:t>C.</w:t>
      </w:r>
      <w:r w:rsidRPr="00EB48AF">
        <w:tab/>
        <w:t xml:space="preserve">ker je sedem estrov 2-metil-3-feniloksiran-2-karboksilne kisline (BMK </w:t>
      </w:r>
      <w:proofErr w:type="spellStart"/>
      <w:r w:rsidRPr="00EB48AF">
        <w:t>glicidne</w:t>
      </w:r>
      <w:proofErr w:type="spellEnd"/>
      <w:r w:rsidRPr="00EB48AF">
        <w:t xml:space="preserve"> kisline) in šest estrov 3-(1,3-benzodioksol-5-il)-2-metil-oksiran-2-karboksilne kisline (PMK </w:t>
      </w:r>
      <w:proofErr w:type="spellStart"/>
      <w:r w:rsidRPr="00EB48AF">
        <w:t>glicidne</w:t>
      </w:r>
      <w:proofErr w:type="spellEnd"/>
      <w:r w:rsidRPr="00EB48AF">
        <w:t xml:space="preserve"> kisline) opredeljenih kot možni nadomestki BMK </w:t>
      </w:r>
      <w:proofErr w:type="spellStart"/>
      <w:r w:rsidRPr="00EB48AF">
        <w:t>glicidne</w:t>
      </w:r>
      <w:proofErr w:type="spellEnd"/>
      <w:r w:rsidRPr="00EB48AF">
        <w:t xml:space="preserve"> kisline in PMK </w:t>
      </w:r>
      <w:proofErr w:type="spellStart"/>
      <w:r w:rsidRPr="00EB48AF">
        <w:t>glicidne</w:t>
      </w:r>
      <w:proofErr w:type="spellEnd"/>
      <w:r w:rsidRPr="00EB48AF">
        <w:t xml:space="preserve"> kisline, ki sta v skladu s pravom EU nadzorovani predhodni sestavini pri proizvodnji nedovoljenih drog, kot so MDMA, metamfetamin in amfetamin;</w:t>
      </w:r>
    </w:p>
    <w:p w:rsidR="00DE4847" w:rsidRPr="00EB48AF" w:rsidRDefault="00DE4847" w:rsidP="00DE4847">
      <w:pPr>
        <w:pStyle w:val="ManualConsidrant"/>
        <w:ind w:left="567" w:hanging="567"/>
        <w:jc w:val="left"/>
        <w:rPr>
          <w:noProof/>
        </w:rPr>
      </w:pPr>
      <w:r w:rsidRPr="00EB48AF">
        <w:t>D.</w:t>
      </w:r>
      <w:r w:rsidRPr="00EB48AF">
        <w:tab/>
        <w:t xml:space="preserve">ker je treba spremeniti spisek snovi s seznama iz Priloge I k Uredbi (ES) št. 273/2004 in Priloge k Uredbi (ES) št. 111/2005, da bodo za IMDPAM in opredeljene estre BMK </w:t>
      </w:r>
      <w:proofErr w:type="spellStart"/>
      <w:r w:rsidRPr="00EB48AF">
        <w:t>glicidne</w:t>
      </w:r>
      <w:proofErr w:type="spellEnd"/>
      <w:r w:rsidRPr="00EB48AF">
        <w:t xml:space="preserve"> kisline in PMK </w:t>
      </w:r>
      <w:proofErr w:type="spellStart"/>
      <w:r w:rsidRPr="00EB48AF">
        <w:t>glicidne</w:t>
      </w:r>
      <w:proofErr w:type="spellEnd"/>
      <w:r w:rsidRPr="00EB48AF">
        <w:t xml:space="preserve"> kisline veljali usklajeni ukrepi nadzora in spremljanja iz navedenih uredb;</w:t>
      </w:r>
    </w:p>
    <w:p w:rsidR="00DE4847" w:rsidRPr="00EB48AF" w:rsidRDefault="00DE4847" w:rsidP="00DE4847">
      <w:pPr>
        <w:pStyle w:val="ManualConsidrant"/>
        <w:ind w:left="567" w:hanging="567"/>
        <w:jc w:val="left"/>
        <w:rPr>
          <w:noProof/>
        </w:rPr>
      </w:pPr>
      <w:r w:rsidRPr="00EB48AF">
        <w:t xml:space="preserve">E. </w:t>
      </w:r>
      <w:r w:rsidRPr="00EB48AF">
        <w:tab/>
        <w:t>ker bi morali ukrepi za nadzor dostopa do novih snovi, ki so bile vključene na seznam v skladu z uredbama (ES) št. 273/2004 in (ES) št. 111/2005, začeti veljati čim prej, da se prepreči uporaba navedenih predhodnih sestavin za proizvodnjo prepovedanih drog in njihovo dajanje na trg;</w:t>
      </w:r>
    </w:p>
    <w:p w:rsidR="00DE4847" w:rsidRPr="00EB48AF" w:rsidRDefault="00DE4847" w:rsidP="00DE4847">
      <w:pPr>
        <w:pStyle w:val="ManualConsidrant"/>
        <w:spacing w:after="240"/>
        <w:ind w:left="567" w:hanging="567"/>
        <w:jc w:val="left"/>
        <w:rPr>
          <w:spacing w:val="-2"/>
          <w:szCs w:val="24"/>
        </w:rPr>
      </w:pPr>
      <w:r w:rsidRPr="00EB48AF">
        <w:t>F.</w:t>
      </w:r>
      <w:r w:rsidRPr="00EB48AF">
        <w:tab/>
        <w:t>ker se je Evropska komisija v načrtu EU za boj proti nedovoljenemu prometu s prepovedanimi drogami in organiziranemu kriminalu (COM(2023)0641) zavezala, da si bo v sodelovanju s Parlamentom in Svetom po najboljših močeh prizadevala pospešiti postopek sprejemanja prihodnjih delegiranih aktov o vključitvi dodatnih snovi na seznam v skladu z uredbama (ES) št. 273/2004 in (ES) št. 111/2005;</w:t>
      </w:r>
    </w:p>
    <w:p w:rsidR="00DE4847" w:rsidRPr="00EB48AF" w:rsidRDefault="00DE4847" w:rsidP="00DE4847">
      <w:pPr>
        <w:pStyle w:val="NormalHanging12a"/>
      </w:pPr>
      <w:r w:rsidRPr="00EB48AF">
        <w:t>1.</w:t>
      </w:r>
      <w:r w:rsidRPr="00EB48AF">
        <w:tab/>
        <w:t>izjavlja, da ne nasprotuje delegirani uredbi;</w:t>
      </w:r>
    </w:p>
    <w:p w:rsidR="00DE4847" w:rsidRPr="00EB48AF" w:rsidRDefault="00DE4847" w:rsidP="00D229DE">
      <w:pPr>
        <w:pStyle w:val="NormalHanging12a"/>
      </w:pPr>
      <w:r w:rsidRPr="00EB48AF">
        <w:t>2.</w:t>
      </w:r>
      <w:r w:rsidRPr="00EB48AF">
        <w:tab/>
        <w:t>naroči svoji predsednici, naj ta sklep posreduje Svetu in Komisiji.</w:t>
      </w:r>
    </w:p>
    <w:sectPr w:rsidR="00DE4847" w:rsidRPr="00EB48AF" w:rsidSect="00EB48A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2F7" w:rsidRPr="00EB48AF" w:rsidRDefault="001652F7">
      <w:r w:rsidRPr="00EB48AF">
        <w:separator/>
      </w:r>
    </w:p>
  </w:endnote>
  <w:endnote w:type="continuationSeparator" w:id="0">
    <w:p w:rsidR="001652F7" w:rsidRPr="00EB48AF" w:rsidRDefault="001652F7">
      <w:r w:rsidRPr="00EB48A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2F7" w:rsidRPr="00EB48AF" w:rsidRDefault="001652F7">
      <w:r w:rsidRPr="00EB48AF">
        <w:separator/>
      </w:r>
    </w:p>
  </w:footnote>
  <w:footnote w:type="continuationSeparator" w:id="0">
    <w:p w:rsidR="001652F7" w:rsidRPr="00EB48AF" w:rsidRDefault="001652F7">
      <w:r w:rsidRPr="00EB48AF">
        <w:continuationSeparator/>
      </w:r>
    </w:p>
  </w:footnote>
  <w:footnote w:id="1">
    <w:p w:rsidR="00DE4847" w:rsidRPr="00EB48AF" w:rsidRDefault="00DE4847" w:rsidP="00EB48AF">
      <w:pPr>
        <w:pStyle w:val="FootnoteText"/>
        <w:ind w:left="567" w:hanging="567"/>
        <w:rPr>
          <w:sz w:val="24"/>
          <w:lang w:val="sl-SI"/>
        </w:rPr>
      </w:pPr>
      <w:r w:rsidRPr="00EB48AF">
        <w:rPr>
          <w:rStyle w:val="FootnoteReference"/>
          <w:sz w:val="24"/>
          <w:lang w:val="sl-SI"/>
        </w:rPr>
        <w:footnoteRef/>
      </w:r>
      <w:r w:rsidR="00EB48AF" w:rsidRPr="00EB48AF">
        <w:rPr>
          <w:sz w:val="24"/>
          <w:lang w:val="sl-SI"/>
        </w:rPr>
        <w:t xml:space="preserve"> </w:t>
      </w:r>
      <w:r w:rsidR="00EB48AF" w:rsidRPr="00EB48AF">
        <w:rPr>
          <w:sz w:val="24"/>
          <w:lang w:val="sl-SI"/>
        </w:rPr>
        <w:tab/>
      </w:r>
      <w:r w:rsidRPr="00EB48AF">
        <w:rPr>
          <w:sz w:val="24"/>
          <w:lang w:val="sl-SI"/>
        </w:rPr>
        <w:t>UL L 47, 18.2.2004, str.</w:t>
      </w:r>
      <w:r w:rsidR="00AB3B05">
        <w:rPr>
          <w:sz w:val="24"/>
          <w:lang w:val="sl-SI"/>
        </w:rPr>
        <w:t xml:space="preserve"> </w:t>
      </w:r>
      <w:r w:rsidRPr="00EB48AF">
        <w:rPr>
          <w:sz w:val="24"/>
          <w:lang w:val="sl-SI"/>
        </w:rPr>
        <w:t>1.</w:t>
      </w:r>
    </w:p>
  </w:footnote>
  <w:footnote w:id="2">
    <w:p w:rsidR="00DE4847" w:rsidRPr="00EB48AF" w:rsidRDefault="00DE4847" w:rsidP="00EB48AF">
      <w:pPr>
        <w:pStyle w:val="FootnoteText"/>
        <w:ind w:left="567" w:hanging="567"/>
        <w:rPr>
          <w:sz w:val="24"/>
          <w:lang w:val="sl-SI"/>
        </w:rPr>
      </w:pPr>
      <w:r w:rsidRPr="00EB48AF">
        <w:rPr>
          <w:rStyle w:val="FootnoteReference"/>
          <w:sz w:val="24"/>
          <w:lang w:val="sl-SI"/>
        </w:rPr>
        <w:footnoteRef/>
      </w:r>
      <w:r w:rsidR="00EB48AF" w:rsidRPr="00EB48AF">
        <w:rPr>
          <w:sz w:val="24"/>
          <w:lang w:val="sl-SI"/>
        </w:rPr>
        <w:t xml:space="preserve"> </w:t>
      </w:r>
      <w:r w:rsidR="00EB48AF" w:rsidRPr="00EB48AF">
        <w:rPr>
          <w:sz w:val="24"/>
          <w:lang w:val="sl-SI"/>
        </w:rPr>
        <w:tab/>
      </w:r>
      <w:r w:rsidRPr="00EB48AF">
        <w:rPr>
          <w:sz w:val="24"/>
          <w:lang w:val="sl-SI"/>
        </w:rPr>
        <w:t xml:space="preserve">UL L 22, </w:t>
      </w:r>
      <w:r w:rsidR="00944D47">
        <w:rPr>
          <w:sz w:val="24"/>
          <w:lang w:val="sl-SI"/>
        </w:rPr>
        <w:t>26.1.2005, str.</w:t>
      </w:r>
      <w:r w:rsidR="00AB3B05">
        <w:rPr>
          <w:sz w:val="24"/>
          <w:lang w:val="sl-SI"/>
        </w:rPr>
        <w:t xml:space="preserve"> </w:t>
      </w:r>
      <w:bookmarkStart w:id="7" w:name="_GoBack"/>
      <w:bookmarkEnd w:id="7"/>
      <w:r w:rsidRPr="00EB48AF">
        <w:rPr>
          <w:sz w:val="24"/>
          <w:lang w:val="sl-SI"/>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48A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SL"/>
    <w:docVar w:name="dvnumam" w:val="0"/>
    <w:docVar w:name="dvpe" w:val="760.991"/>
    <w:docVar w:name="dvtitre" w:val="Sklep Evropskega parlamenta z dne … 2024 da se ne nasprotuje delegirani uredbi Komisije z dne 28. februarja 2024 o spremembi Uredbe (ES) št. 273/2004 Evropskega parlamenta in Sveta ter Uredbe Sveta (ES) št. 111/2005 zaradi vključitve predhodne sestavine za prepovedane droge izopropiliden (2-(3,4-metilendioksifenil)acetil)malonat (IMDPAM) in drugih snovi med snovi s seznama(C(2024)01219 – 2024/2606(DEA))"/>
  </w:docVars>
  <w:rsids>
    <w:rsidRoot w:val="001652F7"/>
    <w:rsid w:val="00002272"/>
    <w:rsid w:val="00064002"/>
    <w:rsid w:val="000677B9"/>
    <w:rsid w:val="000831BA"/>
    <w:rsid w:val="000A42CC"/>
    <w:rsid w:val="000E7DD9"/>
    <w:rsid w:val="0010095E"/>
    <w:rsid w:val="00125B37"/>
    <w:rsid w:val="001652F7"/>
    <w:rsid w:val="00187494"/>
    <w:rsid w:val="001F32AE"/>
    <w:rsid w:val="002009DB"/>
    <w:rsid w:val="002767FF"/>
    <w:rsid w:val="002B18FE"/>
    <w:rsid w:val="002B5493"/>
    <w:rsid w:val="00343214"/>
    <w:rsid w:val="00361C00"/>
    <w:rsid w:val="00395FA1"/>
    <w:rsid w:val="003E15D4"/>
    <w:rsid w:val="00411CCE"/>
    <w:rsid w:val="0041666E"/>
    <w:rsid w:val="00421060"/>
    <w:rsid w:val="004517D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D47"/>
    <w:rsid w:val="009509D8"/>
    <w:rsid w:val="00950B64"/>
    <w:rsid w:val="00981893"/>
    <w:rsid w:val="00A1687D"/>
    <w:rsid w:val="00A43E52"/>
    <w:rsid w:val="00A4678D"/>
    <w:rsid w:val="00A778C7"/>
    <w:rsid w:val="00AB3B0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9DE"/>
    <w:rsid w:val="00D56C11"/>
    <w:rsid w:val="00D834A0"/>
    <w:rsid w:val="00D872DF"/>
    <w:rsid w:val="00D91E21"/>
    <w:rsid w:val="00DA7FCD"/>
    <w:rsid w:val="00DE4847"/>
    <w:rsid w:val="00E365E1"/>
    <w:rsid w:val="00E820A4"/>
    <w:rsid w:val="00EB006A"/>
    <w:rsid w:val="00EB4772"/>
    <w:rsid w:val="00EB48A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AEE497"/>
  <w15:chartTrackingRefBased/>
  <w15:docId w15:val="{D7EE37A7-DEDA-4EAF-930B-BDF659315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4847"/>
    <w:pPr>
      <w:spacing w:before="480" w:after="240"/>
    </w:pPr>
  </w:style>
  <w:style w:type="paragraph" w:customStyle="1" w:styleId="NormalHanging12a">
    <w:name w:val="NormalHanging12a"/>
    <w:basedOn w:val="Normal"/>
    <w:rsid w:val="00DE4847"/>
    <w:pPr>
      <w:spacing w:after="240"/>
      <w:ind w:left="567" w:hanging="567"/>
    </w:pPr>
  </w:style>
  <w:style w:type="paragraph" w:customStyle="1" w:styleId="ManualConsidrant">
    <w:name w:val="Manual Considérant"/>
    <w:basedOn w:val="Normal"/>
    <w:rsid w:val="00DE4847"/>
    <w:pPr>
      <w:widowControl/>
      <w:spacing w:before="120" w:after="120"/>
      <w:ind w:left="709" w:hanging="709"/>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6AE55-AB40-402C-B47E-4F207E70FA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527</Words>
  <Characters>3382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BINKEVICIUTE Aurelija</cp:lastModifiedBy>
  <cp:revision>3</cp:revision>
  <cp:lastPrinted>2004-11-19T15:42:00Z</cp:lastPrinted>
  <dcterms:created xsi:type="dcterms:W3CDTF">2024-06-12T07:24:00Z</dcterms:created>
  <dcterms:modified xsi:type="dcterms:W3CDTF">2024-10-16T10:58:00Z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B9-0213/2024</vt:lpwstr>
  </property>
  <property fmtid="{D5CDD505-2E9C-101B-9397-08002B2CF9AE}" pid="4" name="&lt;Type&gt;">
    <vt:lpwstr>RR</vt:lpwstr>
  </property>
</Properties>
</file>