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3982" w:rsidTr="0010095E">
        <w:trPr>
          <w:trHeight w:hRule="exact" w:val="1418"/>
        </w:trPr>
        <w:tc>
          <w:tcPr>
            <w:tcW w:w="6804" w:type="dxa"/>
            <w:shd w:val="clear" w:color="auto" w:fill="auto"/>
            <w:vAlign w:val="center"/>
          </w:tcPr>
          <w:p w:rsidR="00751A4A" w:rsidRPr="003E3982" w:rsidRDefault="00686A67" w:rsidP="0010095E">
            <w:pPr>
              <w:pStyle w:val="EPName"/>
            </w:pPr>
            <w:r w:rsidRPr="003E3982">
              <w:t>Europaparlamentet</w:t>
            </w:r>
          </w:p>
          <w:p w:rsidR="00751A4A" w:rsidRPr="003E3982" w:rsidRDefault="00817416" w:rsidP="00756632">
            <w:pPr>
              <w:pStyle w:val="EPTerm"/>
              <w:rPr>
                <w:rStyle w:val="HideTWBExt"/>
                <w:noProof w:val="0"/>
                <w:vanish w:val="0"/>
                <w:color w:val="auto"/>
              </w:rPr>
            </w:pPr>
            <w:r w:rsidRPr="003E3982">
              <w:t>2019-2024</w:t>
            </w:r>
          </w:p>
        </w:tc>
        <w:tc>
          <w:tcPr>
            <w:tcW w:w="2268" w:type="dxa"/>
            <w:shd w:val="clear" w:color="auto" w:fill="auto"/>
          </w:tcPr>
          <w:p w:rsidR="00751A4A" w:rsidRPr="003E3982" w:rsidRDefault="00187494" w:rsidP="0010095E">
            <w:pPr>
              <w:pStyle w:val="EPLogo"/>
            </w:pPr>
            <w:r w:rsidRPr="003E39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3982" w:rsidRDefault="00D058B8" w:rsidP="004C5D52">
      <w:pPr>
        <w:pStyle w:val="LineTop"/>
      </w:pPr>
    </w:p>
    <w:p w:rsidR="00680577" w:rsidRPr="003E3982" w:rsidRDefault="00686A67" w:rsidP="00680577">
      <w:pPr>
        <w:pStyle w:val="EPBodyTA1"/>
      </w:pPr>
      <w:r w:rsidRPr="003E3982">
        <w:t>ANTAGNA TEXTER</w:t>
      </w:r>
    </w:p>
    <w:p w:rsidR="00D058B8" w:rsidRPr="003E3982" w:rsidRDefault="00D058B8" w:rsidP="00D058B8">
      <w:pPr>
        <w:pStyle w:val="LineBottom"/>
      </w:pPr>
    </w:p>
    <w:p w:rsidR="00686A67" w:rsidRPr="003E3982" w:rsidRDefault="00686A67" w:rsidP="00686A67">
      <w:pPr>
        <w:pStyle w:val="ATHeading1"/>
      </w:pPr>
      <w:bookmarkStart w:id="0" w:name="TANumber"/>
      <w:r w:rsidRPr="003E3982">
        <w:t>P9_TA(2024)0</w:t>
      </w:r>
      <w:r w:rsidR="00A7473F" w:rsidRPr="003E3982">
        <w:t>314</w:t>
      </w:r>
      <w:bookmarkEnd w:id="0"/>
    </w:p>
    <w:p w:rsidR="00686A67" w:rsidRPr="003E3982" w:rsidRDefault="00A7473F" w:rsidP="00686A67">
      <w:pPr>
        <w:pStyle w:val="ATHeading2"/>
      </w:pPr>
      <w:bookmarkStart w:id="1" w:name="title"/>
      <w:r w:rsidRPr="003E3982">
        <w:t>Beslut</w:t>
      </w:r>
      <w:r w:rsidR="00D52656" w:rsidRPr="003E3982">
        <w:t xml:space="preserve"> </w:t>
      </w:r>
      <w:r w:rsidR="00686A67" w:rsidRPr="003E3982">
        <w:t xml:space="preserve">om att inte invända mot </w:t>
      </w:r>
      <w:r w:rsidRPr="003E3982">
        <w:t xml:space="preserve">en delegerad akt: </w:t>
      </w:r>
      <w:r w:rsidR="00686A67" w:rsidRPr="003E3982">
        <w:t>införande av narkotikaprekursorn isopropyliden (2-(3,4-metylendioxifenyl)acetyl)malonat (IMDPAM) och andra ämnen i förteckningen över förtecknade ämnen</w:t>
      </w:r>
      <w:bookmarkEnd w:id="1"/>
    </w:p>
    <w:p w:rsidR="00686A67" w:rsidRPr="003E3982" w:rsidRDefault="00686A67" w:rsidP="00686A67">
      <w:pPr>
        <w:rPr>
          <w:i/>
          <w:vanish/>
        </w:rPr>
      </w:pPr>
      <w:r w:rsidRPr="003E3982">
        <w:rPr>
          <w:i/>
        </w:rPr>
        <w:fldChar w:fldCharType="begin"/>
      </w:r>
      <w:r w:rsidRPr="003E3982">
        <w:rPr>
          <w:i/>
        </w:rPr>
        <w:instrText xml:space="preserve"> TC"(</w:instrText>
      </w:r>
      <w:bookmarkStart w:id="2" w:name="DocNumber"/>
      <w:r w:rsidRPr="003E3982">
        <w:rPr>
          <w:i/>
        </w:rPr>
        <w:instrText>B9-0213/2024</w:instrText>
      </w:r>
      <w:bookmarkEnd w:id="2"/>
      <w:r w:rsidRPr="003E3982">
        <w:rPr>
          <w:i/>
        </w:rPr>
        <w:instrText xml:space="preserve">)"\l3 \n&gt; \* MERGEFORMAT </w:instrText>
      </w:r>
      <w:r w:rsidRPr="003E3982">
        <w:rPr>
          <w:i/>
        </w:rPr>
        <w:fldChar w:fldCharType="end"/>
      </w:r>
    </w:p>
    <w:p w:rsidR="00686A67" w:rsidRPr="003E3982" w:rsidRDefault="00686A67" w:rsidP="00686A67">
      <w:pPr>
        <w:rPr>
          <w:vanish/>
        </w:rPr>
      </w:pPr>
      <w:bookmarkStart w:id="3" w:name="PE"/>
      <w:r w:rsidRPr="003E3982">
        <w:rPr>
          <w:vanish/>
        </w:rPr>
        <w:t>PE760.991</w:t>
      </w:r>
      <w:bookmarkEnd w:id="3"/>
    </w:p>
    <w:p w:rsidR="00686A67" w:rsidRPr="003E3982" w:rsidRDefault="00686A67" w:rsidP="00686A67">
      <w:pPr>
        <w:pStyle w:val="ATHeading3"/>
      </w:pPr>
      <w:bookmarkStart w:id="4" w:name="Sujet"/>
      <w:r w:rsidRPr="003E3982">
        <w:t xml:space="preserve">Europaparlamentets </w:t>
      </w:r>
      <w:r w:rsidR="00A7473F" w:rsidRPr="003E3982">
        <w:t xml:space="preserve">beslut </w:t>
      </w:r>
      <w:r w:rsidRPr="003E3982">
        <w:t>om att inte invända mot kommissionens delegerade förordning av den 28 februari 2024 om ändring av Europaparlamentets och rådets förordning (EG) nr 273/2004 och rådets förordning (EG) nr 111/2005 vad gäller införande av narkotikaprekursorn isopropyliden (2-(3,4-metylendioxifenyl)acetyl)malonat (IMDPAM) och andra ämnen i förteckningen över förtecknade ämnen</w:t>
      </w:r>
      <w:bookmarkEnd w:id="4"/>
      <w:r w:rsidRPr="003E3982">
        <w:t xml:space="preserve"> </w:t>
      </w:r>
      <w:bookmarkStart w:id="5" w:name="References"/>
      <w:r w:rsidRPr="003E3982">
        <w:t>(C(2024)01219 - 2024/2606(DEA))</w:t>
      </w:r>
      <w:bookmarkEnd w:id="5"/>
    </w:p>
    <w:p w:rsidR="000A793B" w:rsidRPr="003E3982" w:rsidRDefault="000A793B" w:rsidP="000A793B">
      <w:pPr>
        <w:pStyle w:val="EPComma"/>
      </w:pPr>
      <w:bookmarkStart w:id="6" w:name="TextBodyBegin"/>
      <w:bookmarkEnd w:id="6"/>
      <w:r w:rsidRPr="003E3982">
        <w:rPr>
          <w:i/>
          <w:iCs/>
        </w:rPr>
        <w:t>Europaparlamentet fattar detta beslut</w:t>
      </w:r>
    </w:p>
    <w:p w:rsidR="000A793B" w:rsidRPr="003E3982" w:rsidRDefault="000A793B" w:rsidP="000A793B">
      <w:pPr>
        <w:pStyle w:val="NormalHanging12a"/>
      </w:pPr>
      <w:r w:rsidRPr="003E3982">
        <w:t>–</w:t>
      </w:r>
      <w:r w:rsidRPr="003E3982">
        <w:tab/>
        <w:t>med beaktande av kommissionens delegerade förordning (C(2024)01219),</w:t>
      </w:r>
    </w:p>
    <w:p w:rsidR="000A793B" w:rsidRPr="003E3982" w:rsidRDefault="000A793B" w:rsidP="000A793B">
      <w:pPr>
        <w:pStyle w:val="NormalHanging12a"/>
        <w:rPr>
          <w:spacing w:val="-2"/>
          <w:szCs w:val="24"/>
        </w:rPr>
      </w:pPr>
      <w:r w:rsidRPr="003E3982">
        <w:t>–</w:t>
      </w:r>
      <w:r w:rsidRPr="003E3982">
        <w:tab/>
        <w:t>med beaktande av kommissionens skrivelse av den 13 mars 2024, i vilken parlamentet uppmanas att tillkännage att det inte avser att invända mot den delegerade förordningen,</w:t>
      </w:r>
    </w:p>
    <w:p w:rsidR="000A793B" w:rsidRPr="003E3982" w:rsidRDefault="000A793B" w:rsidP="000A793B">
      <w:pPr>
        <w:pStyle w:val="NormalHanging12a"/>
      </w:pPr>
      <w:r w:rsidRPr="003E3982">
        <w:t>–</w:t>
      </w:r>
      <w:r w:rsidRPr="003E3982">
        <w:tab/>
        <w:t>med beaktande av skrivelsen från utskottet för medborgerliga fri- och rättigheter samt rättsliga och inrikes frågor till utskottsordförandekonferensens ordförande,</w:t>
      </w:r>
    </w:p>
    <w:p w:rsidR="000A793B" w:rsidRPr="003E3982" w:rsidRDefault="000A793B" w:rsidP="000A793B">
      <w:pPr>
        <w:pStyle w:val="NormalHanging12a"/>
      </w:pPr>
      <w:r w:rsidRPr="003E3982">
        <w:t>–</w:t>
      </w:r>
      <w:r w:rsidRPr="003E3982">
        <w:tab/>
        <w:t>med beaktande av artikel 290 i fördraget om Europeiska unionens funktionssätt,</w:t>
      </w:r>
    </w:p>
    <w:p w:rsidR="000A793B" w:rsidRPr="003E3982" w:rsidRDefault="000A793B" w:rsidP="000A793B">
      <w:pPr>
        <w:pStyle w:val="NormalHanging12a"/>
      </w:pPr>
      <w:r w:rsidRPr="003E3982">
        <w:t>–</w:t>
      </w:r>
      <w:r w:rsidRPr="003E3982">
        <w:tab/>
        <w:t>med beaktande av Europaparlamentets och rådets förordning (EG) nr 273/2004 av den 11 februari 2004</w:t>
      </w:r>
      <w:r w:rsidRPr="003E3982">
        <w:rPr>
          <w:rStyle w:val="FootnoteReference"/>
          <w:szCs w:val="24"/>
        </w:rPr>
        <w:footnoteReference w:id="1"/>
      </w:r>
      <w:r w:rsidRPr="003E3982">
        <w:t xml:space="preserve"> om narkotikaprekursorer, särskilt artiklarna 15 och 15a.5,</w:t>
      </w:r>
    </w:p>
    <w:p w:rsidR="000A793B" w:rsidRPr="003E3982" w:rsidRDefault="000A793B" w:rsidP="000A793B">
      <w:pPr>
        <w:pStyle w:val="NormalHanging12a"/>
      </w:pPr>
      <w:r w:rsidRPr="003E3982">
        <w:t>–</w:t>
      </w:r>
      <w:r w:rsidRPr="003E3982">
        <w:tab/>
        <w:t>med beaktande av rådets förordning (EG) nr 111/2005 av den 22 december 2004</w:t>
      </w:r>
      <w:r w:rsidRPr="003E3982">
        <w:rPr>
          <w:rStyle w:val="FootnoteReference"/>
        </w:rPr>
        <w:footnoteReference w:id="2"/>
      </w:r>
      <w:r w:rsidRPr="003E3982">
        <w:t xml:space="preserve"> om regler för övervakning av handeln med narkotikaprekursorer mellan unionen och tredjeländer, särskilt artiklarna 30a och 30b.5,</w:t>
      </w:r>
    </w:p>
    <w:p w:rsidR="000A793B" w:rsidRPr="003E3982" w:rsidRDefault="000A793B" w:rsidP="000A793B">
      <w:pPr>
        <w:pStyle w:val="NormalHanging12a"/>
      </w:pPr>
      <w:r w:rsidRPr="003E3982">
        <w:t>–</w:t>
      </w:r>
      <w:r w:rsidRPr="003E3982">
        <w:tab/>
        <w:t>med beaktande av artikel 111.6 i arbetsordningen,</w:t>
      </w:r>
    </w:p>
    <w:p w:rsidR="000A793B" w:rsidRPr="003E3982" w:rsidRDefault="000A793B" w:rsidP="000A793B">
      <w:pPr>
        <w:pStyle w:val="NormalHanging12a"/>
      </w:pPr>
      <w:r w:rsidRPr="003E3982">
        <w:t>–</w:t>
      </w:r>
      <w:r w:rsidRPr="003E3982">
        <w:tab/>
        <w:t>med beaktande av rekommendationen till beslut från utskottet för medborgerliga fri- och rättigheter samt rättsliga och inrikes frågor</w:t>
      </w:r>
      <w:r w:rsidR="00A7473F" w:rsidRPr="003E3982">
        <w:t>,</w:t>
      </w:r>
    </w:p>
    <w:p w:rsidR="00A7473F" w:rsidRPr="003E3982" w:rsidRDefault="00A7473F" w:rsidP="00A7473F">
      <w:pPr>
        <w:pStyle w:val="NormalHanging12a"/>
      </w:pPr>
      <w:r w:rsidRPr="003E3982">
        <w:t>–</w:t>
      </w:r>
      <w:r w:rsidRPr="003E3982">
        <w:tab/>
        <w:t xml:space="preserve">med beaktande av att ingen invändning har gjorts inom den tidsfrist som anges i artikel </w:t>
      </w:r>
      <w:r w:rsidRPr="003E3982">
        <w:lastRenderedPageBreak/>
        <w:t>111.6 tredje och fjärde strecksatserna i arbetsordningen, som löpte ut den 23 april 2024, och av följande skäl:</w:t>
      </w:r>
    </w:p>
    <w:p w:rsidR="000A793B" w:rsidRPr="003E3982" w:rsidRDefault="000A793B" w:rsidP="000A793B">
      <w:pPr>
        <w:pStyle w:val="NormalHanging12a"/>
      </w:pPr>
      <w:r w:rsidRPr="003E3982">
        <w:t>A.</w:t>
      </w:r>
      <w:r w:rsidRPr="003E3982">
        <w:tab/>
        <w:t>EU:s rättsliga ram för åtgärder för att kontrollera tillgången till ämnen som används vid framställning av olaglig narkotika måste uppdateras kontinuerligt för att motverka spridningen av så kallade designade prekursorer, som är nära besläktade med traditionella narkotikaprekursorer och som skapats för att kringgå befintliga regler.</w:t>
      </w:r>
    </w:p>
    <w:p w:rsidR="000A793B" w:rsidRPr="003E3982" w:rsidRDefault="000A793B" w:rsidP="000A793B">
      <w:pPr>
        <w:pStyle w:val="ManualConsidrant"/>
        <w:ind w:left="567" w:hanging="567"/>
        <w:jc w:val="left"/>
        <w:rPr>
          <w:noProof/>
        </w:rPr>
      </w:pPr>
      <w:r w:rsidRPr="003E3982">
        <w:t>B.</w:t>
      </w:r>
      <w:r w:rsidRPr="003E3982">
        <w:tab/>
        <w:t>Natriumsalt av isopropyliden (2-(3,4-metylendioxifenyl)acetyl)malonat (IMDPAM) har identifierats som en nyutvecklad narkotikaprekursor som används för att framställa 3,4</w:t>
      </w:r>
      <w:r w:rsidRPr="003E3982">
        <w:noBreakHyphen/>
        <w:t>metylendioximetamfetamin (MDMA), vanligen kallat ecstasy.</w:t>
      </w:r>
    </w:p>
    <w:p w:rsidR="000A793B" w:rsidRPr="003E3982" w:rsidRDefault="000A793B" w:rsidP="000A793B">
      <w:pPr>
        <w:pStyle w:val="ManualConsidrant"/>
        <w:ind w:left="567" w:hanging="567"/>
        <w:jc w:val="left"/>
        <w:rPr>
          <w:noProof/>
        </w:rPr>
      </w:pPr>
      <w:r w:rsidRPr="003E3982">
        <w:t>C.</w:t>
      </w:r>
      <w:r w:rsidRPr="003E3982">
        <w:tab/>
        <w:t>Sju estrar av 2-metyl-3-fenyloxiran-2-karboxylsyra (BMK-glycidsyra) och sex estrar av 3-(1,3-bensodioxol-5-yl)-2-metyloxiran-2-karboxylsyra (PMK-glycidsyra) har identifierats som möjliga substitut för BMK-glycidsyra och PMK-glycidsyra – vilka är kontrollerade prekursorer enligt EU-rätten – vid framställning av olaglig narkotika såsom MDMA, metamfetamin och amfetamin.</w:t>
      </w:r>
    </w:p>
    <w:p w:rsidR="000A793B" w:rsidRPr="003E3982" w:rsidRDefault="000A793B" w:rsidP="000A793B">
      <w:pPr>
        <w:pStyle w:val="ManualConsidrant"/>
        <w:ind w:left="567" w:hanging="567"/>
        <w:jc w:val="left"/>
        <w:rPr>
          <w:noProof/>
        </w:rPr>
      </w:pPr>
      <w:r w:rsidRPr="003E3982">
        <w:t>D.</w:t>
      </w:r>
      <w:r w:rsidRPr="003E3982">
        <w:tab/>
        <w:t>Det är nödvändigt att ändra förteckningen över förtecknade ämnen i bilaga I till förordning (EG) nr 273/2004 och bilagan till förordning (EG) nr 111/2005 så att IMDPAM och de identifierade estrarna av BMK-glycidsyra och PMK-glycidsyra blir föremål för de harmoniserade kontroll- och övervakningsåtgärder som föreskrivs i dessa förordningar.</w:t>
      </w:r>
    </w:p>
    <w:p w:rsidR="000A793B" w:rsidRPr="003E3982" w:rsidRDefault="000A793B" w:rsidP="000A793B">
      <w:pPr>
        <w:pStyle w:val="ManualConsidrant"/>
        <w:ind w:left="567" w:hanging="567"/>
        <w:jc w:val="left"/>
        <w:rPr>
          <w:noProof/>
        </w:rPr>
      </w:pPr>
      <w:r w:rsidRPr="003E3982">
        <w:t xml:space="preserve">E. </w:t>
      </w:r>
      <w:r w:rsidRPr="003E3982">
        <w:tab/>
        <w:t>Åtgärder för att kontrollera tillgången till nyligen förtecknade ämnen enligt förordningarna (EG) nr 273/2004 och (EG) nr 111/2005 bör träda i kraft så snart som möjligt för att förhindra att dessa narkotikaprekursorer används för framställning och utsläppande på marknaden av olaglig narkotika.</w:t>
      </w:r>
    </w:p>
    <w:p w:rsidR="000A793B" w:rsidRPr="003E3982" w:rsidRDefault="000A793B" w:rsidP="000A793B">
      <w:pPr>
        <w:pStyle w:val="ManualConsidrant"/>
        <w:spacing w:after="240"/>
        <w:ind w:left="567" w:hanging="567"/>
        <w:jc w:val="left"/>
        <w:rPr>
          <w:spacing w:val="-2"/>
          <w:szCs w:val="24"/>
        </w:rPr>
      </w:pPr>
      <w:r w:rsidRPr="003E3982">
        <w:t>F.</w:t>
      </w:r>
      <w:r w:rsidRPr="003E3982">
        <w:tab/>
        <w:t>I EU:s färdplan för att bekämpa narkotikahandel och organiserad brottslighet (COM(2023)0641) åtog sig kommissionen att i samarbete med parlamentet och rådet göra allt för att påskynda förfarandet för antagande av framtida delegerade akter där ytterligare ämnen upptas i förteckningarna enligt förordningarna (EG) nr 273/2004 och (EG)</w:t>
      </w:r>
      <w:r w:rsidR="001E6208">
        <w:rPr>
          <w:noProof/>
        </w:rPr>
        <w:t xml:space="preserve"> </w:t>
      </w:r>
      <w:bookmarkStart w:id="7" w:name="_GoBack"/>
      <w:bookmarkEnd w:id="7"/>
      <w:r w:rsidR="001E6208">
        <w:rPr>
          <w:noProof/>
        </w:rPr>
        <w:t>nr 111/2005</w:t>
      </w:r>
      <w:r w:rsidRPr="003E3982">
        <w:t>.</w:t>
      </w:r>
    </w:p>
    <w:p w:rsidR="000A793B" w:rsidRPr="003E3982" w:rsidRDefault="000A793B" w:rsidP="000A793B">
      <w:pPr>
        <w:pStyle w:val="NormalHanging12a"/>
      </w:pPr>
      <w:r w:rsidRPr="003E3982">
        <w:t>1.</w:t>
      </w:r>
      <w:r w:rsidRPr="003E3982">
        <w:tab/>
        <w:t>Europaparlamentet tillkännager att det inte invänder mot den delegerade förordningen.</w:t>
      </w:r>
    </w:p>
    <w:p w:rsidR="000A793B" w:rsidRPr="003E3982" w:rsidRDefault="000A793B" w:rsidP="000A793B">
      <w:pPr>
        <w:pStyle w:val="NormalHanging12a"/>
      </w:pPr>
      <w:r w:rsidRPr="003E3982">
        <w:t>2.</w:t>
      </w:r>
      <w:r w:rsidRPr="003E3982">
        <w:tab/>
        <w:t>Europaparlamentet uppdrar åt talmannen att översända detta beslut till rådet och kommissionen.</w:t>
      </w:r>
    </w:p>
    <w:p w:rsidR="00E365E1" w:rsidRPr="003E3982" w:rsidRDefault="00E365E1" w:rsidP="00686A67">
      <w:bookmarkStart w:id="8" w:name="TextBodyEnd"/>
      <w:bookmarkEnd w:id="8"/>
    </w:p>
    <w:sectPr w:rsidR="00E365E1" w:rsidRPr="003E3982" w:rsidSect="002A4B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A67" w:rsidRPr="002A4BD0" w:rsidRDefault="00686A67">
      <w:r w:rsidRPr="002A4BD0">
        <w:separator/>
      </w:r>
    </w:p>
  </w:endnote>
  <w:endnote w:type="continuationSeparator" w:id="0">
    <w:p w:rsidR="00686A67" w:rsidRPr="002A4BD0" w:rsidRDefault="00686A67">
      <w:r w:rsidRPr="002A4B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B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B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B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A67" w:rsidRPr="002A4BD0" w:rsidRDefault="00686A67">
      <w:r w:rsidRPr="002A4BD0">
        <w:separator/>
      </w:r>
    </w:p>
  </w:footnote>
  <w:footnote w:type="continuationSeparator" w:id="0">
    <w:p w:rsidR="00686A67" w:rsidRPr="002A4BD0" w:rsidRDefault="00686A67">
      <w:r w:rsidRPr="002A4BD0">
        <w:continuationSeparator/>
      </w:r>
    </w:p>
  </w:footnote>
  <w:footnote w:id="1">
    <w:p w:rsidR="000A793B" w:rsidRPr="003E3982" w:rsidRDefault="000A793B" w:rsidP="002A4BD0">
      <w:pPr>
        <w:pStyle w:val="FootnoteText"/>
        <w:ind w:left="567" w:hanging="567"/>
        <w:rPr>
          <w:sz w:val="24"/>
        </w:rPr>
      </w:pPr>
      <w:r w:rsidRPr="002A4BD0">
        <w:rPr>
          <w:rStyle w:val="FootnoteReference"/>
          <w:sz w:val="24"/>
          <w:lang w:val="sv-SE"/>
        </w:rPr>
        <w:footnoteRef/>
      </w:r>
      <w:r w:rsidR="002A4BD0" w:rsidRPr="003E3982">
        <w:rPr>
          <w:sz w:val="24"/>
        </w:rPr>
        <w:t xml:space="preserve"> </w:t>
      </w:r>
      <w:r w:rsidR="002A4BD0" w:rsidRPr="003E3982">
        <w:rPr>
          <w:sz w:val="24"/>
        </w:rPr>
        <w:tab/>
      </w:r>
      <w:r w:rsidRPr="003E3982">
        <w:rPr>
          <w:sz w:val="24"/>
        </w:rPr>
        <w:t>EUT L 47, 18.2.2004, s. 1.</w:t>
      </w:r>
    </w:p>
  </w:footnote>
  <w:footnote w:id="2">
    <w:p w:rsidR="000A793B" w:rsidRPr="003E3982" w:rsidRDefault="000A793B" w:rsidP="002A4BD0">
      <w:pPr>
        <w:pStyle w:val="FootnoteText"/>
        <w:ind w:left="567" w:hanging="567"/>
        <w:rPr>
          <w:sz w:val="24"/>
        </w:rPr>
      </w:pPr>
      <w:r w:rsidRPr="002A4BD0">
        <w:rPr>
          <w:rStyle w:val="FootnoteReference"/>
          <w:sz w:val="24"/>
          <w:lang w:val="sv-SE"/>
        </w:rPr>
        <w:footnoteRef/>
      </w:r>
      <w:r w:rsidR="002A4BD0" w:rsidRPr="003E3982">
        <w:rPr>
          <w:sz w:val="24"/>
        </w:rPr>
        <w:t xml:space="preserve"> </w:t>
      </w:r>
      <w:r w:rsidR="002A4BD0" w:rsidRPr="003E3982">
        <w:rPr>
          <w:sz w:val="24"/>
        </w:rPr>
        <w:tab/>
      </w:r>
      <w:r w:rsidRPr="003E3982">
        <w:rPr>
          <w:sz w:val="24"/>
        </w:rPr>
        <w:t>EUT L 22, 26.1.2005,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B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B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A4B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SV"/>
    <w:docVar w:name="dvnumam" w:val="0"/>
    <w:docVar w:name="dvpe" w:val="760.991"/>
    <w:docVar w:name="dvtitre" w:val="Europaparlamentets resolution av den xx xx 2024 om att inte invända mot kommissionens delegerade förordning av den 28 februari 2024 om ändring av Europaparlamentets och rådets förordning (EG) nr 273/2004 och rådets förordning (EG) nr 111/2005 vad gäller införande av narkotikaprekursorn isopropyliden (2-(3,4-metylendioxifenyl)acetyl)malonat (IMDPAM) och andra ämnen i förteckningen över förtecknade ämnen(C(2024)01219 - 2024/2606(DEA))"/>
  </w:docVars>
  <w:rsids>
    <w:rsidRoot w:val="00686A67"/>
    <w:rsid w:val="00002272"/>
    <w:rsid w:val="00064002"/>
    <w:rsid w:val="000677B9"/>
    <w:rsid w:val="000831BA"/>
    <w:rsid w:val="000A42CC"/>
    <w:rsid w:val="000A793B"/>
    <w:rsid w:val="000E7DD9"/>
    <w:rsid w:val="0010095E"/>
    <w:rsid w:val="00125B37"/>
    <w:rsid w:val="00187494"/>
    <w:rsid w:val="001E6208"/>
    <w:rsid w:val="001F32AE"/>
    <w:rsid w:val="002767FF"/>
    <w:rsid w:val="002A4BD0"/>
    <w:rsid w:val="002B18FE"/>
    <w:rsid w:val="002B5493"/>
    <w:rsid w:val="00343214"/>
    <w:rsid w:val="00361C00"/>
    <w:rsid w:val="00395FA1"/>
    <w:rsid w:val="003E15D4"/>
    <w:rsid w:val="003E398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6A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73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265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F789A"/>
  <w15:chartTrackingRefBased/>
  <w15:docId w15:val="{4101CA88-50B9-4F15-9FF8-D6B2F5F1E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793B"/>
    <w:pPr>
      <w:spacing w:before="480" w:after="240"/>
    </w:pPr>
  </w:style>
  <w:style w:type="paragraph" w:customStyle="1" w:styleId="NormalBold">
    <w:name w:val="NormalBold"/>
    <w:basedOn w:val="Normal"/>
    <w:rsid w:val="000A793B"/>
    <w:rPr>
      <w:b/>
    </w:rPr>
  </w:style>
  <w:style w:type="paragraph" w:customStyle="1" w:styleId="NormalBold12a">
    <w:name w:val="NormalBold12a"/>
    <w:basedOn w:val="Normal"/>
    <w:rsid w:val="000A793B"/>
    <w:pPr>
      <w:spacing w:after="240"/>
    </w:pPr>
    <w:rPr>
      <w:b/>
    </w:rPr>
  </w:style>
  <w:style w:type="paragraph" w:customStyle="1" w:styleId="NormalHanging12a">
    <w:name w:val="NormalHanging12a"/>
    <w:basedOn w:val="Normal"/>
    <w:rsid w:val="000A793B"/>
    <w:pPr>
      <w:spacing w:after="240"/>
      <w:ind w:left="567" w:hanging="567"/>
    </w:pPr>
  </w:style>
  <w:style w:type="paragraph" w:customStyle="1" w:styleId="ManualConsidrant">
    <w:name w:val="Manual Considérant"/>
    <w:basedOn w:val="Normal"/>
    <w:rsid w:val="000A793B"/>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A7473F"/>
    <w:rPr>
      <w:rFonts w:ascii="Segoe UI" w:hAnsi="Segoe UI" w:cs="Segoe UI"/>
      <w:sz w:val="18"/>
      <w:szCs w:val="18"/>
    </w:rPr>
  </w:style>
  <w:style w:type="character" w:customStyle="1" w:styleId="BalloonTextChar">
    <w:name w:val="Balloon Text Char"/>
    <w:basedOn w:val="DefaultParagraphFont"/>
    <w:link w:val="BalloonText"/>
    <w:rsid w:val="00A7473F"/>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8BCD4-7859-4C3D-8BDD-CCAA15D6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3626</Characters>
  <Application>Microsoft Office Word</Application>
  <DocSecurity>0</DocSecurity>
  <Lines>78</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2024-06-13T14:34:00Z</dcterms:created>
  <dcterms:modified xsi:type="dcterms:W3CDTF">2024-06-13T14:34:00Z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B9-0213/2024</vt:lpwstr>
  </property>
  <property fmtid="{D5CDD505-2E9C-101B-9397-08002B2CF9AE}" pid="4" name="&lt;Type&gt;">
    <vt:lpwstr>RR</vt:lpwstr>
  </property>
</Properties>
</file>