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4E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4E2F" w:rsidRDefault="001448A6" w:rsidP="0010095E">
            <w:pPr>
              <w:pStyle w:val="EPName"/>
            </w:pPr>
            <w:r w:rsidRPr="005E4E2F">
              <w:t>Европейски</w:t>
            </w:r>
            <w:r w:rsidR="00DD0F20" w:rsidRPr="005E4E2F">
              <w:t xml:space="preserve"> парламент</w:t>
            </w:r>
          </w:p>
          <w:p w:rsidR="00751A4A" w:rsidRPr="005E4E2F" w:rsidRDefault="001448A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5E4E2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E4E2F" w:rsidRDefault="00187494" w:rsidP="0010095E">
            <w:pPr>
              <w:pStyle w:val="EPLogo"/>
            </w:pPr>
            <w:r w:rsidRPr="005E4E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4E2F" w:rsidRDefault="00D058B8" w:rsidP="004C5D52">
      <w:pPr>
        <w:pStyle w:val="LineTop"/>
      </w:pPr>
    </w:p>
    <w:p w:rsidR="00680577" w:rsidRPr="005E4E2F" w:rsidRDefault="00DD0F20" w:rsidP="00680577">
      <w:pPr>
        <w:pStyle w:val="EPBodyTA1"/>
      </w:pPr>
      <w:r w:rsidRPr="005E4E2F">
        <w:t>ПРИЕТИ ТЕКСТОВЕ</w:t>
      </w:r>
    </w:p>
    <w:p w:rsidR="00D058B8" w:rsidRPr="005E4E2F" w:rsidRDefault="00D058B8" w:rsidP="00D058B8">
      <w:pPr>
        <w:pStyle w:val="LineBottom"/>
      </w:pPr>
    </w:p>
    <w:p w:rsidR="00DD0F20" w:rsidRPr="005E4E2F" w:rsidRDefault="00DD0F20" w:rsidP="00DD0F20">
      <w:pPr>
        <w:pStyle w:val="ATHeading1"/>
      </w:pPr>
      <w:bookmarkStart w:id="0" w:name="TANumber"/>
      <w:r w:rsidRPr="005E4E2F">
        <w:t>P9_TA(2024)0</w:t>
      </w:r>
      <w:r w:rsidR="006E7065">
        <w:t>316</w:t>
      </w:r>
      <w:bookmarkEnd w:id="0"/>
    </w:p>
    <w:p w:rsidR="00DD0F20" w:rsidRPr="005E4E2F" w:rsidRDefault="001448A6" w:rsidP="00DD0F20">
      <w:pPr>
        <w:pStyle w:val="ATHeading2"/>
      </w:pPr>
      <w:bookmarkStart w:id="1" w:name="title"/>
      <w:r w:rsidRPr="001448A6">
        <w:t>Представяне на възражения срещу делегиран акт</w:t>
      </w:r>
      <w:r w:rsidR="00DD0F20" w:rsidRPr="005E4E2F">
        <w:t>: Нови храни - определението на „специално създадени наноматериали“</w:t>
      </w:r>
      <w:bookmarkEnd w:id="1"/>
    </w:p>
    <w:p w:rsidR="00DD0F20" w:rsidRPr="005E4E2F" w:rsidRDefault="00DD0F20" w:rsidP="00DD0F20">
      <w:pPr>
        <w:rPr>
          <w:i/>
          <w:vanish/>
        </w:rPr>
      </w:pPr>
      <w:r w:rsidRPr="005E4E2F">
        <w:rPr>
          <w:i/>
        </w:rPr>
        <w:fldChar w:fldCharType="begin"/>
      </w:r>
      <w:r w:rsidRPr="005E4E2F">
        <w:rPr>
          <w:i/>
        </w:rPr>
        <w:instrText xml:space="preserve"> TC"(</w:instrText>
      </w:r>
      <w:bookmarkStart w:id="2" w:name="DocNumber"/>
      <w:r w:rsidRPr="005E4E2F">
        <w:rPr>
          <w:i/>
        </w:rPr>
        <w:instrText>B9-0225/2024</w:instrText>
      </w:r>
      <w:bookmarkEnd w:id="2"/>
      <w:r w:rsidRPr="005E4E2F">
        <w:rPr>
          <w:i/>
        </w:rPr>
        <w:instrText xml:space="preserve">)"\l3 \n&gt; \* MERGEFORMAT </w:instrText>
      </w:r>
      <w:r w:rsidRPr="005E4E2F">
        <w:rPr>
          <w:i/>
        </w:rPr>
        <w:fldChar w:fldCharType="end"/>
      </w:r>
    </w:p>
    <w:p w:rsidR="00DD0F20" w:rsidRPr="005E4E2F" w:rsidRDefault="00DD0F20" w:rsidP="00DD0F20">
      <w:pPr>
        <w:rPr>
          <w:vanish/>
        </w:rPr>
      </w:pPr>
      <w:bookmarkStart w:id="3" w:name="PE"/>
      <w:r w:rsidRPr="005E4E2F">
        <w:rPr>
          <w:vanish/>
        </w:rPr>
        <w:t>PE760.689</w:t>
      </w:r>
      <w:bookmarkEnd w:id="3"/>
    </w:p>
    <w:p w:rsidR="00DD0F20" w:rsidRPr="005E4E2F" w:rsidRDefault="00DD0F20" w:rsidP="001448A6">
      <w:pPr>
        <w:pStyle w:val="ATHeading3"/>
      </w:pPr>
      <w:bookmarkStart w:id="4" w:name="Sujet"/>
      <w:r w:rsidRPr="005E4E2F">
        <w:t xml:space="preserve">Резолюция на Европейския парламент от </w:t>
      </w:r>
      <w:r w:rsidR="001448A6">
        <w:t>24 април</w:t>
      </w:r>
      <w:r w:rsidR="001448A6" w:rsidRPr="005E4E2F">
        <w:t xml:space="preserve"> </w:t>
      </w:r>
      <w:r w:rsidRPr="005E4E2F">
        <w:t xml:space="preserve">2024 г. относно делегирания регламент на Комисията </w:t>
      </w:r>
      <w:r w:rsidR="001448A6">
        <w:t xml:space="preserve">от 14 март 2024 г. за изменение на Регламент </w:t>
      </w:r>
      <w:r w:rsidRPr="005E4E2F">
        <w:t>(ЕС) 2015/2283 на Европейския парламент и на Съвета относно новите храни по отношение на определението за „специално създадени наноматериали“</w:t>
      </w:r>
      <w:bookmarkEnd w:id="4"/>
      <w:r w:rsidRPr="005E4E2F">
        <w:t xml:space="preserve"> </w:t>
      </w:r>
      <w:bookmarkStart w:id="5" w:name="References"/>
      <w:r w:rsidRPr="005E4E2F">
        <w:t>(C(2024)01612 – 2024/2691(DEA))</w:t>
      </w:r>
      <w:bookmarkEnd w:id="5"/>
    </w:p>
    <w:p w:rsidR="00CB3613" w:rsidRPr="005E4E2F" w:rsidRDefault="00CB3613" w:rsidP="00CB3613">
      <w:pPr>
        <w:pStyle w:val="EPComma"/>
      </w:pPr>
      <w:bookmarkStart w:id="6" w:name="TextBodyBegin"/>
      <w:bookmarkEnd w:id="6"/>
      <w:r w:rsidRPr="005E4E2F">
        <w:rPr>
          <w:i/>
        </w:rPr>
        <w:t>Европейският парламент</w:t>
      </w:r>
      <w:r w:rsidRPr="005E4E2F">
        <w:t>,</w:t>
      </w:r>
    </w:p>
    <w:p w:rsidR="00CB3613" w:rsidRPr="005E4E2F" w:rsidRDefault="00CB3613" w:rsidP="00CB3613">
      <w:pPr>
        <w:pStyle w:val="NormalHanging12a"/>
      </w:pPr>
      <w:r w:rsidRPr="005E4E2F">
        <w:t>–</w:t>
      </w:r>
      <w:r w:rsidRPr="005E4E2F">
        <w:tab/>
        <w:t xml:space="preserve">като взе предвид делегирания регламент на Комисията </w:t>
      </w:r>
      <w:r w:rsidR="00A477D1">
        <w:t xml:space="preserve">от 14 март 2024 г. </w:t>
      </w:r>
      <w:bookmarkStart w:id="7" w:name="_GoBack"/>
      <w:bookmarkEnd w:id="7"/>
      <w:r w:rsidRPr="005E4E2F">
        <w:t>за изменение на Регламент (ЕС) 2015/2283 на Европейския парламент и на Съвета относно новите храни по отношение на определението за „специално създадени наноматериали“ (C(2024)01612),</w:t>
      </w:r>
    </w:p>
    <w:p w:rsidR="00CB3613" w:rsidRPr="005E4E2F" w:rsidRDefault="00CB3613" w:rsidP="00CB3613">
      <w:pPr>
        <w:pStyle w:val="NormalHanging12a"/>
      </w:pPr>
      <w:r w:rsidRPr="005E4E2F">
        <w:t>–</w:t>
      </w:r>
      <w:r w:rsidRPr="005E4E2F">
        <w:tab/>
        <w:t>като взе предвид член 290 от Договора за функционирането на Европейския съюз (ДФЕС),</w:t>
      </w:r>
    </w:p>
    <w:p w:rsidR="00CB3613" w:rsidRPr="005E4E2F" w:rsidRDefault="00CB3613" w:rsidP="00CB3613">
      <w:pPr>
        <w:pStyle w:val="NormalHanging12a"/>
        <w:rPr>
          <w:noProof/>
        </w:rPr>
      </w:pPr>
      <w:r w:rsidRPr="005E4E2F">
        <w:t>–</w:t>
      </w:r>
      <w:r w:rsidRPr="005E4E2F">
        <w:tab/>
        <w:t>като взе предвид Регламент (ЕС) 2015/2283 на Европейския парламент и на Съвета от 25 ноември 2015 г. относно новите храни, за изменение на Регламент (ЕС) № 1169/2011 на Европейския парламент и на Съвета и за отмяна на Регламент (ЕО) № 258/97 на Европейския парламент и на Съвета и на Регламент (ЕО) № 1852/2001 на Комисията</w:t>
      </w:r>
      <w:r w:rsidRPr="005E4E2F">
        <w:rPr>
          <w:rStyle w:val="FootnoteReference"/>
          <w:noProof/>
          <w:color w:val="000000"/>
          <w:szCs w:val="24"/>
        </w:rPr>
        <w:footnoteReference w:id="1"/>
      </w:r>
      <w:r w:rsidRPr="005E4E2F">
        <w:t>, и по-специално член 31 и член 32, параграф 6 от него,</w:t>
      </w:r>
    </w:p>
    <w:p w:rsidR="00CB3613" w:rsidRPr="005E4E2F" w:rsidRDefault="00CB3613" w:rsidP="00CB3613">
      <w:pPr>
        <w:pStyle w:val="NormalHanging12a"/>
      </w:pPr>
      <w:r w:rsidRPr="005E4E2F">
        <w:t>–</w:t>
      </w:r>
      <w:r w:rsidRPr="005E4E2F">
        <w:tab/>
        <w:t>като взе предвид Регламент (ЕС) № 1169/2011 на Европейския парламент и на Съвета от 25 октомври 2011 г. за предоставянето на информация за храните на потребителите, за изменение на регламенти (ЕО) № 1924/2006 и (ЕО) № 1925/2006 на Европейския парламент и на Съвета и за отмяна на Директива 87/250/ЕИО на Комисията, Директива 90/496/ЕИО на Съвета, Директива 1999/10/ЕО на Комисията, Директива 2000/13/ЕО на Европейския парламент и на Съвета, директиви 2002/67/ЕО и 2008/5/ЕО на Комисията и на Регламент (ЕО) № 608/2004 на Комисията</w:t>
      </w:r>
      <w:r w:rsidRPr="005E4E2F">
        <w:rPr>
          <w:rStyle w:val="FootnoteReference"/>
          <w:noProof/>
          <w:color w:val="000000"/>
          <w:szCs w:val="24"/>
        </w:rPr>
        <w:footnoteReference w:id="2"/>
      </w:r>
      <w:r w:rsidRPr="005E4E2F">
        <w:t>, и по-специално член 18, параграф 3 от него,</w:t>
      </w:r>
    </w:p>
    <w:p w:rsidR="00CB3613" w:rsidRPr="005E4E2F" w:rsidRDefault="00CB3613" w:rsidP="00CB3613">
      <w:pPr>
        <w:pStyle w:val="NormalHanging12a"/>
      </w:pPr>
      <w:r w:rsidRPr="005E4E2F">
        <w:t>–</w:t>
      </w:r>
      <w:r w:rsidRPr="005E4E2F">
        <w:tab/>
        <w:t xml:space="preserve">като взе предвид Регламент (ЕО) № 1333/2008 на Европейския парламент и на </w:t>
      </w:r>
      <w:r w:rsidRPr="005E4E2F">
        <w:lastRenderedPageBreak/>
        <w:t>Съвета от 16 декември 2008 г. относно добавките в храните</w:t>
      </w:r>
      <w:r w:rsidRPr="005E4E2F">
        <w:rPr>
          <w:rStyle w:val="FootnoteReference"/>
          <w:color w:val="000000"/>
          <w:szCs w:val="24"/>
        </w:rPr>
        <w:footnoteReference w:id="3"/>
      </w:r>
      <w:r w:rsidRPr="005E4E2F">
        <w:t>,</w:t>
      </w:r>
    </w:p>
    <w:p w:rsidR="00CB3613" w:rsidRPr="005E4E2F" w:rsidRDefault="00CB3613" w:rsidP="00CB3613">
      <w:pPr>
        <w:pStyle w:val="NormalHanging12a"/>
      </w:pPr>
      <w:r w:rsidRPr="005E4E2F">
        <w:t>–</w:t>
      </w:r>
      <w:r w:rsidRPr="005E4E2F">
        <w:tab/>
        <w:t>като взе предвид списъците на Съюза, установени с Регламент (ЕС) № 1129/2011 на Комисията от 11 ноември 2011 г. за изменение на приложение II към Регламент (ЕО) № 1333/2008 на Европейския парламент и на Съвета посредством създаване на списък на Съюза на добавките в храните</w:t>
      </w:r>
      <w:r w:rsidRPr="005E4E2F">
        <w:rPr>
          <w:rStyle w:val="FootnoteReference"/>
          <w:color w:val="000000"/>
          <w:szCs w:val="24"/>
        </w:rPr>
        <w:footnoteReference w:id="4"/>
      </w:r>
      <w:r w:rsidRPr="005E4E2F">
        <w:t xml:space="preserve"> и Регламент (ЕС) № 1130/2011 на Комисията от 11 ноември 2011 г. за изменение на приложение III към Регламент (ЕО) № 1333/2008 на Европейския парламент и на Съвета относно добавките в храните посредством създаване на списък на Съюза на добавките в храните, одобрени за употреба в добавки в храните, ензими в храните, ароматизанти в храните и хранителни вещества</w:t>
      </w:r>
      <w:r w:rsidRPr="005E4E2F">
        <w:rPr>
          <w:rStyle w:val="FootnoteReference"/>
          <w:color w:val="000000"/>
          <w:szCs w:val="24"/>
        </w:rPr>
        <w:footnoteReference w:id="5"/>
      </w:r>
      <w:r w:rsidRPr="005E4E2F">
        <w:t>,</w:t>
      </w:r>
    </w:p>
    <w:p w:rsidR="00CB3613" w:rsidRPr="005E4E2F" w:rsidRDefault="00CB3613" w:rsidP="00CB3613">
      <w:pPr>
        <w:pStyle w:val="NormalHanging12a"/>
      </w:pPr>
      <w:r w:rsidRPr="005E4E2F">
        <w:t>–</w:t>
      </w:r>
      <w:r w:rsidRPr="005E4E2F">
        <w:tab/>
        <w:t>като взе предвид Регламент (ЕС) № 257/2010 на Комисията от 25 март 2010 г. за създаване на програма за новата оценка на одобрените добавки в храните в съответствие с Регламент (ЕО) № 1333/2008 на Европейския парламент и на Съвета относно добавките в храните</w:t>
      </w:r>
      <w:r w:rsidRPr="005E4E2F">
        <w:rPr>
          <w:rStyle w:val="FootnoteReference"/>
          <w:color w:val="000000"/>
          <w:szCs w:val="24"/>
        </w:rPr>
        <w:footnoteReference w:id="6"/>
      </w:r>
      <w:r w:rsidRPr="005E4E2F">
        <w:t>,</w:t>
      </w:r>
    </w:p>
    <w:p w:rsidR="00CB3613" w:rsidRPr="005E4E2F" w:rsidRDefault="00CB3613" w:rsidP="00CB3613">
      <w:pPr>
        <w:pStyle w:val="NormalHanging12a"/>
      </w:pPr>
      <w:r w:rsidRPr="005E4E2F">
        <w:t>–</w:t>
      </w:r>
      <w:r w:rsidRPr="005E4E2F">
        <w:tab/>
        <w:t>като взе предвид член 111, параграф 3 от своя Правилник за дейността,</w:t>
      </w:r>
    </w:p>
    <w:p w:rsidR="00CB3613" w:rsidRPr="005E4E2F" w:rsidRDefault="00CB3613" w:rsidP="00CB3613">
      <w:pPr>
        <w:pStyle w:val="NormalHanging12a"/>
      </w:pPr>
      <w:r w:rsidRPr="005E4E2F">
        <w:t>–</w:t>
      </w:r>
      <w:r w:rsidRPr="005E4E2F">
        <w:tab/>
        <w:t>като взе предвид предложението за резолюция на комисията по околна среда, обществено здраве и безопасност на храните,</w:t>
      </w:r>
    </w:p>
    <w:p w:rsidR="00CB3613" w:rsidRPr="005E4E2F" w:rsidRDefault="00CB3613" w:rsidP="00CB3613">
      <w:pPr>
        <w:pStyle w:val="NormalHanging12a"/>
      </w:pPr>
      <w:r w:rsidRPr="005E4E2F">
        <w:t>А.</w:t>
      </w:r>
      <w:r w:rsidRPr="005E4E2F">
        <w:tab/>
        <w:t>като има предвид, че в член 18, параграф 3 от Регламент (ЕС) № 1169/2011 се предвижда, че всички хранителни съставки, които се съдържат под формата на специално създадени наноматериали, трябва ясно да се обозначават в списъка на хранителните съставки, за да се осигури информация за потребителите; като има предвид, че съответно в Регламент (ЕС) № 1169/2011 се съдържа определение за „специално създадени наноматериали“, както е установено в член 3, параграф 2, буква е) от Регламент (ЕС) 2015/2283;</w:t>
      </w:r>
    </w:p>
    <w:p w:rsidR="00CB3613" w:rsidRPr="005E4E2F" w:rsidRDefault="00CB3613" w:rsidP="00CB3613">
      <w:pPr>
        <w:pStyle w:val="NormalHanging12a"/>
      </w:pPr>
      <w:r w:rsidRPr="005E4E2F">
        <w:t>Б.</w:t>
      </w:r>
      <w:r w:rsidRPr="005E4E2F">
        <w:tab/>
        <w:t>като има предвид, че член 31 от Регламент (ЕС) 2015/2283 оправомощава Комисията да коригира и адаптира посоченото в него определение за „специално създадени наноматериали“ във връзка с научно-техническия прогрес или с определенията, договорени на международно равнище, чрез делегирани актове, за да бъдат постигнати целите на посочения регламент;</w:t>
      </w:r>
    </w:p>
    <w:p w:rsidR="00CB3613" w:rsidRPr="005E4E2F" w:rsidRDefault="00CB3613" w:rsidP="00CB3613">
      <w:pPr>
        <w:pStyle w:val="NormalHanging12a"/>
      </w:pPr>
      <w:r w:rsidRPr="005E4E2F">
        <w:t>В.</w:t>
      </w:r>
      <w:r w:rsidRPr="005E4E2F">
        <w:tab/>
        <w:t>като има предвид, че изчерпателни списъци на Съюза бяха установени с Регламенти (ЕС) № 1129/2011 и (ЕС) № 1130/2011, като в тях се посочват добавките в храните, разрешени за употреба преди влизането в сила на Регламент (ЕО) № 1333/2008, след проверка на тяхното съответствие със съдържащите се в него разпоредби;</w:t>
      </w:r>
    </w:p>
    <w:p w:rsidR="00CB3613" w:rsidRPr="005E4E2F" w:rsidRDefault="00CB3613" w:rsidP="00CB3613">
      <w:pPr>
        <w:pStyle w:val="NormalHanging12a"/>
        <w:rPr>
          <w:i/>
        </w:rPr>
      </w:pPr>
      <w:r w:rsidRPr="005E4E2F">
        <w:rPr>
          <w:i/>
        </w:rPr>
        <w:t>Последици от определението</w:t>
      </w:r>
    </w:p>
    <w:p w:rsidR="00CB3613" w:rsidRPr="005E4E2F" w:rsidRDefault="00CB3613" w:rsidP="00CB3613">
      <w:pPr>
        <w:pStyle w:val="NormalHanging12a"/>
      </w:pPr>
      <w:r w:rsidRPr="005E4E2F">
        <w:t>Г.</w:t>
      </w:r>
      <w:r w:rsidRPr="005E4E2F">
        <w:tab/>
        <w:t xml:space="preserve">като има предвид, че определението в делегирания регламент на Комисията за „специално създаден наноматериал“ ще е от решаващо значение за това дали дадена храна трябва да бъде етикетирана като „[нано]“ в списъка на съставките, </w:t>
      </w:r>
      <w:r w:rsidRPr="005E4E2F">
        <w:lastRenderedPageBreak/>
        <w:t>посочен в член 18, параграф 3 от Регламент (ЕС) № 1169/2011;</w:t>
      </w:r>
    </w:p>
    <w:p w:rsidR="00CB3613" w:rsidRPr="005E4E2F" w:rsidRDefault="00CB3613" w:rsidP="00CB3613">
      <w:pPr>
        <w:pStyle w:val="NormalHanging12a"/>
      </w:pPr>
      <w:r w:rsidRPr="005E4E2F">
        <w:t>Д.</w:t>
      </w:r>
      <w:r w:rsidRPr="005E4E2F">
        <w:tab/>
        <w:t>като има предвид, че делегираният регламент на Комисията има за цел да предвиди мерки за решаване на въпросите, свързани с тълкуването, произтичащи от настоящото определение, като въведе обективни елементи, за да се определи дали даден наноматериал е „специално създаден“ или не, например чрез замяна на „специално произведен [материал]“ с „произведен“;</w:t>
      </w:r>
    </w:p>
    <w:p w:rsidR="00CB3613" w:rsidRPr="005E4E2F" w:rsidRDefault="00CB3613" w:rsidP="00CB3613">
      <w:pPr>
        <w:pStyle w:val="NormalHanging12a"/>
      </w:pPr>
      <w:r w:rsidRPr="005E4E2F">
        <w:t>Е.</w:t>
      </w:r>
      <w:r w:rsidRPr="005E4E2F">
        <w:tab/>
        <w:t>като има предвид, че делегираният регламент на Комисията не допуска частиците, които не са в твърдо състояние, например мицели, липозоми или капчици в наномащаб в емулсия, и съставки, съдържащи по-малко от 50% частици с размер под 100 nm, да се считат за наноматериали в храните;</w:t>
      </w:r>
    </w:p>
    <w:p w:rsidR="00CB3613" w:rsidRPr="005E4E2F" w:rsidRDefault="00CB3613" w:rsidP="00CB3613">
      <w:pPr>
        <w:pStyle w:val="NormalHanging12a"/>
      </w:pPr>
      <w:r w:rsidRPr="005E4E2F">
        <w:t>Ж.</w:t>
      </w:r>
      <w:r w:rsidRPr="005E4E2F">
        <w:tab/>
        <w:t>като има предвид, че предложената прагова стойност по подразбиране от 50% или повече частици в наномащаба е произволна и защитаваща в по-малка степен от тълкуването, дадено от някои държави членки, например Франция, на определението в Регламент (ЕС) 2015/2283; като има предвид, че в посочения регламент не се разглежда прагова стойност за разпределението по размер за частици под 100 nm;</w:t>
      </w:r>
    </w:p>
    <w:p w:rsidR="00CB3613" w:rsidRPr="005E4E2F" w:rsidRDefault="00CB3613" w:rsidP="001448A6">
      <w:pPr>
        <w:spacing w:after="240"/>
        <w:ind w:left="567" w:hanging="567"/>
        <w:rPr>
          <w:szCs w:val="24"/>
        </w:rPr>
      </w:pPr>
      <w:r w:rsidRPr="005E4E2F">
        <w:t>З.</w:t>
      </w:r>
      <w:r w:rsidRPr="005E4E2F">
        <w:tab/>
        <w:t>като има предвид, че предложеното определение евентуално ще изключи много нановещества от приложното поле на Регламент (ЕС) № 1169/2011, които следователно няма да са предмет на задължението за етикетиране с „[нано]“; като има предвид, че Комисията посочва в обяснителния си меморандум, точка 3, че „броят на материалите, използвани в храни, които могат да съдържат определена част от наночастици, е ограничен и повечето, ако не всички, не представляват нови материали“ и че „[с]ледователно потенциалното въздействие на делегирания акт ще засегне само много ограничен брой материали“;</w:t>
      </w:r>
    </w:p>
    <w:p w:rsidR="00CB3613" w:rsidRPr="005E4E2F" w:rsidRDefault="00CB3613" w:rsidP="001448A6">
      <w:pPr>
        <w:spacing w:after="240"/>
        <w:ind w:left="567" w:hanging="567"/>
        <w:rPr>
          <w:color w:val="0D0D0D"/>
          <w:szCs w:val="24"/>
        </w:rPr>
      </w:pPr>
      <w:r w:rsidRPr="005E4E2F">
        <w:t xml:space="preserve">И. </w:t>
      </w:r>
      <w:r w:rsidRPr="005E4E2F">
        <w:tab/>
        <w:t>като има предвид, че понастоящем именно добавките в храните могат да се съдържат като наноматериали в храните; като има предвид, че Френската национална агенция за здраве и безопасност (ANSES) е посочила 37 нановещества, използвани в над 900 хранителни продукти</w:t>
      </w:r>
      <w:r w:rsidRPr="005E4E2F">
        <w:rPr>
          <w:rStyle w:val="FootnoteReference"/>
          <w:szCs w:val="24"/>
        </w:rPr>
        <w:footnoteReference w:id="7"/>
      </w:r>
      <w:r w:rsidRPr="005E4E2F">
        <w:t>;</w:t>
      </w:r>
      <w:r w:rsidRPr="005E4E2F">
        <w:rPr>
          <w:color w:val="0D0D0D"/>
        </w:rPr>
        <w:t xml:space="preserve"> </w:t>
      </w:r>
      <w:r w:rsidRPr="005E4E2F">
        <w:t>като има предвид, че изпитванията, проведени от организации на потребителите и неправителствени организации (Agir pour l’Environnement</w:t>
      </w:r>
      <w:r w:rsidRPr="005E4E2F">
        <w:rPr>
          <w:rStyle w:val="FootnoteReference"/>
          <w:color w:val="0D0D0D"/>
          <w:szCs w:val="24"/>
        </w:rPr>
        <w:footnoteReference w:id="8"/>
      </w:r>
      <w:r w:rsidRPr="005E4E2F">
        <w:t>, Que Choisir</w:t>
      </w:r>
      <w:r w:rsidRPr="005E4E2F">
        <w:rPr>
          <w:rStyle w:val="FootnoteReference"/>
          <w:color w:val="0D0D0D"/>
          <w:szCs w:val="24"/>
        </w:rPr>
        <w:footnoteReference w:id="9"/>
      </w:r>
      <w:r w:rsidRPr="005E4E2F">
        <w:t>, 60 Millions de consommateurs</w:t>
      </w:r>
      <w:r w:rsidRPr="005E4E2F">
        <w:rPr>
          <w:rStyle w:val="FootnoteReference"/>
          <w:color w:val="0D0D0D"/>
          <w:szCs w:val="24"/>
        </w:rPr>
        <w:footnoteReference w:id="10"/>
      </w:r>
      <w:r w:rsidRPr="005E4E2F">
        <w:t>, AVICENN</w:t>
      </w:r>
      <w:r w:rsidRPr="005E4E2F">
        <w:rPr>
          <w:rStyle w:val="FootnoteReference"/>
          <w:color w:val="0D0D0D"/>
          <w:szCs w:val="24"/>
        </w:rPr>
        <w:footnoteReference w:id="11"/>
      </w:r>
      <w:r w:rsidRPr="005E4E2F">
        <w:t xml:space="preserve"> във Франция, Foodwatch</w:t>
      </w:r>
      <w:r w:rsidRPr="005E4E2F">
        <w:rPr>
          <w:rStyle w:val="FootnoteReference"/>
          <w:color w:val="0D0D0D"/>
          <w:szCs w:val="24"/>
        </w:rPr>
        <w:footnoteReference w:id="12"/>
      </w:r>
      <w:r w:rsidRPr="005E4E2F">
        <w:t xml:space="preserve"> и Bund</w:t>
      </w:r>
      <w:r w:rsidRPr="005E4E2F">
        <w:rPr>
          <w:rStyle w:val="FootnoteReference"/>
          <w:color w:val="0D0D0D"/>
          <w:szCs w:val="24"/>
        </w:rPr>
        <w:footnoteReference w:id="13"/>
      </w:r>
      <w:r w:rsidRPr="005E4E2F">
        <w:t xml:space="preserve"> в Германия, </w:t>
      </w:r>
      <w:r w:rsidRPr="005E4E2F">
        <w:lastRenderedPageBreak/>
        <w:t>Testachats</w:t>
      </w:r>
      <w:r w:rsidRPr="005E4E2F">
        <w:rPr>
          <w:rStyle w:val="FootnoteReference"/>
          <w:color w:val="0D0D0D"/>
          <w:szCs w:val="24"/>
        </w:rPr>
        <w:footnoteReference w:id="14"/>
      </w:r>
      <w:r w:rsidRPr="005E4E2F">
        <w:t xml:space="preserve"> в Белгия и Altroconsumo</w:t>
      </w:r>
      <w:r w:rsidRPr="005E4E2F">
        <w:rPr>
          <w:rStyle w:val="FootnoteReference"/>
          <w:color w:val="0D0D0D"/>
          <w:szCs w:val="24"/>
        </w:rPr>
        <w:footnoteReference w:id="15"/>
      </w:r>
      <w:r w:rsidRPr="005E4E2F">
        <w:t xml:space="preserve"> в Италия и OCU</w:t>
      </w:r>
      <w:r w:rsidRPr="005E4E2F">
        <w:rPr>
          <w:rStyle w:val="FootnoteReference"/>
          <w:color w:val="0D0D0D"/>
          <w:szCs w:val="24"/>
        </w:rPr>
        <w:footnoteReference w:id="16"/>
      </w:r>
      <w:r w:rsidRPr="005E4E2F">
        <w:t xml:space="preserve"> в Испания), многократно показаха наличието на добавки в храните със значителен процент наночастици, например използваният като оцветител в храните железен оксид (E172), използван в млечни продукти, хлебни изделия и някои зърнени закуски, може да съдържа наночастици под прага от 50%;</w:t>
      </w:r>
      <w:r w:rsidRPr="005E4E2F">
        <w:rPr>
          <w:color w:val="000000"/>
        </w:rPr>
        <w:t xml:space="preserve"> </w:t>
      </w:r>
      <w:r w:rsidRPr="005E4E2F">
        <w:rPr>
          <w:color w:val="0D0D0D"/>
        </w:rPr>
        <w:t>като има предвид, че това показва, че липсата на подходящо етикетиране на определени хранителни съставки като „[нано]“ се дължи преди всичко на липсата на гарантиране на прилагането на действащото законодателство и в много по-малка степен на проблеми, свързани с тълкуването;</w:t>
      </w:r>
    </w:p>
    <w:p w:rsidR="00CB3613" w:rsidRPr="005E4E2F" w:rsidRDefault="00CB3613" w:rsidP="001448A6">
      <w:pPr>
        <w:spacing w:after="240"/>
        <w:ind w:left="567" w:hanging="567"/>
        <w:rPr>
          <w:color w:val="0D0D0D"/>
          <w:szCs w:val="24"/>
        </w:rPr>
      </w:pPr>
      <w:r w:rsidRPr="005E4E2F">
        <w:rPr>
          <w:color w:val="0D0D0D"/>
        </w:rPr>
        <w:t>Й.</w:t>
      </w:r>
      <w:r w:rsidRPr="005E4E2F">
        <w:rPr>
          <w:color w:val="0D0D0D"/>
        </w:rPr>
        <w:tab/>
        <w:t>като има предвид, че изследване от 2020 г., възложено от Европейската агенция по химикали, показа, че гражданите искат по-добро етикетиране на продуктите за ежедневна употреба, съдържащи наноматериали</w:t>
      </w:r>
      <w:r w:rsidRPr="005E4E2F">
        <w:rPr>
          <w:rStyle w:val="FootnoteReference"/>
          <w:color w:val="0D0D0D"/>
          <w:szCs w:val="24"/>
        </w:rPr>
        <w:footnoteReference w:id="17"/>
      </w:r>
      <w:r w:rsidRPr="005E4E2F">
        <w:rPr>
          <w:color w:val="0D0D0D"/>
        </w:rPr>
        <w:t>;</w:t>
      </w:r>
    </w:p>
    <w:p w:rsidR="00CB3613" w:rsidRPr="005E4E2F" w:rsidRDefault="00CB3613" w:rsidP="001448A6">
      <w:pPr>
        <w:spacing w:after="240"/>
        <w:rPr>
          <w:i/>
          <w:szCs w:val="24"/>
        </w:rPr>
      </w:pPr>
      <w:r w:rsidRPr="005E4E2F">
        <w:rPr>
          <w:i/>
        </w:rPr>
        <w:t>Противоречия с препоръки и нов напредък в областта на науката</w:t>
      </w:r>
    </w:p>
    <w:p w:rsidR="00CB3613" w:rsidRPr="005E4E2F" w:rsidRDefault="00CB3613" w:rsidP="001448A6">
      <w:pPr>
        <w:spacing w:after="240"/>
        <w:ind w:left="567" w:hanging="567"/>
        <w:rPr>
          <w:szCs w:val="24"/>
        </w:rPr>
      </w:pPr>
      <w:r w:rsidRPr="005E4E2F">
        <w:t xml:space="preserve">К. </w:t>
      </w:r>
      <w:r w:rsidRPr="005E4E2F">
        <w:tab/>
        <w:t>като има предвид, че в своята резолюция от 12 март 2014 г. относно делегирания регламент на Комисията от 12 декември 2013 г. за изменение на Регламент (ЕС) № 1169/2011 на Европейския парламент и на Съвета за предоставянето на информация за храните на потребителите във връзка с определението за „специално създадени наноматериали“</w:t>
      </w:r>
      <w:r w:rsidRPr="005E4E2F">
        <w:rPr>
          <w:rStyle w:val="FootnoteReference"/>
          <w:szCs w:val="24"/>
        </w:rPr>
        <w:footnoteReference w:id="18"/>
      </w:r>
      <w:r w:rsidRPr="005E4E2F">
        <w:t xml:space="preserve"> Европейският парламент възрази срещу определение, което е сходно в много голяма степен, със същия праг от 50%, което изключва всички добавки в храните, като счита, че определението „е в противоречие с основната цел на директивата – стремежа към високо равнище на защита на здравето и интересите на потребителите чрез предоставяне на основа за информиран избор на крайните потребители“; като има предвид, че Европейският парламент призова Комисията да представи нов делегиран акт, в който се взема предвид неговата позиция;</w:t>
      </w:r>
    </w:p>
    <w:p w:rsidR="00CB3613" w:rsidRPr="005E4E2F" w:rsidRDefault="00CB3613" w:rsidP="001448A6">
      <w:pPr>
        <w:spacing w:after="240"/>
        <w:ind w:left="567" w:hanging="567"/>
        <w:rPr>
          <w:szCs w:val="24"/>
        </w:rPr>
      </w:pPr>
      <w:r w:rsidRPr="005E4E2F">
        <w:t xml:space="preserve">Л. </w:t>
      </w:r>
      <w:r w:rsidRPr="005E4E2F">
        <w:tab/>
        <w:t>като има предвид, че в своята резолюция от 8 октомври 2020 г. относно проекта на регламент на Комисията за изменение на приложението към Регламент (ЕС) № 231/2012 за определяне на спецификации на добавките в храните, включени в списъците в приложения II и III към Регламент (ЕО) № 1333/2008 на Европейския парламент и на Съвета по отношение на спецификациите на титанов диоксид (E171)</w:t>
      </w:r>
      <w:r w:rsidRPr="005E4E2F">
        <w:rPr>
          <w:rStyle w:val="FootnoteReference"/>
          <w:szCs w:val="24"/>
        </w:rPr>
        <w:footnoteReference w:id="19"/>
      </w:r>
      <w:r w:rsidRPr="005E4E2F">
        <w:t>, Европейският парламент възрази срещу проект на регламент на Комисията, с който се разрешават партиди титанов диоксид (E171) за хранителни цели, съдържащи по-малко от 50% частици с размер под 100 nm;</w:t>
      </w:r>
    </w:p>
    <w:p w:rsidR="00CB3613" w:rsidRPr="005E4E2F" w:rsidRDefault="00CB3613" w:rsidP="001448A6">
      <w:pPr>
        <w:spacing w:after="240"/>
        <w:ind w:left="567" w:hanging="567"/>
        <w:rPr>
          <w:szCs w:val="24"/>
        </w:rPr>
      </w:pPr>
      <w:r w:rsidRPr="005E4E2F">
        <w:t xml:space="preserve">М. </w:t>
      </w:r>
      <w:r w:rsidRPr="005E4E2F">
        <w:tab/>
        <w:t>като има предвид, че Европейският орган за безопасност на храните препоръча</w:t>
      </w:r>
      <w:r w:rsidRPr="005E4E2F">
        <w:rPr>
          <w:rStyle w:val="FootnoteReference"/>
          <w:szCs w:val="24"/>
        </w:rPr>
        <w:footnoteReference w:id="20"/>
      </w:r>
      <w:r w:rsidRPr="005E4E2F">
        <w:t xml:space="preserve"> „[с] оглед на настоящата несигурност по отношение на безопасността да се обмисли по-нисък праг за броя на наночастиците, например 10%, за приложения, </w:t>
      </w:r>
      <w:r w:rsidRPr="005E4E2F">
        <w:lastRenderedPageBreak/>
        <w:t>свързани с храни, вместо предложения понастоящем (50%) в препоръката“;</w:t>
      </w:r>
    </w:p>
    <w:p w:rsidR="00CB3613" w:rsidRPr="005E4E2F" w:rsidRDefault="00CB3613" w:rsidP="001448A6">
      <w:pPr>
        <w:spacing w:after="240"/>
        <w:ind w:left="567" w:hanging="567"/>
        <w:rPr>
          <w:szCs w:val="24"/>
        </w:rPr>
      </w:pPr>
      <w:r w:rsidRPr="005E4E2F">
        <w:t xml:space="preserve">Н. </w:t>
      </w:r>
      <w:r w:rsidRPr="005E4E2F">
        <w:tab/>
        <w:t>като има предвид, че академични организации, публични органи, неправителствени потребителски и екологични организации и профсъюзи се застъпиха в процеса на консултации с Комисията за определение, което да включва всички материали, независимо дали са произведени, случайни или естествени, както и праг по подразбиране от 10% или повече частици в разпределението по размер въз основа на броя;</w:t>
      </w:r>
    </w:p>
    <w:p w:rsidR="00CB3613" w:rsidRPr="005E4E2F" w:rsidRDefault="00CB3613" w:rsidP="001448A6">
      <w:pPr>
        <w:spacing w:after="240"/>
        <w:ind w:left="567" w:hanging="567"/>
        <w:rPr>
          <w:color w:val="0D0D0D"/>
          <w:szCs w:val="24"/>
        </w:rPr>
      </w:pPr>
      <w:r w:rsidRPr="005E4E2F">
        <w:rPr>
          <w:color w:val="0D0D0D"/>
        </w:rPr>
        <w:t xml:space="preserve">О. </w:t>
      </w:r>
      <w:r w:rsidRPr="005E4E2F">
        <w:rPr>
          <w:color w:val="0D0D0D"/>
        </w:rPr>
        <w:tab/>
        <w:t>като има предвид, че от 2014 г. насам новите научни постижения и знания потвърждават, че наноматериалите могат да преминат през физиологичните бариери и често са по-опасни от веществата в микро- или макросъстояния</w:t>
      </w:r>
      <w:r w:rsidRPr="005E4E2F">
        <w:rPr>
          <w:rStyle w:val="FootnoteReference"/>
          <w:color w:val="0D0D0D"/>
          <w:szCs w:val="24"/>
        </w:rPr>
        <w:footnoteReference w:id="21"/>
      </w:r>
      <w:r w:rsidRPr="005E4E2F">
        <w:rPr>
          <w:color w:val="0D0D0D"/>
        </w:rPr>
        <w:t>;</w:t>
      </w:r>
    </w:p>
    <w:p w:rsidR="00CB3613" w:rsidRPr="005E4E2F" w:rsidRDefault="00CB3613" w:rsidP="001448A6">
      <w:pPr>
        <w:spacing w:after="240"/>
        <w:ind w:left="567" w:hanging="567"/>
        <w:rPr>
          <w:color w:val="0D0D0D"/>
          <w:szCs w:val="24"/>
        </w:rPr>
      </w:pPr>
      <w:r w:rsidRPr="005E4E2F">
        <w:rPr>
          <w:color w:val="0D0D0D"/>
        </w:rPr>
        <w:t xml:space="preserve">П. </w:t>
      </w:r>
      <w:r w:rsidRPr="005E4E2F">
        <w:rPr>
          <w:color w:val="0D0D0D"/>
        </w:rPr>
        <w:tab/>
        <w:t>като има предвид, че ANSES публикува подробен доклад през април 2023 г.</w:t>
      </w:r>
      <w:r w:rsidRPr="005E4E2F">
        <w:rPr>
          <w:rStyle w:val="FootnoteReference"/>
          <w:color w:val="0D0D0D"/>
          <w:szCs w:val="24"/>
        </w:rPr>
        <w:footnoteReference w:id="22"/>
      </w:r>
      <w:r w:rsidRPr="005E4E2F">
        <w:rPr>
          <w:color w:val="0D0D0D"/>
        </w:rPr>
        <w:t>, в който заявява, че определението за наноматериали, посочено в препоръката на Комисията от 10 юни 2022 г.</w:t>
      </w:r>
      <w:r w:rsidRPr="005E4E2F">
        <w:rPr>
          <w:rStyle w:val="FootnoteReference"/>
          <w:color w:val="0D0D0D"/>
          <w:szCs w:val="24"/>
        </w:rPr>
        <w:footnoteReference w:id="23"/>
      </w:r>
      <w:r w:rsidRPr="005E4E2F">
        <w:rPr>
          <w:color w:val="0D0D0D"/>
        </w:rPr>
        <w:t xml:space="preserve">, което послужи като основа за преразглеждането на определението за „специално създадени наноматериали“, установено в Регламент (ЕС) 2015/2283, в специфичните за отделните сектори регламенти, особено в областта на храните, ще бъде в ущърб на предотвратяването на рисковете за здравето и околната среда; </w:t>
      </w:r>
      <w:r w:rsidRPr="005E4E2F">
        <w:t>като има предвид, че ANSES подчертава, че прагът за броя на наночастиците от 50%, включен в хоризонталното определение за „[нано]“, „не се основава на солидни научни аргументи“, и препоръча да се определи по-ниска стойност за посочения праг;</w:t>
      </w:r>
    </w:p>
    <w:p w:rsidR="00CB3613" w:rsidRPr="005E4E2F" w:rsidRDefault="00CB3613" w:rsidP="001448A6">
      <w:pPr>
        <w:spacing w:after="240"/>
        <w:ind w:left="567" w:hanging="567"/>
        <w:rPr>
          <w:color w:val="0D0D0D"/>
          <w:szCs w:val="24"/>
        </w:rPr>
      </w:pPr>
      <w:r w:rsidRPr="005E4E2F">
        <w:rPr>
          <w:color w:val="0D0D0D"/>
        </w:rPr>
        <w:t xml:space="preserve">Р. </w:t>
      </w:r>
      <w:r w:rsidRPr="005E4E2F">
        <w:rPr>
          <w:color w:val="0D0D0D"/>
        </w:rPr>
        <w:tab/>
        <w:t>като има предвид, че откриването на наночастици на хранителни съставки въз основа на праг от 10% за броя наночастиците е осъществимо, тъй като това е граничната стойност, която понастоящем се прилага от френската Генерална дирекция по въпросите на потребителите, конкуренцията и контрола на измамите в рамките на нейните контролни дейности</w:t>
      </w:r>
      <w:r w:rsidRPr="005E4E2F">
        <w:rPr>
          <w:rStyle w:val="FootnoteReference"/>
          <w:color w:val="0D0D0D"/>
          <w:szCs w:val="24"/>
        </w:rPr>
        <w:footnoteReference w:id="24"/>
      </w:r>
      <w:r w:rsidRPr="005E4E2F">
        <w:rPr>
          <w:color w:val="0D0D0D"/>
        </w:rPr>
        <w:t>;</w:t>
      </w:r>
    </w:p>
    <w:p w:rsidR="00CB3613" w:rsidRPr="005E4E2F" w:rsidRDefault="00CB3613" w:rsidP="001448A6">
      <w:pPr>
        <w:spacing w:after="240"/>
        <w:rPr>
          <w:i/>
          <w:color w:val="0D0D0D"/>
          <w:szCs w:val="24"/>
        </w:rPr>
      </w:pPr>
      <w:r w:rsidRPr="005E4E2F">
        <w:rPr>
          <w:i/>
          <w:color w:val="0D0D0D"/>
        </w:rPr>
        <w:t>Принцип на предпазните мерки</w:t>
      </w:r>
    </w:p>
    <w:p w:rsidR="00CB3613" w:rsidRPr="005E4E2F" w:rsidRDefault="00CB3613" w:rsidP="001448A6">
      <w:pPr>
        <w:spacing w:after="240"/>
        <w:ind w:left="567" w:hanging="567"/>
        <w:rPr>
          <w:color w:val="0D0D0D"/>
          <w:szCs w:val="24"/>
        </w:rPr>
      </w:pPr>
      <w:r w:rsidRPr="005E4E2F">
        <w:rPr>
          <w:color w:val="0D0D0D"/>
        </w:rPr>
        <w:t>С.</w:t>
      </w:r>
      <w:r w:rsidRPr="005E4E2F">
        <w:rPr>
          <w:color w:val="0D0D0D"/>
        </w:rPr>
        <w:tab/>
        <w:t>като има предвид, че член 191, параграф 2 от ДФЕС определя принципа на предпазните мерки като един от основните принципи на Съюза;</w:t>
      </w:r>
    </w:p>
    <w:p w:rsidR="00CB3613" w:rsidRPr="005E4E2F" w:rsidRDefault="00CB3613" w:rsidP="001448A6">
      <w:pPr>
        <w:spacing w:after="240"/>
        <w:ind w:left="567" w:hanging="567"/>
        <w:rPr>
          <w:szCs w:val="24"/>
        </w:rPr>
      </w:pPr>
      <w:r w:rsidRPr="005E4E2F">
        <w:t xml:space="preserve">Т. </w:t>
      </w:r>
      <w:r w:rsidRPr="005E4E2F">
        <w:tab/>
        <w:t>като има предвид, че съгласно член 168, параграф 1 от ДФЕС „[п]ри разработването и изпълнението на всички политики и дейности на Съюза се осигурява високо равнище на закрила на човешкото здраве“;</w:t>
      </w:r>
    </w:p>
    <w:p w:rsidR="00CB3613" w:rsidRPr="005E4E2F" w:rsidRDefault="00CB3613" w:rsidP="001448A6">
      <w:pPr>
        <w:pStyle w:val="NormalHanging12a"/>
        <w:rPr>
          <w:szCs w:val="24"/>
        </w:rPr>
      </w:pPr>
      <w:r w:rsidRPr="005E4E2F">
        <w:t>1.</w:t>
      </w:r>
      <w:r w:rsidRPr="005E4E2F">
        <w:tab/>
        <w:t>възразява срещу делегирания регламент на Комисията;</w:t>
      </w:r>
    </w:p>
    <w:p w:rsidR="00CB3613" w:rsidRPr="005E4E2F" w:rsidRDefault="00CB3613" w:rsidP="001448A6">
      <w:pPr>
        <w:pStyle w:val="NormalHanging12a"/>
        <w:rPr>
          <w:szCs w:val="24"/>
        </w:rPr>
      </w:pPr>
      <w:r w:rsidRPr="005E4E2F">
        <w:t>2.</w:t>
      </w:r>
      <w:r w:rsidRPr="005E4E2F">
        <w:tab/>
        <w:t xml:space="preserve">възлага на своя председател да предаде настоящата резолюция на Комисията и да </w:t>
      </w:r>
      <w:r w:rsidRPr="005E4E2F">
        <w:lastRenderedPageBreak/>
        <w:t xml:space="preserve">я информира, че делегираният регламент не може да влезе в сила; </w:t>
      </w:r>
    </w:p>
    <w:p w:rsidR="00CB3613" w:rsidRPr="005E4E2F" w:rsidRDefault="00CB3613" w:rsidP="001448A6">
      <w:pPr>
        <w:spacing w:after="240"/>
        <w:ind w:left="567" w:hanging="567"/>
        <w:rPr>
          <w:szCs w:val="24"/>
        </w:rPr>
      </w:pPr>
      <w:r w:rsidRPr="005E4E2F">
        <w:t xml:space="preserve">3. </w:t>
      </w:r>
      <w:r w:rsidRPr="005E4E2F">
        <w:tab/>
        <w:t>счита, че делегираният регламент на Комисията не е съвместим с целта и съдържанието на Регламент (ЕС) 2015/2283 и че той превишава делегираните правомощия, предоставени на Комисията съгласно член 31 от посочения регламент;</w:t>
      </w:r>
    </w:p>
    <w:p w:rsidR="00CB3613" w:rsidRPr="005E4E2F" w:rsidRDefault="00CB3613" w:rsidP="001448A6">
      <w:pPr>
        <w:spacing w:after="240"/>
        <w:ind w:left="567" w:hanging="567"/>
        <w:rPr>
          <w:szCs w:val="24"/>
        </w:rPr>
      </w:pPr>
      <w:r w:rsidRPr="005E4E2F">
        <w:t xml:space="preserve">4. </w:t>
      </w:r>
      <w:r w:rsidRPr="005E4E2F">
        <w:tab/>
        <w:t>изразява съжаление, че предложеният праг от 50% не отчита научно-техническия напредък;</w:t>
      </w:r>
    </w:p>
    <w:p w:rsidR="00CB3613" w:rsidRPr="005E4E2F" w:rsidRDefault="00CB3613" w:rsidP="001448A6">
      <w:pPr>
        <w:pStyle w:val="NormalHanging12a"/>
        <w:rPr>
          <w:szCs w:val="24"/>
        </w:rPr>
      </w:pPr>
      <w:r w:rsidRPr="005E4E2F">
        <w:t xml:space="preserve">5. </w:t>
      </w:r>
      <w:r w:rsidRPr="005E4E2F">
        <w:tab/>
        <w:t>призовава Комисията да прилага принципа на предпазните мерки, да гарантира безопасността и предоставянето на информация за потребителите и да вземе предвид подхода „Едно здраве“;</w:t>
      </w:r>
    </w:p>
    <w:p w:rsidR="00CB3613" w:rsidRPr="005E4E2F" w:rsidRDefault="00CB3613" w:rsidP="001448A6">
      <w:pPr>
        <w:pStyle w:val="NormalHanging12a"/>
        <w:rPr>
          <w:szCs w:val="24"/>
        </w:rPr>
      </w:pPr>
      <w:r w:rsidRPr="005E4E2F">
        <w:t>6.</w:t>
      </w:r>
      <w:r w:rsidRPr="005E4E2F">
        <w:tab/>
        <w:t>възлага на своя председател да предаде настоящата резолюция на Съвета и на правителствата и парламентите на държавите членки.</w:t>
      </w:r>
    </w:p>
    <w:p w:rsidR="00CB3613" w:rsidRPr="005E4E2F" w:rsidRDefault="00CB3613" w:rsidP="00CB3613">
      <w:pPr>
        <w:pStyle w:val="NormalHanging12a"/>
      </w:pPr>
    </w:p>
    <w:p w:rsidR="00E365E1" w:rsidRPr="005E4E2F" w:rsidRDefault="00E365E1" w:rsidP="00DD0F20">
      <w:bookmarkStart w:id="8" w:name="TextBodyEnd"/>
      <w:bookmarkEnd w:id="8"/>
    </w:p>
    <w:sectPr w:rsidR="00E365E1" w:rsidRPr="005E4E2F" w:rsidSect="005E4E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F20" w:rsidRPr="005E4E2F" w:rsidRDefault="00DD0F20">
      <w:r w:rsidRPr="005E4E2F">
        <w:separator/>
      </w:r>
    </w:p>
  </w:endnote>
  <w:endnote w:type="continuationSeparator" w:id="0">
    <w:p w:rsidR="00DD0F20" w:rsidRPr="005E4E2F" w:rsidRDefault="00DD0F20">
      <w:r w:rsidRPr="005E4E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4E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4E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4E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F20" w:rsidRPr="005E4E2F" w:rsidRDefault="00DD0F20">
      <w:r w:rsidRPr="005E4E2F">
        <w:separator/>
      </w:r>
    </w:p>
  </w:footnote>
  <w:footnote w:type="continuationSeparator" w:id="0">
    <w:p w:rsidR="00DD0F20" w:rsidRPr="005E4E2F" w:rsidRDefault="00DD0F20">
      <w:r w:rsidRPr="005E4E2F">
        <w:continuationSeparator/>
      </w:r>
    </w:p>
  </w:footnote>
  <w:footnote w:id="1">
    <w:p w:rsidR="00CB3613" w:rsidRPr="005E4E2F" w:rsidRDefault="00CB3613" w:rsidP="005E4E2F">
      <w:pPr>
        <w:pStyle w:val="FootnoteText"/>
        <w:ind w:left="567" w:hanging="567"/>
        <w:rPr>
          <w:sz w:val="24"/>
          <w:lang w:val="bg-BG"/>
        </w:rPr>
      </w:pPr>
      <w:r w:rsidRPr="005E4E2F">
        <w:rPr>
          <w:rStyle w:val="FootnoteReference"/>
          <w:sz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 xml:space="preserve">OВ L 327, 11.12.2015 г., стр. 1. </w:t>
      </w:r>
    </w:p>
  </w:footnote>
  <w:footnote w:id="2">
    <w:p w:rsidR="00CB3613" w:rsidRPr="005E4E2F" w:rsidRDefault="00CB3613" w:rsidP="005E4E2F">
      <w:pPr>
        <w:pStyle w:val="FootnoteText"/>
        <w:ind w:left="567" w:hanging="567"/>
        <w:rPr>
          <w:sz w:val="24"/>
          <w:lang w:val="bg-BG"/>
        </w:rPr>
      </w:pPr>
      <w:r w:rsidRPr="005E4E2F">
        <w:rPr>
          <w:rStyle w:val="FootnoteReference"/>
          <w:sz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ОВ L 304, 22.11.2011 г., стр. 18.</w:t>
      </w:r>
    </w:p>
  </w:footnote>
  <w:footnote w:id="3">
    <w:p w:rsidR="00CB3613" w:rsidRPr="005E4E2F" w:rsidRDefault="00CB3613" w:rsidP="005E4E2F">
      <w:pPr>
        <w:pStyle w:val="FootnoteText"/>
        <w:ind w:left="567" w:hanging="567"/>
        <w:rPr>
          <w:sz w:val="24"/>
          <w:lang w:val="bg-BG"/>
        </w:rPr>
      </w:pPr>
      <w:r w:rsidRPr="005E4E2F">
        <w:rPr>
          <w:rStyle w:val="FootnoteReference"/>
          <w:sz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ОВ L 354, 31.12.2008 г., стр. 16.</w:t>
      </w:r>
    </w:p>
  </w:footnote>
  <w:footnote w:id="4">
    <w:p w:rsidR="00CB3613" w:rsidRPr="005E4E2F" w:rsidRDefault="00CB3613" w:rsidP="005E4E2F">
      <w:pPr>
        <w:pStyle w:val="FootnoteText"/>
        <w:ind w:left="567" w:hanging="567"/>
        <w:rPr>
          <w:sz w:val="24"/>
          <w:lang w:val="bg-BG"/>
        </w:rPr>
      </w:pPr>
      <w:r w:rsidRPr="005E4E2F">
        <w:rPr>
          <w:rStyle w:val="FootnoteReference"/>
          <w:sz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OВ L 295, 12.11.2011 г., стр. 1.</w:t>
      </w:r>
    </w:p>
  </w:footnote>
  <w:footnote w:id="5">
    <w:p w:rsidR="00CB3613" w:rsidRPr="005E4E2F" w:rsidRDefault="00CB3613" w:rsidP="005E4E2F">
      <w:pPr>
        <w:pStyle w:val="FootnoteText"/>
        <w:ind w:left="567" w:hanging="567"/>
        <w:rPr>
          <w:sz w:val="24"/>
          <w:lang w:val="bg-BG"/>
        </w:rPr>
      </w:pPr>
      <w:r w:rsidRPr="005E4E2F">
        <w:rPr>
          <w:rStyle w:val="FootnoteReference"/>
          <w:sz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OВ L 295, 12.11.2011 г., стр. 178.</w:t>
      </w:r>
    </w:p>
  </w:footnote>
  <w:footnote w:id="6">
    <w:p w:rsidR="00CB3613" w:rsidRPr="005E4E2F" w:rsidRDefault="00CB3613" w:rsidP="005E4E2F">
      <w:pPr>
        <w:pStyle w:val="FootnoteText"/>
        <w:ind w:left="567" w:hanging="567"/>
        <w:rPr>
          <w:sz w:val="24"/>
          <w:lang w:val="bg-BG"/>
        </w:rPr>
      </w:pPr>
      <w:r w:rsidRPr="005E4E2F">
        <w:rPr>
          <w:rStyle w:val="FootnoteReference"/>
          <w:sz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ОВ L 80, 26.3.2010 г., стр. 19.</w:t>
      </w:r>
    </w:p>
  </w:footnote>
  <w:footnote w:id="7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1" w:history="1">
        <w:r w:rsidRPr="005E4E2F">
          <w:rPr>
            <w:rStyle w:val="Hyperlink"/>
            <w:color w:val="1155CC"/>
            <w:sz w:val="24"/>
            <w:lang w:val="bg-BG"/>
          </w:rPr>
          <w:t>https://www.anses.fr/fr/nanomateriaux-alimentation-premiere-application-methodologie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  <w:r w:rsidRPr="005E4E2F">
        <w:rPr>
          <w:color w:val="1155CC"/>
          <w:sz w:val="24"/>
          <w:u w:val="single"/>
          <w:lang w:val="bg-BG"/>
        </w:rPr>
        <w:t xml:space="preserve"> </w:t>
      </w:r>
    </w:p>
  </w:footnote>
  <w:footnote w:id="8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2" w:history="1">
        <w:r w:rsidRPr="005E4E2F">
          <w:rPr>
            <w:rStyle w:val="Hyperlink"/>
            <w:sz w:val="24"/>
            <w:lang w:val="bg-BG"/>
          </w:rPr>
          <w:t>https://www.agirpourlenvironnement.org/communiques-presse/enquete-exclusive-des-analyses-revelent-la-presence-de-nanoparticules-dans-3980/</w:t>
        </w:r>
      </w:hyperlink>
      <w:r w:rsidRPr="005E4E2F">
        <w:rPr>
          <w:rStyle w:val="Hyperlink"/>
          <w:sz w:val="24"/>
          <w:lang w:val="bg-BG"/>
        </w:rPr>
        <w:t>.</w:t>
      </w:r>
    </w:p>
  </w:footnote>
  <w:footnote w:id="9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3" w:history="1">
        <w:r w:rsidRPr="005E4E2F">
          <w:rPr>
            <w:rStyle w:val="Hyperlink"/>
            <w:color w:val="1155CC"/>
            <w:sz w:val="24"/>
            <w:lang w:val="bg-BG"/>
          </w:rPr>
          <w:t>https://www.quechoisir.org/enquete-nanoparticules-taille-mini-doutes-maxi-n50748/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  <w:r w:rsidRPr="005E4E2F">
        <w:rPr>
          <w:color w:val="1155CC"/>
          <w:sz w:val="24"/>
          <w:u w:val="single"/>
          <w:lang w:val="bg-BG"/>
        </w:rPr>
        <w:t xml:space="preserve"> </w:t>
      </w:r>
    </w:p>
  </w:footnote>
  <w:footnote w:id="10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4" w:history="1">
        <w:r w:rsidRPr="005E4E2F">
          <w:rPr>
            <w:rStyle w:val="Hyperlink"/>
            <w:color w:val="1155CC"/>
            <w:sz w:val="24"/>
            <w:lang w:val="bg-BG"/>
          </w:rPr>
          <w:t>https://bibliotheque.60millions-mag.com/detail/publication/detail-top-right/561?issue_id=113421&amp;switch_toc=archive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</w:p>
  </w:footnote>
  <w:footnote w:id="11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5" w:history="1">
        <w:r w:rsidRPr="005E4E2F">
          <w:rPr>
            <w:rStyle w:val="Hyperlink"/>
            <w:color w:val="1155CC"/>
            <w:sz w:val="24"/>
            <w:lang w:val="bg-BG"/>
          </w:rPr>
          <w:t>https://veillenanos.fr/wp-content/uploads/2023/01/Rapport-test-EN-20230113.pdf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</w:p>
  </w:footnote>
  <w:footnote w:id="12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6" w:history="1">
        <w:r w:rsidRPr="005E4E2F">
          <w:rPr>
            <w:rStyle w:val="Hyperlink"/>
            <w:color w:val="1155CC"/>
            <w:sz w:val="24"/>
            <w:lang w:val="bg-BG"/>
          </w:rPr>
          <w:t>https://www.foodwatch.org/de/potenziell-krebserregender-farbstoff-in-backzutaten-von-dr-oetker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</w:p>
  </w:footnote>
  <w:footnote w:id="13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7" w:history="1">
        <w:r w:rsidRPr="005E4E2F">
          <w:rPr>
            <w:rStyle w:val="Hyperlink"/>
            <w:color w:val="1155CC"/>
            <w:sz w:val="24"/>
            <w:lang w:val="bg-BG"/>
          </w:rPr>
          <w:t>https://www.bund.net/fileadmin/user_upload_bund/publikationen/chemie/‌nanotechnologie_in_lebensmitteln_hintergrund.pdf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</w:p>
  </w:footnote>
  <w:footnote w:id="14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8" w:history="1">
        <w:r w:rsidRPr="005E4E2F">
          <w:rPr>
            <w:rStyle w:val="Hyperlink"/>
            <w:color w:val="1155CC"/>
            <w:sz w:val="24"/>
            <w:lang w:val="bg-BG"/>
          </w:rPr>
          <w:t>https://www.test-achats.be/sante/sante-au-quotidien/produits-testes/news/nanoparticules-affichage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  <w:r w:rsidRPr="005E4E2F">
        <w:rPr>
          <w:color w:val="1155CC"/>
          <w:sz w:val="24"/>
          <w:u w:val="single"/>
          <w:lang w:val="bg-BG"/>
        </w:rPr>
        <w:t xml:space="preserve"> </w:t>
      </w:r>
    </w:p>
  </w:footnote>
  <w:footnote w:id="15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9" w:history="1">
        <w:r w:rsidRPr="005E4E2F">
          <w:rPr>
            <w:rStyle w:val="Hyperlink"/>
            <w:color w:val="1155CC"/>
            <w:sz w:val="24"/>
            <w:lang w:val="bg-BG"/>
          </w:rPr>
          <w:t>https://www.altroconsumo.it/alimentazione/sicurezza-alimentare/news/nanoparticelle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</w:p>
  </w:footnote>
  <w:footnote w:id="16">
    <w:p w:rsidR="00CB3613" w:rsidRPr="005E4E2F" w:rsidRDefault="00CB3613" w:rsidP="005E4E2F">
      <w:pPr>
        <w:ind w:left="567" w:hanging="567"/>
        <w:rPr>
          <w:color w:val="1155CC"/>
          <w:szCs w:val="24"/>
          <w:u w:val="single"/>
        </w:rPr>
      </w:pPr>
      <w:r w:rsidRPr="005E4E2F">
        <w:rPr>
          <w:rStyle w:val="FootnoteReference"/>
          <w:szCs w:val="24"/>
        </w:rPr>
        <w:footnoteRef/>
      </w:r>
      <w:r w:rsidR="005E4E2F" w:rsidRPr="005E4E2F">
        <w:t xml:space="preserve"> </w:t>
      </w:r>
      <w:r w:rsidR="005E4E2F" w:rsidRPr="005E4E2F">
        <w:tab/>
      </w:r>
      <w:hyperlink r:id="rId10" w:history="1">
        <w:r w:rsidRPr="005E4E2F">
          <w:rPr>
            <w:rStyle w:val="Hyperlink"/>
          </w:rPr>
          <w:t>https://www.ocu.org/toda-la-informacion?type=magazine-articles&amp;magazine=ocu%20compra%20maestra&amp;year=2019</w:t>
        </w:r>
      </w:hyperlink>
      <w:r w:rsidRPr="005E4E2F">
        <w:rPr>
          <w:rStyle w:val="Hyperlink"/>
        </w:rPr>
        <w:t>.</w:t>
      </w:r>
    </w:p>
  </w:footnote>
  <w:footnote w:id="17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11" w:history="1">
        <w:r w:rsidRPr="005E4E2F">
          <w:rPr>
            <w:rStyle w:val="Hyperlink"/>
            <w:sz w:val="24"/>
            <w:lang w:val="bg-BG"/>
          </w:rPr>
          <w:t>https://echa.europa.eu/-/what-do-eu-citizens-think-about-nanomaterials-</w:t>
        </w:r>
      </w:hyperlink>
      <w:r w:rsidRPr="005E4E2F">
        <w:rPr>
          <w:rStyle w:val="Hyperlink"/>
          <w:sz w:val="24"/>
          <w:lang w:val="bg-BG"/>
        </w:rPr>
        <w:t>.</w:t>
      </w:r>
      <w:r w:rsidRPr="005E4E2F">
        <w:rPr>
          <w:sz w:val="24"/>
          <w:lang w:val="bg-BG"/>
        </w:rPr>
        <w:t xml:space="preserve"> </w:t>
      </w:r>
    </w:p>
  </w:footnote>
  <w:footnote w:id="18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OВ C 378, 9.11.2017 г., стр. 92.</w:t>
      </w:r>
    </w:p>
  </w:footnote>
  <w:footnote w:id="19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ОВ C 395, 29.3.2021 г., стр. 28.</w:t>
      </w:r>
    </w:p>
  </w:footnote>
  <w:footnote w:id="20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12" w:history="1">
        <w:r w:rsidR="001448A6" w:rsidRPr="00604298">
          <w:rPr>
            <w:rStyle w:val="Hyperlink"/>
            <w:sz w:val="24"/>
            <w:lang w:val="bg-BG"/>
          </w:rPr>
          <w:t>https://www.efsa.europa.eu/sites/default/files/assets/</w:t>
        </w:r>
        <w:r w:rsidR="001448A6" w:rsidRPr="00604298">
          <w:rPr>
            <w:rStyle w:val="Hyperlink"/>
            <w:sz w:val="24"/>
            <w:lang w:val="bg-BG"/>
          </w:rPr>
          <w:br/>
          <w:t>corporatenanotechnology121003.pdf</w:t>
        </w:r>
      </w:hyperlink>
      <w:r w:rsidRPr="005E4E2F">
        <w:rPr>
          <w:rStyle w:val="Hyperlink"/>
          <w:sz w:val="24"/>
          <w:lang w:val="bg-BG"/>
        </w:rPr>
        <w:t>.</w:t>
      </w:r>
    </w:p>
  </w:footnote>
  <w:footnote w:id="21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hyperlink r:id="rId13" w:history="1">
        <w:r w:rsidRPr="005E4E2F">
          <w:rPr>
            <w:rStyle w:val="Hyperlink"/>
            <w:color w:val="1155CC"/>
            <w:sz w:val="24"/>
            <w:lang w:val="bg-BG"/>
          </w:rPr>
          <w:t>https://veillenanos.fr/en/dossier/nanos-and-health/nanos-health-risks/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</w:p>
  </w:footnote>
  <w:footnote w:id="22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Становище на ANSES (2023 г.): „Определение за наноматериали: Анализ, предизвикателства и противоречия“,</w:t>
      </w:r>
      <w:r w:rsidR="001448A6">
        <w:rPr>
          <w:sz w:val="24"/>
          <w:lang w:val="bg-BG"/>
        </w:rPr>
        <w:t xml:space="preserve"> </w:t>
      </w:r>
      <w:hyperlink r:id="rId14" w:history="1">
        <w:r w:rsidRPr="005E4E2F">
          <w:rPr>
            <w:rStyle w:val="Hyperlink"/>
            <w:sz w:val="24"/>
            <w:lang w:val="bg-BG"/>
          </w:rPr>
          <w:t>https://www.anses.fr/en/system/files/AP2018SA0168RaEN.pdf</w:t>
        </w:r>
      </w:hyperlink>
      <w:r w:rsidRPr="005E4E2F">
        <w:rPr>
          <w:rStyle w:val="Hyperlink"/>
          <w:color w:val="1155CC"/>
          <w:sz w:val="24"/>
          <w:lang w:val="bg-BG"/>
        </w:rPr>
        <w:t>.</w:t>
      </w:r>
    </w:p>
  </w:footnote>
  <w:footnote w:id="23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Препоръка на Комисията от 10 юни 2022 г. относно определението за наноматериал (ОВ C 229, 14.6.2022 г., стр. 1).</w:t>
      </w:r>
    </w:p>
  </w:footnote>
  <w:footnote w:id="24">
    <w:p w:rsidR="00CB3613" w:rsidRPr="005E4E2F" w:rsidRDefault="00CB3613" w:rsidP="005E4E2F">
      <w:pPr>
        <w:pStyle w:val="FootnoteText"/>
        <w:ind w:left="567" w:hanging="567"/>
        <w:rPr>
          <w:sz w:val="24"/>
          <w:szCs w:val="24"/>
          <w:lang w:val="bg-BG"/>
        </w:rPr>
      </w:pPr>
      <w:r w:rsidRPr="005E4E2F">
        <w:rPr>
          <w:rStyle w:val="FootnoteReference"/>
          <w:sz w:val="24"/>
          <w:szCs w:val="24"/>
          <w:lang w:val="bg-BG"/>
        </w:rPr>
        <w:footnoteRef/>
      </w:r>
      <w:r w:rsidR="005E4E2F" w:rsidRPr="005E4E2F">
        <w:rPr>
          <w:sz w:val="24"/>
          <w:lang w:val="bg-BG"/>
        </w:rPr>
        <w:t xml:space="preserve"> </w:t>
      </w:r>
      <w:r w:rsidR="005E4E2F" w:rsidRPr="005E4E2F">
        <w:rPr>
          <w:sz w:val="24"/>
          <w:lang w:val="bg-BG"/>
        </w:rPr>
        <w:tab/>
      </w:r>
      <w:r w:rsidRPr="005E4E2F">
        <w:rPr>
          <w:sz w:val="24"/>
          <w:lang w:val="bg-BG"/>
        </w:rPr>
        <w:t>ANSES (2020 г.) : Nanomatériaux dans les produits destinés à l’alimentation. Rapport d’expertise collective,</w:t>
      </w:r>
      <w:hyperlink r:id="rId15" w:history="1">
        <w:r w:rsidRPr="005E4E2F">
          <w:rPr>
            <w:rStyle w:val="Hyperlink"/>
            <w:sz w:val="24"/>
            <w:lang w:val="bg-BG"/>
          </w:rPr>
          <w:t xml:space="preserve"> </w:t>
        </w:r>
      </w:hyperlink>
      <w:hyperlink r:id="rId16" w:history="1">
        <w:r w:rsidRPr="005E4E2F">
          <w:rPr>
            <w:rStyle w:val="Hyperlink"/>
            <w:color w:val="1155CC"/>
            <w:sz w:val="24"/>
            <w:lang w:val="bg-BG"/>
          </w:rPr>
          <w:t>https://www.anses.fr/fr/system/files/ERCA2016SA0226Ra.pdf</w:t>
        </w:r>
      </w:hyperlink>
      <w:r w:rsidRPr="005E4E2F">
        <w:rPr>
          <w:sz w:val="24"/>
          <w:lang w:val="bg-BG"/>
        </w:rPr>
        <w:t xml:space="preserve"> (стр. 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4E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4E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4E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BG"/>
    <w:docVar w:name="dvnumam" w:val="0"/>
    <w:docVar w:name="dvpe" w:val="760.689"/>
    <w:docVar w:name="dvtitre" w:val="Резолюция на Европейския парламент от ... 2024 г. относно делегирания регламент на Комисията за изменение на Регламент (ЕС) 2015/2283 на Европейския парламент и на Съвета относно новите храни по отношение на определението за „специално създадени наноматериали“(C(2024)01612 – 2024/2691(DEA))"/>
  </w:docVars>
  <w:rsids>
    <w:rsidRoot w:val="00DD0F20"/>
    <w:rsid w:val="00002272"/>
    <w:rsid w:val="00064002"/>
    <w:rsid w:val="000677B9"/>
    <w:rsid w:val="000831BA"/>
    <w:rsid w:val="000A42CC"/>
    <w:rsid w:val="000E7DD9"/>
    <w:rsid w:val="0010095E"/>
    <w:rsid w:val="00125B37"/>
    <w:rsid w:val="001448A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E2F"/>
    <w:rsid w:val="006037C0"/>
    <w:rsid w:val="006631B6"/>
    <w:rsid w:val="00680577"/>
    <w:rsid w:val="006E706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7D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613"/>
    <w:rsid w:val="00CC2357"/>
    <w:rsid w:val="00CF071A"/>
    <w:rsid w:val="00D058B8"/>
    <w:rsid w:val="00D56C11"/>
    <w:rsid w:val="00D834A0"/>
    <w:rsid w:val="00D872DF"/>
    <w:rsid w:val="00D91E21"/>
    <w:rsid w:val="00DA7FCD"/>
    <w:rsid w:val="00DD0F2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9EE14"/>
  <w15:chartTrackingRefBased/>
  <w15:docId w15:val="{CEB821DB-3273-4746-90BB-A15B37E4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3613"/>
    <w:pPr>
      <w:spacing w:before="480" w:after="240"/>
    </w:pPr>
  </w:style>
  <w:style w:type="paragraph" w:customStyle="1" w:styleId="NormalHanging12a">
    <w:name w:val="NormalHanging12a"/>
    <w:basedOn w:val="Normal"/>
    <w:rsid w:val="00CB361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B36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-achats.be/sante/sante-au-quotidien/produits-testes/news/nanoparticules-affichage" TargetMode="External"/><Relationship Id="rId13" Type="http://schemas.openxmlformats.org/officeDocument/2006/relationships/hyperlink" Target="https://veillenanos.fr/en/dossier/nanos-and-health/nanos-health-risks/" TargetMode="External"/><Relationship Id="rId3" Type="http://schemas.openxmlformats.org/officeDocument/2006/relationships/hyperlink" Target="https://www.quechoisir.org/enquete-nanoparticules-taille-mini-doutes-maxi-n50748/" TargetMode="External"/><Relationship Id="rId7" Type="http://schemas.openxmlformats.org/officeDocument/2006/relationships/hyperlink" Target="https://www.bund.net/fileadmin/user_upload_bund/publikationen/chemie/nanotechnologie_in_lebensmitteln_hintergrund.pdf" TargetMode="External"/><Relationship Id="rId12" Type="http://schemas.openxmlformats.org/officeDocument/2006/relationships/hyperlink" Target="https://www.efsa.europa.eu/sites/default/files/assets/corporatenanotechnology121003.pdf" TargetMode="External"/><Relationship Id="rId2" Type="http://schemas.openxmlformats.org/officeDocument/2006/relationships/hyperlink" Target="https://www.agirpourlenvironnement.org/communiques-presse/enquete-exclusive-des-analyses-revelent-la-presence-de-nanoparticules-dans-3980/" TargetMode="External"/><Relationship Id="rId16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anses.fr/fr/nanomateriaux-alimentation-premiere-application-methodologie" TargetMode="External"/><Relationship Id="rId6" Type="http://schemas.openxmlformats.org/officeDocument/2006/relationships/hyperlink" Target="https://www.foodwatch.org/de/potenziell-krebserregender-farbstoff-in-backzutaten-von-dr-oetker" TargetMode="External"/><Relationship Id="rId11" Type="http://schemas.openxmlformats.org/officeDocument/2006/relationships/hyperlink" Target="https://echa.europa.eu/-/what-do-eu-citizens-think-about-nanomaterials-" TargetMode="External"/><Relationship Id="rId5" Type="http://schemas.openxmlformats.org/officeDocument/2006/relationships/hyperlink" Target="https://veillenanos.fr/wp-content/uploads/2023/01/Rapport-test-EN-20230113.pdf" TargetMode="External"/><Relationship Id="rId15" Type="http://schemas.openxmlformats.org/officeDocument/2006/relationships/hyperlink" Target="https://www.anses.fr/fr/system/files/ERCA2016SA0226Ra.pdf" TargetMode="External"/><Relationship Id="rId10" Type="http://schemas.openxmlformats.org/officeDocument/2006/relationships/hyperlink" Target="https://www.ocu.org/toda-la-informacion?type=magazine-articles&amp;magazine=ocu%20compra%20maestra&amp;year=2019" TargetMode="External"/><Relationship Id="rId4" Type="http://schemas.openxmlformats.org/officeDocument/2006/relationships/hyperlink" Target="https://bibliotheque.60millions-mag.com/detail/publication/detail-top-right/561?issue_id=113421&amp;switch_toc=archive" TargetMode="External"/><Relationship Id="rId9" Type="http://schemas.openxmlformats.org/officeDocument/2006/relationships/hyperlink" Target="https://www.altroconsumo.it/alimentazione/sicurezza-alimentare/news/nanoparticelle" TargetMode="External"/><Relationship Id="rId14" Type="http://schemas.openxmlformats.org/officeDocument/2006/relationships/hyperlink" Target="https://www.anses.fr/en/system/files/AP2018SA0168Ra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DFDE0-EBC3-457A-B942-4D67DB12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DIMITROV Cvetan</cp:lastModifiedBy>
  <cp:revision>2</cp:revision>
  <cp:lastPrinted>2004-11-19T15:42:00Z</cp:lastPrinted>
  <dcterms:created xsi:type="dcterms:W3CDTF">2024-06-12T06:54:00Z</dcterms:created>
  <dcterms:modified xsi:type="dcterms:W3CDTF">2024-06-12T06:54:00Z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