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34D4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34D4A" w:rsidRDefault="00090B89" w:rsidP="0010095E">
            <w:pPr>
              <w:pStyle w:val="EPName"/>
            </w:pPr>
            <w:r w:rsidRPr="00734D4A">
              <w:t>Evropský parlament</w:t>
            </w:r>
          </w:p>
          <w:p w:rsidR="00751A4A" w:rsidRPr="00734D4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34D4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34D4A" w:rsidRDefault="00187494" w:rsidP="0010095E">
            <w:pPr>
              <w:pStyle w:val="EPLogo"/>
            </w:pPr>
            <w:r w:rsidRPr="00734D4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34D4A" w:rsidRDefault="00D058B8" w:rsidP="004C5D52">
      <w:pPr>
        <w:pStyle w:val="LineTop"/>
      </w:pPr>
    </w:p>
    <w:p w:rsidR="00680577" w:rsidRPr="00734D4A" w:rsidRDefault="00090B89" w:rsidP="00680577">
      <w:pPr>
        <w:pStyle w:val="EPBodyTA1"/>
      </w:pPr>
      <w:r w:rsidRPr="00734D4A">
        <w:t>PŘIJATÉ TEXTY</w:t>
      </w:r>
    </w:p>
    <w:p w:rsidR="00D058B8" w:rsidRPr="00734D4A" w:rsidRDefault="00D058B8" w:rsidP="00D058B8">
      <w:pPr>
        <w:pStyle w:val="LineBottom"/>
      </w:pPr>
    </w:p>
    <w:p w:rsidR="00090B89" w:rsidRPr="00734D4A" w:rsidRDefault="00090B89" w:rsidP="00090B89">
      <w:pPr>
        <w:pStyle w:val="ATHeading1"/>
      </w:pPr>
      <w:bookmarkStart w:id="0" w:name="TANumber"/>
      <w:r w:rsidRPr="00734D4A">
        <w:t>P9_TA(2024)0</w:t>
      </w:r>
      <w:bookmarkEnd w:id="0"/>
      <w:r w:rsidR="00621150">
        <w:t>316</w:t>
      </w:r>
    </w:p>
    <w:p w:rsidR="00090B89" w:rsidRPr="00734D4A" w:rsidRDefault="00644EB3" w:rsidP="00090B89">
      <w:pPr>
        <w:pStyle w:val="ATHeading2"/>
      </w:pPr>
      <w:r w:rsidRPr="00644EB3">
        <w:t>Námitka vůči aktu v přenesené pravomoci:</w:t>
      </w:r>
      <w:r>
        <w:t xml:space="preserve"> nové potraviny - definice</w:t>
      </w:r>
      <w:r w:rsidRPr="00644EB3">
        <w:t xml:space="preserve"> „umělých </w:t>
      </w:r>
      <w:proofErr w:type="spellStart"/>
      <w:r w:rsidRPr="00644EB3">
        <w:t>nanomateriálů</w:t>
      </w:r>
      <w:proofErr w:type="spellEnd"/>
      <w:r w:rsidRPr="00644EB3">
        <w:t>“</w:t>
      </w:r>
    </w:p>
    <w:p w:rsidR="00090B89" w:rsidRPr="00734D4A" w:rsidRDefault="00090B89" w:rsidP="00090B89">
      <w:pPr>
        <w:rPr>
          <w:i/>
          <w:vanish/>
        </w:rPr>
      </w:pPr>
      <w:r w:rsidRPr="00734D4A">
        <w:rPr>
          <w:i/>
        </w:rPr>
        <w:fldChar w:fldCharType="begin"/>
      </w:r>
      <w:r w:rsidRPr="00734D4A">
        <w:rPr>
          <w:i/>
        </w:rPr>
        <w:instrText xml:space="preserve"> TC"(</w:instrText>
      </w:r>
      <w:bookmarkStart w:id="1" w:name="DocNumber"/>
      <w:r w:rsidRPr="00734D4A">
        <w:rPr>
          <w:i/>
        </w:rPr>
        <w:instrText>B9-0225/2024</w:instrText>
      </w:r>
      <w:bookmarkEnd w:id="1"/>
      <w:r w:rsidRPr="00734D4A">
        <w:rPr>
          <w:i/>
        </w:rPr>
        <w:instrText xml:space="preserve">)"\l3 \n&gt; \* MERGEFORMAT </w:instrText>
      </w:r>
      <w:r w:rsidRPr="00734D4A">
        <w:rPr>
          <w:i/>
        </w:rPr>
        <w:fldChar w:fldCharType="end"/>
      </w:r>
    </w:p>
    <w:p w:rsidR="00090B89" w:rsidRPr="00734D4A" w:rsidRDefault="00090B89" w:rsidP="00090B89">
      <w:pPr>
        <w:rPr>
          <w:vanish/>
        </w:rPr>
      </w:pPr>
      <w:bookmarkStart w:id="2" w:name="PE"/>
      <w:r w:rsidRPr="00734D4A">
        <w:rPr>
          <w:vanish/>
        </w:rPr>
        <w:t>PE760.689</w:t>
      </w:r>
      <w:bookmarkEnd w:id="2"/>
    </w:p>
    <w:p w:rsidR="00090B89" w:rsidRPr="00734D4A" w:rsidRDefault="00090B89" w:rsidP="00090B89">
      <w:pPr>
        <w:pStyle w:val="ATHeading3"/>
      </w:pPr>
      <w:bookmarkStart w:id="3" w:name="Sujet"/>
      <w:r w:rsidRPr="00734D4A">
        <w:t xml:space="preserve">Usnesení </w:t>
      </w:r>
      <w:r w:rsidR="00644EB3">
        <w:t>Evropského parlamentu ze dne 24. dubna</w:t>
      </w:r>
      <w:r w:rsidRPr="00734D4A">
        <w:t xml:space="preserve"> 2024 o nařízení Komise v přenesené pravomoci ze dne 14. března 2024, kterým se mění nařízení Evropského parlamentu a Rady (EU) 2015/2283 o nových potravinách, pokud jde o definici „umělých </w:t>
      </w:r>
      <w:proofErr w:type="spellStart"/>
      <w:r w:rsidRPr="00734D4A">
        <w:t>nanomateriálů</w:t>
      </w:r>
      <w:proofErr w:type="spellEnd"/>
      <w:r w:rsidRPr="00734D4A">
        <w:t>“</w:t>
      </w:r>
      <w:bookmarkEnd w:id="3"/>
      <w:r w:rsidRPr="00734D4A">
        <w:t xml:space="preserve"> </w:t>
      </w:r>
      <w:bookmarkStart w:id="4" w:name="References"/>
      <w:r w:rsidRPr="00734D4A">
        <w:t>(C(2024)01612 – 2024/2691(DEA))</w:t>
      </w:r>
      <w:bookmarkEnd w:id="4"/>
    </w:p>
    <w:p w:rsidR="009710C3" w:rsidRPr="00734D4A" w:rsidRDefault="009710C3" w:rsidP="009710C3">
      <w:pPr>
        <w:pStyle w:val="EPComma"/>
      </w:pPr>
      <w:bookmarkStart w:id="5" w:name="TextBodyBegin"/>
      <w:bookmarkEnd w:id="5"/>
      <w:r w:rsidRPr="00734D4A">
        <w:rPr>
          <w:i/>
          <w:iCs/>
        </w:rPr>
        <w:t>Evropský parlament</w:t>
      </w:r>
      <w:r w:rsidRPr="00734D4A">
        <w:t>,</w:t>
      </w:r>
    </w:p>
    <w:p w:rsidR="009710C3" w:rsidRPr="00734D4A" w:rsidRDefault="009710C3" w:rsidP="009710C3">
      <w:pPr>
        <w:pStyle w:val="NormalHanging12a"/>
      </w:pPr>
      <w:r w:rsidRPr="00734D4A">
        <w:t>–</w:t>
      </w:r>
      <w:r w:rsidRPr="00734D4A">
        <w:tab/>
        <w:t xml:space="preserve">s ohledem na nařízení Komise v přenesené pravomoci ze dne 14. března 2024, kterým se mění nařízení Evropského parlamentu a Rady (EU) 2015/2283 o nových potravinách, pokud jde o definici „umělých </w:t>
      </w:r>
      <w:proofErr w:type="spellStart"/>
      <w:r w:rsidRPr="00734D4A">
        <w:t>nanomateriálů</w:t>
      </w:r>
      <w:proofErr w:type="spellEnd"/>
      <w:r w:rsidRPr="00734D4A">
        <w:t>“ (C(2024)01612),</w:t>
      </w:r>
    </w:p>
    <w:p w:rsidR="009710C3" w:rsidRPr="00734D4A" w:rsidRDefault="009710C3" w:rsidP="009710C3">
      <w:pPr>
        <w:pStyle w:val="NormalHanging12a"/>
      </w:pPr>
      <w:r w:rsidRPr="00734D4A">
        <w:t>–</w:t>
      </w:r>
      <w:r w:rsidRPr="00734D4A">
        <w:tab/>
        <w:t>s ohledem na článek 290 Smlouvy o fungování Evropské unie (SFEU),</w:t>
      </w:r>
    </w:p>
    <w:p w:rsidR="009710C3" w:rsidRPr="00734D4A" w:rsidRDefault="009710C3" w:rsidP="009710C3">
      <w:pPr>
        <w:pStyle w:val="NormalHanging12a"/>
        <w:rPr>
          <w:noProof/>
        </w:rPr>
      </w:pPr>
      <w:r w:rsidRPr="00734D4A">
        <w:t>–</w:t>
      </w:r>
      <w:r w:rsidRPr="00734D4A">
        <w:tab/>
        <w:t>s ohledem na nařízení Evropského parlamentu a Rady (EU) 2015/2283 ze dne 25. listopadu 2015 o nových potravinách, o změně nařízení Evropského parlamentu a Rady (EU) č. 1169/2011 a o zrušení nařízení Evropského parlamentu a Rady (ES) č. 258/97 a nařízení Komise (ES) č. 1852/2001</w:t>
      </w:r>
      <w:r w:rsidRPr="00734D4A">
        <w:rPr>
          <w:rStyle w:val="FootnoteReference"/>
          <w:noProof/>
          <w:color w:val="000000"/>
          <w:szCs w:val="24"/>
        </w:rPr>
        <w:footnoteReference w:id="1"/>
      </w:r>
      <w:r w:rsidRPr="00734D4A">
        <w:t>, a zejména na článek 31 a čl. 32 odst. 6 tohoto nařízení,</w:t>
      </w:r>
    </w:p>
    <w:p w:rsidR="009710C3" w:rsidRPr="00734D4A" w:rsidRDefault="009710C3" w:rsidP="009710C3">
      <w:pPr>
        <w:pStyle w:val="NormalHanging12a"/>
      </w:pPr>
      <w:r w:rsidRPr="00734D4A">
        <w:t>–</w:t>
      </w:r>
      <w:r w:rsidRPr="00734D4A">
        <w:tab/>
        <w:t>s ohledem na nařízení Evropského parlamentu a Rady (EU) č. 1169/2011 ze dne 25. října 2011 o poskytování informací o potravinách spotřebitelům, o změně nařízení Evropského parlamentu a Rady (ES) č. 1924/2006 a (ES) č. 1925/2006 a o zrušení směrnice Komise 87/250/EHS, směrnice Rady 90/496/EHS, směrnice Komise 1999/10/ES, směrnice Evropského parlamentu a Rady 2000/13/ES, směrnic Komise 2002/67/ES a 2008/5/ES a nařízení Komise (ES) č. 608/2004</w:t>
      </w:r>
      <w:r w:rsidRPr="00734D4A">
        <w:rPr>
          <w:rStyle w:val="FootnoteReference"/>
          <w:noProof/>
          <w:color w:val="000000"/>
          <w:szCs w:val="24"/>
        </w:rPr>
        <w:footnoteReference w:id="2"/>
      </w:r>
      <w:r w:rsidRPr="00734D4A">
        <w:t>, a zejména na čl. 18 odst. 3 uvedeného nařízení,</w:t>
      </w:r>
    </w:p>
    <w:p w:rsidR="009710C3" w:rsidRPr="00734D4A" w:rsidRDefault="009710C3" w:rsidP="009710C3">
      <w:pPr>
        <w:pStyle w:val="NormalHanging12a"/>
      </w:pPr>
      <w:r w:rsidRPr="00734D4A">
        <w:t>–</w:t>
      </w:r>
      <w:r w:rsidRPr="00734D4A">
        <w:tab/>
        <w:t>s ohledem na nařízení Evropského parlamentu a Rady (ES) č. 1333/2008 ze dne 16. prosince 2008 o potravinářských přídatných látkách</w:t>
      </w:r>
      <w:r w:rsidRPr="00734D4A">
        <w:rPr>
          <w:rStyle w:val="FootnoteReference"/>
          <w:color w:val="000000"/>
          <w:szCs w:val="24"/>
        </w:rPr>
        <w:footnoteReference w:id="3"/>
      </w:r>
      <w:r w:rsidRPr="00734D4A">
        <w:t>,</w:t>
      </w:r>
    </w:p>
    <w:p w:rsidR="009710C3" w:rsidRPr="00734D4A" w:rsidRDefault="009710C3" w:rsidP="009710C3">
      <w:pPr>
        <w:pStyle w:val="NormalHanging12a"/>
      </w:pPr>
      <w:r w:rsidRPr="00734D4A">
        <w:lastRenderedPageBreak/>
        <w:t>–</w:t>
      </w:r>
      <w:r w:rsidRPr="00734D4A">
        <w:tab/>
        <w:t>s ohledem na seznamy Unie vytvořené nařízením Komise (EU) č. 1129/2011 ze dne 11. listopadu 2011, kterým se mění příloha II nařízení Evropského parlamentu a Rady (ES) č. 1333/2008 vytvořením seznamu potravinářských přídatných látek Unie</w:t>
      </w:r>
      <w:r w:rsidRPr="00734D4A">
        <w:rPr>
          <w:rStyle w:val="FootnoteReference"/>
          <w:color w:val="000000"/>
          <w:szCs w:val="24"/>
        </w:rPr>
        <w:footnoteReference w:id="4"/>
      </w:r>
      <w:r w:rsidRPr="00734D4A">
        <w:t xml:space="preserve"> a nařízením Komise (EU) č. 1130/2011 ze dne 11. listopadu 2011, kterým se mění příloha III nařízení Evropského parlamentu a Rady (ES) č. 1333/2008 o potravinářských přídatných látkách zavedením seznamu potravinářských přídatných látek Unie schválených pro použití v potravinářských přídatných látkách, potravinářských enzymech, potravinářských aromatech a živinách</w:t>
      </w:r>
      <w:r w:rsidRPr="00734D4A">
        <w:rPr>
          <w:rStyle w:val="FootnoteReference"/>
          <w:color w:val="000000"/>
          <w:szCs w:val="24"/>
        </w:rPr>
        <w:footnoteReference w:id="5"/>
      </w:r>
      <w:r w:rsidRPr="00734D4A">
        <w:t>,</w:t>
      </w:r>
    </w:p>
    <w:p w:rsidR="009710C3" w:rsidRPr="00734D4A" w:rsidRDefault="009710C3" w:rsidP="009710C3">
      <w:pPr>
        <w:pStyle w:val="NormalHanging12a"/>
      </w:pPr>
      <w:r w:rsidRPr="00734D4A">
        <w:t>–</w:t>
      </w:r>
      <w:r w:rsidRPr="00734D4A">
        <w:tab/>
        <w:t>s ohledem na nařízení Komise (EU) č. 257/2010 ze dne 25. března 2010, kterým se stanoví program pro přehodnocení schválených potravinářských přídatných látek v souladu s nařízením Evropského parlamentu a Rady (ES) č. 1333/2008 o potravinářských přídatných látkách</w:t>
      </w:r>
      <w:r w:rsidRPr="00734D4A">
        <w:rPr>
          <w:rStyle w:val="FootnoteReference"/>
          <w:color w:val="000000"/>
          <w:szCs w:val="24"/>
        </w:rPr>
        <w:footnoteReference w:id="6"/>
      </w:r>
      <w:r w:rsidRPr="00734D4A">
        <w:t>,</w:t>
      </w:r>
    </w:p>
    <w:p w:rsidR="009710C3" w:rsidRPr="00734D4A" w:rsidRDefault="009710C3" w:rsidP="009710C3">
      <w:pPr>
        <w:pStyle w:val="NormalHanging12a"/>
      </w:pPr>
      <w:r w:rsidRPr="00734D4A">
        <w:t>–</w:t>
      </w:r>
      <w:r w:rsidRPr="00734D4A">
        <w:tab/>
        <w:t>s ohledem na čl. 111 odst. 3 jednacího řádu,</w:t>
      </w:r>
    </w:p>
    <w:p w:rsidR="009710C3" w:rsidRPr="00734D4A" w:rsidRDefault="009710C3" w:rsidP="009710C3">
      <w:pPr>
        <w:pStyle w:val="NormalHanging12a"/>
      </w:pPr>
      <w:r w:rsidRPr="00734D4A">
        <w:t>–</w:t>
      </w:r>
      <w:r w:rsidRPr="00734D4A">
        <w:tab/>
        <w:t>s ohledem na návrh usnesení Výboru pro životní prostředí, veřejné zdraví a bezpečnost potravin,</w:t>
      </w:r>
    </w:p>
    <w:p w:rsidR="009710C3" w:rsidRPr="00734D4A" w:rsidRDefault="009710C3" w:rsidP="009710C3">
      <w:pPr>
        <w:pStyle w:val="NormalHanging12a"/>
      </w:pPr>
      <w:r w:rsidRPr="00734D4A">
        <w:t>A.</w:t>
      </w:r>
      <w:r w:rsidRPr="00734D4A">
        <w:tab/>
        <w:t xml:space="preserve">vzhledem k tomu, že podle čl. 18 odst. 3 nařízení (EU) č. 1169/2011 musí být v zájmu zajištění informovanosti spotřebitelů všechny složky potravin vyskytující se v podobě umělých </w:t>
      </w:r>
      <w:proofErr w:type="spellStart"/>
      <w:r w:rsidRPr="00734D4A">
        <w:t>nanomateriálů</w:t>
      </w:r>
      <w:proofErr w:type="spellEnd"/>
      <w:r w:rsidRPr="00734D4A">
        <w:t xml:space="preserve"> jasně uvedeny v seznamu složek potravin; vzhledem k tomu, že v souladu s tím nařízení (EU) č. 1169/2011 vymezuje „umělé </w:t>
      </w:r>
      <w:proofErr w:type="spellStart"/>
      <w:r w:rsidRPr="00734D4A">
        <w:t>nanomateriály</w:t>
      </w:r>
      <w:proofErr w:type="spellEnd"/>
      <w:r w:rsidRPr="00734D4A">
        <w:t>“ ve smyslu čl. 3 odst. 2 písm. f) nařízení (EU) 2015/2283;</w:t>
      </w:r>
    </w:p>
    <w:p w:rsidR="009710C3" w:rsidRPr="00734D4A" w:rsidRDefault="009710C3" w:rsidP="009710C3">
      <w:pPr>
        <w:pStyle w:val="NormalHanging12a"/>
      </w:pPr>
      <w:r w:rsidRPr="00734D4A">
        <w:t>B.</w:t>
      </w:r>
      <w:r w:rsidRPr="00734D4A">
        <w:tab/>
        <w:t xml:space="preserve">vzhledem k tomu, že článek 31 nařízení (EU) 2015/2283 svěřuje v zájmu dosažení cílů uvedeného nařízení Komisi pravomoc prostřednictvím aktů v přenesené pravomoci upravit a uzpůsobit definici „umělých </w:t>
      </w:r>
      <w:proofErr w:type="spellStart"/>
      <w:r w:rsidRPr="00734D4A">
        <w:t>nanomateriálů</w:t>
      </w:r>
      <w:proofErr w:type="spellEnd"/>
      <w:r w:rsidRPr="00734D4A">
        <w:t>“ zmíněnou v uvedeném článku tak, aby odpovídala vědeckotechnickému pokroku či definicím dohodnutým na mezinárodní úrovni;</w:t>
      </w:r>
    </w:p>
    <w:p w:rsidR="009710C3" w:rsidRPr="00734D4A" w:rsidRDefault="009710C3" w:rsidP="009710C3">
      <w:pPr>
        <w:pStyle w:val="NormalHanging12a"/>
      </w:pPr>
      <w:r w:rsidRPr="00734D4A">
        <w:t>C.</w:t>
      </w:r>
      <w:r w:rsidRPr="00734D4A">
        <w:tab/>
        <w:t>vzhledem k tomu, že nařízení (EU) č. 1129/2011 a (EU) č. 1130/2011 stanoví komplexní seznamy Unie, které stanoví potravinářské přídatné látky, jejichž použití bylo povoleno před vstupem nařízení (ES) č. 1333/2008 v platnost, poté co byl přezkoumán jejich soulad s ustanoveními uvedeného nařízení;</w:t>
      </w:r>
    </w:p>
    <w:p w:rsidR="009710C3" w:rsidRPr="00734D4A" w:rsidRDefault="009710C3" w:rsidP="009710C3">
      <w:pPr>
        <w:pStyle w:val="NormalHanging12a"/>
        <w:rPr>
          <w:i/>
        </w:rPr>
      </w:pPr>
      <w:r w:rsidRPr="00734D4A">
        <w:rPr>
          <w:i/>
        </w:rPr>
        <w:t>Důsledky definice</w:t>
      </w:r>
    </w:p>
    <w:p w:rsidR="009710C3" w:rsidRPr="00734D4A" w:rsidRDefault="009710C3" w:rsidP="009710C3">
      <w:pPr>
        <w:pStyle w:val="NormalHanging12a"/>
      </w:pPr>
      <w:r w:rsidRPr="00734D4A">
        <w:t>D.</w:t>
      </w:r>
      <w:r w:rsidRPr="00734D4A">
        <w:tab/>
        <w:t xml:space="preserve">vzhledem k tomu, že podle definice „umělých </w:t>
      </w:r>
      <w:proofErr w:type="spellStart"/>
      <w:r w:rsidRPr="00734D4A">
        <w:t>nanomateriálů</w:t>
      </w:r>
      <w:proofErr w:type="spellEnd"/>
      <w:r w:rsidRPr="00734D4A">
        <w:t>“ uvedené v nařízení Komise v přenesené pravomoci se určí, zda je třeba potravinu označit slovem „[</w:t>
      </w:r>
      <w:proofErr w:type="spellStart"/>
      <w:r w:rsidRPr="00734D4A">
        <w:t>nano</w:t>
      </w:r>
      <w:proofErr w:type="spellEnd"/>
      <w:r w:rsidRPr="00734D4A">
        <w:t>]“ v seznamu složek, jak je uvedeno v čl. 18 odst. 3 nařízení (EU) č. 1169/2011;</w:t>
      </w:r>
    </w:p>
    <w:p w:rsidR="009710C3" w:rsidRPr="00734D4A" w:rsidRDefault="009710C3" w:rsidP="009710C3">
      <w:pPr>
        <w:pStyle w:val="NormalHanging12a"/>
      </w:pPr>
      <w:r w:rsidRPr="00734D4A">
        <w:t>E.</w:t>
      </w:r>
      <w:r w:rsidRPr="00734D4A">
        <w:tab/>
        <w:t xml:space="preserve">vzhledem k tomu, že cílem nařízení Komise v přenesené pravomoci je řešit otázky výkladu vyplývající z definice platné v současnosti zavedením objektivních prvků pro určení, zda je </w:t>
      </w:r>
      <w:proofErr w:type="spellStart"/>
      <w:r w:rsidRPr="00734D4A">
        <w:t>nanomateriál</w:t>
      </w:r>
      <w:proofErr w:type="spellEnd"/>
      <w:r w:rsidRPr="00734D4A">
        <w:t xml:space="preserve"> „umělý“ či nikoliv, například nahrazením slov „záměrně vyrobený [materiál]“ slovem „vyrobený“;</w:t>
      </w:r>
    </w:p>
    <w:p w:rsidR="009710C3" w:rsidRPr="00734D4A" w:rsidRDefault="009710C3" w:rsidP="009710C3">
      <w:pPr>
        <w:pStyle w:val="NormalHanging12a"/>
      </w:pPr>
      <w:r w:rsidRPr="00734D4A">
        <w:t>F.</w:t>
      </w:r>
      <w:r w:rsidRPr="00734D4A">
        <w:tab/>
        <w:t xml:space="preserve">vzhledem k tomu, že nařízení Komise v přenesené pravomoci stanoví, že částice, které </w:t>
      </w:r>
      <w:r w:rsidRPr="00734D4A">
        <w:lastRenderedPageBreak/>
        <w:t xml:space="preserve">nejsou v pevném stavu, jako jsou micely, </w:t>
      </w:r>
      <w:proofErr w:type="spellStart"/>
      <w:r w:rsidRPr="00734D4A">
        <w:t>lipozomy</w:t>
      </w:r>
      <w:proofErr w:type="spellEnd"/>
      <w:r w:rsidRPr="00734D4A">
        <w:t xml:space="preserve"> nebo </w:t>
      </w:r>
      <w:proofErr w:type="spellStart"/>
      <w:r w:rsidRPr="00734D4A">
        <w:t>nanokapičky</w:t>
      </w:r>
      <w:proofErr w:type="spellEnd"/>
      <w:r w:rsidRPr="00734D4A">
        <w:t xml:space="preserve"> v emulzi, a složky obsahující méně než 50 % částic menších než 100 </w:t>
      </w:r>
      <w:proofErr w:type="spellStart"/>
      <w:r w:rsidRPr="00734D4A">
        <w:t>nm</w:t>
      </w:r>
      <w:proofErr w:type="spellEnd"/>
      <w:r w:rsidRPr="00734D4A">
        <w:t xml:space="preserve">, se nepovažují za </w:t>
      </w:r>
      <w:proofErr w:type="spellStart"/>
      <w:r w:rsidRPr="00734D4A">
        <w:t>nanomateriál</w:t>
      </w:r>
      <w:proofErr w:type="spellEnd"/>
      <w:r w:rsidRPr="00734D4A">
        <w:t xml:space="preserve"> v potravinách;</w:t>
      </w:r>
    </w:p>
    <w:p w:rsidR="009710C3" w:rsidRPr="00734D4A" w:rsidRDefault="009710C3" w:rsidP="009710C3">
      <w:pPr>
        <w:pStyle w:val="NormalHanging12a"/>
      </w:pPr>
      <w:r w:rsidRPr="00734D4A">
        <w:t>G.</w:t>
      </w:r>
      <w:r w:rsidRPr="00734D4A">
        <w:tab/>
        <w:t xml:space="preserve">vzhledem k tomu, že navrhovaná standardní prahová hodnota ve výši 50 % nebo více částic o </w:t>
      </w:r>
      <w:proofErr w:type="spellStart"/>
      <w:r w:rsidRPr="00734D4A">
        <w:t>nanovelikosti</w:t>
      </w:r>
      <w:proofErr w:type="spellEnd"/>
      <w:r w:rsidRPr="00734D4A">
        <w:t xml:space="preserve"> je arbitrární a chrání méně než výklad definice uvedené v nařízení (EU) 2015/2283, který uplatňují některé členské státy, například Francie; vzhledem k tomu, že nařízení nebere v úvahu prahovou hodnotu pro početní rozdělení velikosti částic u částic menších než 100 </w:t>
      </w:r>
      <w:proofErr w:type="spellStart"/>
      <w:r w:rsidRPr="00734D4A">
        <w:t>nm</w:t>
      </w:r>
      <w:proofErr w:type="spellEnd"/>
      <w:r w:rsidRPr="00734D4A">
        <w:t>;</w:t>
      </w:r>
    </w:p>
    <w:p w:rsidR="009710C3" w:rsidRPr="00734D4A" w:rsidRDefault="009710C3" w:rsidP="009710C3">
      <w:pPr>
        <w:spacing w:after="240"/>
        <w:ind w:left="567" w:hanging="567"/>
        <w:rPr>
          <w:szCs w:val="24"/>
        </w:rPr>
      </w:pPr>
      <w:r w:rsidRPr="00734D4A">
        <w:t>H.</w:t>
      </w:r>
      <w:r w:rsidRPr="00734D4A">
        <w:tab/>
        <w:t xml:space="preserve">vzhledem k tomu, že navrhovaná definice by případně vylučovala řadu </w:t>
      </w:r>
      <w:proofErr w:type="spellStart"/>
      <w:r w:rsidRPr="00734D4A">
        <w:t>nanolátek</w:t>
      </w:r>
      <w:proofErr w:type="spellEnd"/>
      <w:r w:rsidRPr="00734D4A">
        <w:t xml:space="preserve"> z oblasti působnosti nařízení (EU) č. 1169/2011 a ty by tudíž nepodléhaly povinnosti označit látku slovem „[</w:t>
      </w:r>
      <w:proofErr w:type="spellStart"/>
      <w:r w:rsidRPr="00734D4A">
        <w:t>nano</w:t>
      </w:r>
      <w:proofErr w:type="spellEnd"/>
      <w:r w:rsidRPr="00734D4A">
        <w:t>]“; vzhledem k tomu, že Komise v bodě 3 své důvodové zprávy uvádí, že „počet materiálů používaných v potravinách, které mohou obsahovat určitý podíl nanočástic, je omezený a většina, ne-li všechny tyto materiály nejsou nové“ a že „případné dopady aktu v přenesené pravomoci se proto budou týkat pouze velmi omezeného počtu materiálů“;</w:t>
      </w:r>
    </w:p>
    <w:p w:rsidR="009710C3" w:rsidRPr="00734D4A" w:rsidRDefault="009710C3" w:rsidP="009710C3">
      <w:pPr>
        <w:spacing w:after="240"/>
        <w:ind w:left="567" w:hanging="567"/>
        <w:rPr>
          <w:color w:val="0D0D0D"/>
          <w:szCs w:val="24"/>
        </w:rPr>
      </w:pPr>
      <w:r w:rsidRPr="00734D4A">
        <w:t xml:space="preserve">I. </w:t>
      </w:r>
      <w:r w:rsidRPr="00734D4A">
        <w:tab/>
        <w:t xml:space="preserve">vzhledem k tomu, že v současné době mohou být v potravinách jako </w:t>
      </w:r>
      <w:proofErr w:type="spellStart"/>
      <w:r w:rsidRPr="00734D4A">
        <w:t>nanomateriály</w:t>
      </w:r>
      <w:proofErr w:type="spellEnd"/>
      <w:r w:rsidRPr="00734D4A">
        <w:t xml:space="preserve"> obsaženy právě potravinářské přídatné látky; vzhledem k tomu, že </w:t>
      </w:r>
      <w:r w:rsidRPr="00734D4A">
        <w:rPr>
          <w:color w:val="0D0D0D"/>
        </w:rPr>
        <w:t>Francouzská národní zdravotní a bezpečnostní agentura (</w:t>
      </w:r>
      <w:r w:rsidRPr="00734D4A">
        <w:t xml:space="preserve">ANSES) zařadila na příslušný seznam 37 </w:t>
      </w:r>
      <w:proofErr w:type="spellStart"/>
      <w:r w:rsidRPr="00734D4A">
        <w:t>nanolátek</w:t>
      </w:r>
      <w:proofErr w:type="spellEnd"/>
      <w:r w:rsidRPr="00734D4A">
        <w:t xml:space="preserve"> používaných ve více než 900 potravinových výrobcích</w:t>
      </w:r>
      <w:r w:rsidRPr="00734D4A">
        <w:rPr>
          <w:rStyle w:val="FootnoteReference"/>
          <w:szCs w:val="24"/>
        </w:rPr>
        <w:footnoteReference w:id="7"/>
      </w:r>
      <w:r w:rsidRPr="00734D4A">
        <w:t>;</w:t>
      </w:r>
      <w:r w:rsidRPr="00734D4A">
        <w:rPr>
          <w:color w:val="0D0D0D"/>
        </w:rPr>
        <w:t xml:space="preserve"> vzhledem k tomu, že testy provedené organizacemi spotřebitelů a nevládními organizacemi (</w:t>
      </w:r>
      <w:proofErr w:type="spellStart"/>
      <w:r w:rsidRPr="00734D4A">
        <w:rPr>
          <w:color w:val="0D0D0D"/>
        </w:rPr>
        <w:t>Agir</w:t>
      </w:r>
      <w:proofErr w:type="spellEnd"/>
      <w:r w:rsidRPr="00734D4A">
        <w:rPr>
          <w:color w:val="0D0D0D"/>
        </w:rPr>
        <w:t xml:space="preserve"> </w:t>
      </w:r>
      <w:proofErr w:type="spellStart"/>
      <w:r w:rsidRPr="00734D4A">
        <w:rPr>
          <w:color w:val="0D0D0D"/>
        </w:rPr>
        <w:t>pour</w:t>
      </w:r>
      <w:proofErr w:type="spellEnd"/>
      <w:r w:rsidRPr="00734D4A">
        <w:rPr>
          <w:color w:val="0D0D0D"/>
        </w:rPr>
        <w:t xml:space="preserve"> </w:t>
      </w:r>
      <w:proofErr w:type="spellStart"/>
      <w:r w:rsidRPr="00734D4A">
        <w:rPr>
          <w:color w:val="0D0D0D"/>
        </w:rPr>
        <w:t>l’Environnement</w:t>
      </w:r>
      <w:proofErr w:type="spellEnd"/>
      <w:r w:rsidRPr="00734D4A">
        <w:rPr>
          <w:rStyle w:val="FootnoteReference"/>
          <w:color w:val="0D0D0D"/>
          <w:szCs w:val="24"/>
        </w:rPr>
        <w:footnoteReference w:id="8"/>
      </w:r>
      <w:r w:rsidRPr="00734D4A">
        <w:rPr>
          <w:color w:val="0D0D0D"/>
        </w:rPr>
        <w:t xml:space="preserve">, </w:t>
      </w:r>
      <w:proofErr w:type="spellStart"/>
      <w:r w:rsidRPr="00734D4A">
        <w:rPr>
          <w:color w:val="0D0D0D"/>
        </w:rPr>
        <w:t>Que</w:t>
      </w:r>
      <w:proofErr w:type="spellEnd"/>
      <w:r w:rsidRPr="00734D4A">
        <w:rPr>
          <w:color w:val="0D0D0D"/>
        </w:rPr>
        <w:t xml:space="preserve"> </w:t>
      </w:r>
      <w:proofErr w:type="spellStart"/>
      <w:r w:rsidRPr="00734D4A">
        <w:rPr>
          <w:color w:val="0D0D0D"/>
        </w:rPr>
        <w:t>Choisir</w:t>
      </w:r>
      <w:proofErr w:type="spellEnd"/>
      <w:r w:rsidRPr="00734D4A">
        <w:rPr>
          <w:rStyle w:val="FootnoteReference"/>
          <w:color w:val="0D0D0D"/>
          <w:szCs w:val="24"/>
        </w:rPr>
        <w:footnoteReference w:id="9"/>
      </w:r>
      <w:r w:rsidRPr="00734D4A">
        <w:rPr>
          <w:color w:val="0D0D0D"/>
        </w:rPr>
        <w:t xml:space="preserve">, 60 </w:t>
      </w:r>
      <w:proofErr w:type="spellStart"/>
      <w:r w:rsidRPr="00734D4A">
        <w:rPr>
          <w:color w:val="0D0D0D"/>
        </w:rPr>
        <w:t>Millions</w:t>
      </w:r>
      <w:proofErr w:type="spellEnd"/>
      <w:r w:rsidRPr="00734D4A">
        <w:rPr>
          <w:color w:val="0D0D0D"/>
        </w:rPr>
        <w:t xml:space="preserve"> de </w:t>
      </w:r>
      <w:proofErr w:type="spellStart"/>
      <w:r w:rsidRPr="00734D4A">
        <w:rPr>
          <w:color w:val="0D0D0D"/>
        </w:rPr>
        <w:t>consommateurs</w:t>
      </w:r>
      <w:proofErr w:type="spellEnd"/>
      <w:r w:rsidRPr="00734D4A">
        <w:rPr>
          <w:rStyle w:val="FootnoteReference"/>
          <w:color w:val="0D0D0D"/>
          <w:szCs w:val="24"/>
        </w:rPr>
        <w:footnoteReference w:id="10"/>
      </w:r>
      <w:r w:rsidRPr="00734D4A">
        <w:rPr>
          <w:color w:val="0D0D0D"/>
        </w:rPr>
        <w:t>, AVICENN</w:t>
      </w:r>
      <w:r w:rsidRPr="00734D4A">
        <w:rPr>
          <w:rStyle w:val="FootnoteReference"/>
          <w:color w:val="0D0D0D"/>
          <w:szCs w:val="24"/>
        </w:rPr>
        <w:footnoteReference w:id="11"/>
      </w:r>
      <w:r w:rsidRPr="00734D4A">
        <w:rPr>
          <w:color w:val="0D0D0D"/>
        </w:rPr>
        <w:t xml:space="preserve"> ve Francii, </w:t>
      </w:r>
      <w:proofErr w:type="spellStart"/>
      <w:r w:rsidRPr="00734D4A">
        <w:rPr>
          <w:color w:val="0D0D0D"/>
        </w:rPr>
        <w:t>Foodwatch</w:t>
      </w:r>
      <w:proofErr w:type="spellEnd"/>
      <w:r w:rsidRPr="00734D4A">
        <w:rPr>
          <w:rStyle w:val="FootnoteReference"/>
          <w:color w:val="0D0D0D"/>
          <w:szCs w:val="24"/>
        </w:rPr>
        <w:footnoteReference w:id="12"/>
      </w:r>
      <w:r w:rsidRPr="00734D4A">
        <w:rPr>
          <w:color w:val="0D0D0D"/>
        </w:rPr>
        <w:t xml:space="preserve"> a Bund</w:t>
      </w:r>
      <w:r w:rsidRPr="00734D4A">
        <w:rPr>
          <w:rStyle w:val="FootnoteReference"/>
          <w:color w:val="0D0D0D"/>
          <w:szCs w:val="24"/>
        </w:rPr>
        <w:footnoteReference w:id="13"/>
      </w:r>
      <w:r w:rsidRPr="00734D4A">
        <w:rPr>
          <w:color w:val="0D0D0D"/>
        </w:rPr>
        <w:t xml:space="preserve"> v Německu, </w:t>
      </w:r>
      <w:proofErr w:type="spellStart"/>
      <w:r w:rsidRPr="00734D4A">
        <w:rPr>
          <w:color w:val="0D0D0D"/>
        </w:rPr>
        <w:t>Testachats</w:t>
      </w:r>
      <w:proofErr w:type="spellEnd"/>
      <w:r w:rsidRPr="00734D4A">
        <w:rPr>
          <w:rStyle w:val="FootnoteReference"/>
          <w:color w:val="0D0D0D"/>
          <w:szCs w:val="24"/>
        </w:rPr>
        <w:footnoteReference w:id="14"/>
      </w:r>
      <w:r w:rsidRPr="00734D4A">
        <w:rPr>
          <w:color w:val="0D0D0D"/>
        </w:rPr>
        <w:t xml:space="preserve"> v Belgii a </w:t>
      </w:r>
      <w:proofErr w:type="spellStart"/>
      <w:r w:rsidRPr="00734D4A">
        <w:rPr>
          <w:color w:val="0D0D0D"/>
        </w:rPr>
        <w:t>Altroconsumo</w:t>
      </w:r>
      <w:proofErr w:type="spellEnd"/>
      <w:r w:rsidRPr="00734D4A">
        <w:rPr>
          <w:rStyle w:val="FootnoteReference"/>
          <w:color w:val="0D0D0D"/>
          <w:szCs w:val="24"/>
        </w:rPr>
        <w:footnoteReference w:id="15"/>
      </w:r>
      <w:r w:rsidRPr="00734D4A">
        <w:rPr>
          <w:color w:val="0D0D0D"/>
        </w:rPr>
        <w:t xml:space="preserve"> v Itálii a OCU ve Španělsku</w:t>
      </w:r>
      <w:r w:rsidRPr="00734D4A">
        <w:rPr>
          <w:rStyle w:val="FootnoteReference"/>
          <w:color w:val="0D0D0D"/>
          <w:szCs w:val="24"/>
        </w:rPr>
        <w:footnoteReference w:id="16"/>
      </w:r>
      <w:r w:rsidRPr="00734D4A">
        <w:rPr>
          <w:color w:val="0D0D0D"/>
        </w:rPr>
        <w:t>) opakovaně prokázaly přítomnost potravinářských přídatných látek s významným podílem nanočástic, například potravinářské barvivo oxid železa (E172), používané v mléčných výrobcích, pečivu a v některých snídaňových cereáliích, může obsahovat nanočástice pod prahovou hodnotou 50 %</w:t>
      </w:r>
      <w:r w:rsidRPr="00734D4A">
        <w:rPr>
          <w:color w:val="000000"/>
        </w:rPr>
        <w:t xml:space="preserve">; </w:t>
      </w:r>
      <w:r w:rsidRPr="00734D4A">
        <w:rPr>
          <w:color w:val="0D0D0D"/>
        </w:rPr>
        <w:t>vzhledem k tomu, že z toho vyplývá, že nedostatečné označování některých potravinových složek slovem „[</w:t>
      </w:r>
      <w:proofErr w:type="spellStart"/>
      <w:r w:rsidRPr="00734D4A">
        <w:rPr>
          <w:color w:val="0D0D0D"/>
        </w:rPr>
        <w:t>nano</w:t>
      </w:r>
      <w:proofErr w:type="spellEnd"/>
      <w:r w:rsidRPr="00734D4A">
        <w:rPr>
          <w:color w:val="0D0D0D"/>
        </w:rPr>
        <w:t>]“ je primárně způsobeno nevynucováním současných právních předpisů a v mnohem menší míře pak problémy s výkladem;</w:t>
      </w:r>
    </w:p>
    <w:p w:rsidR="009710C3" w:rsidRPr="00734D4A" w:rsidRDefault="009710C3" w:rsidP="009710C3">
      <w:pPr>
        <w:spacing w:after="240"/>
        <w:ind w:left="567" w:hanging="567"/>
        <w:rPr>
          <w:color w:val="0D0D0D"/>
          <w:szCs w:val="24"/>
        </w:rPr>
      </w:pPr>
      <w:r w:rsidRPr="00734D4A">
        <w:rPr>
          <w:color w:val="0D0D0D"/>
        </w:rPr>
        <w:t>J.</w:t>
      </w:r>
      <w:r w:rsidRPr="00734D4A">
        <w:rPr>
          <w:color w:val="0D0D0D"/>
        </w:rPr>
        <w:tab/>
        <w:t xml:space="preserve">vzhledem k tomu, že studie z roku 2020 zadaná Evropskou agenturou pro chemické látky prokázala, že občané požadují lepší označování předmětů každodenní spotřeby obsahujících </w:t>
      </w:r>
      <w:proofErr w:type="spellStart"/>
      <w:r w:rsidRPr="00734D4A">
        <w:rPr>
          <w:color w:val="0D0D0D"/>
        </w:rPr>
        <w:t>nanomateriály</w:t>
      </w:r>
      <w:proofErr w:type="spellEnd"/>
      <w:r w:rsidRPr="00734D4A">
        <w:rPr>
          <w:rStyle w:val="FootnoteReference"/>
          <w:color w:val="0D0D0D"/>
          <w:szCs w:val="24"/>
        </w:rPr>
        <w:footnoteReference w:id="17"/>
      </w:r>
      <w:r w:rsidRPr="00734D4A">
        <w:rPr>
          <w:color w:val="0D0D0D"/>
        </w:rPr>
        <w:t>;</w:t>
      </w:r>
    </w:p>
    <w:p w:rsidR="009710C3" w:rsidRPr="00734D4A" w:rsidRDefault="009710C3" w:rsidP="009710C3">
      <w:pPr>
        <w:spacing w:after="240"/>
        <w:rPr>
          <w:i/>
          <w:szCs w:val="24"/>
        </w:rPr>
      </w:pPr>
      <w:r w:rsidRPr="00734D4A">
        <w:rPr>
          <w:i/>
        </w:rPr>
        <w:t>Rozpory s doporučeními a nové vědecké poznatky</w:t>
      </w:r>
    </w:p>
    <w:p w:rsidR="009710C3" w:rsidRPr="00734D4A" w:rsidRDefault="009710C3" w:rsidP="009710C3">
      <w:pPr>
        <w:spacing w:after="240"/>
        <w:ind w:left="567" w:hanging="567"/>
        <w:rPr>
          <w:szCs w:val="24"/>
        </w:rPr>
      </w:pPr>
      <w:r w:rsidRPr="00734D4A">
        <w:t xml:space="preserve">K. </w:t>
      </w:r>
      <w:r w:rsidRPr="00734D4A">
        <w:tab/>
        <w:t xml:space="preserve">vzhledem k tomu, že ve svém usnesení ze dne 12. března 2014 o nařízení Komise v přenesené pravomoci ze dne 12. prosince 2013, kterým se mění nařízení Evropského parlamentu a Rady (EU) č. 1169/2011 o poskytování informací o potravinách spotřebitelům, pokud jde o definici „umělých </w:t>
      </w:r>
      <w:proofErr w:type="spellStart"/>
      <w:r w:rsidRPr="00734D4A">
        <w:t>nanomateriálů</w:t>
      </w:r>
      <w:proofErr w:type="spellEnd"/>
      <w:r w:rsidRPr="00734D4A">
        <w:t>“</w:t>
      </w:r>
      <w:r w:rsidRPr="00734D4A">
        <w:rPr>
          <w:rStyle w:val="FootnoteReference"/>
          <w:szCs w:val="24"/>
        </w:rPr>
        <w:footnoteReference w:id="18"/>
      </w:r>
      <w:r w:rsidRPr="00734D4A">
        <w:t>, Evropský parlament vyslovil námitky proti velmi podobné definici s toutéž prahovou hodnotou 50 %, která vylučovala všechny potravinářské přídatné látky, jelikož měl za to, že definice „narušuje základní cíl směrnice usilovat o vysokou úroveň ochrany zdraví a zájmů spotřebitelů poskytováním základu pro to, aby koneční spotřebitelé mohli činit informovaná rozhodnutí“; vzhledem k tomu, že Evropský parlament vyzval Komisi, aby předložila nový akt v přenesené pravomoci, ve kterém jeho postoj zohlední;</w:t>
      </w:r>
    </w:p>
    <w:p w:rsidR="009710C3" w:rsidRPr="00734D4A" w:rsidRDefault="009710C3" w:rsidP="009710C3">
      <w:pPr>
        <w:spacing w:after="240"/>
        <w:ind w:left="567" w:hanging="567"/>
        <w:rPr>
          <w:szCs w:val="24"/>
        </w:rPr>
      </w:pPr>
      <w:r w:rsidRPr="00734D4A">
        <w:t xml:space="preserve">L. </w:t>
      </w:r>
      <w:r w:rsidRPr="00734D4A">
        <w:tab/>
        <w:t>vzhledem k tomu, že ve svém usnesení ze dne 8. října 2020 o návrhu nařízení Komise, kterým se mění příloha nařízení (EU) č. 231/2012, kterým se stanoví specifikace pro potravinářské přídatné látky uvedené v přílohách II a III nařízení Evropského parlamentu a Rady (ES) č. 1333/2008 (E 171)</w:t>
      </w:r>
      <w:r w:rsidRPr="00734D4A">
        <w:rPr>
          <w:rStyle w:val="FootnoteReference"/>
          <w:szCs w:val="24"/>
        </w:rPr>
        <w:footnoteReference w:id="19"/>
      </w:r>
      <w:r w:rsidRPr="00734D4A">
        <w:t xml:space="preserve">, Evropský parlament vyjádřil námitku k návrhu nařízení Komise, které povoluje šarže potravinářské přídatné látky oxidu titaničitého (E171), které obsahují méně než 50 % částic menších než 100 </w:t>
      </w:r>
      <w:proofErr w:type="spellStart"/>
      <w:r w:rsidRPr="00734D4A">
        <w:t>nm</w:t>
      </w:r>
      <w:proofErr w:type="spellEnd"/>
      <w:r w:rsidRPr="00734D4A">
        <w:t>;</w:t>
      </w:r>
    </w:p>
    <w:p w:rsidR="009710C3" w:rsidRPr="00734D4A" w:rsidRDefault="009710C3" w:rsidP="009710C3">
      <w:pPr>
        <w:spacing w:after="240"/>
        <w:ind w:left="567" w:hanging="567"/>
        <w:rPr>
          <w:szCs w:val="24"/>
        </w:rPr>
      </w:pPr>
      <w:r w:rsidRPr="00734D4A">
        <w:t xml:space="preserve">M. </w:t>
      </w:r>
      <w:r w:rsidRPr="00734D4A">
        <w:tab/>
        <w:t>vzhledem k tomu, že Evropský úřad pro bezpečnost potravin doporučil</w:t>
      </w:r>
      <w:r w:rsidRPr="00734D4A">
        <w:rPr>
          <w:rStyle w:val="FootnoteReference"/>
          <w:szCs w:val="24"/>
        </w:rPr>
        <w:footnoteReference w:id="20"/>
      </w:r>
      <w:r w:rsidRPr="00734D4A">
        <w:t>,</w:t>
      </w:r>
      <w:r w:rsidRPr="00734D4A">
        <w:rPr>
          <w:b/>
        </w:rPr>
        <w:t xml:space="preserve"> </w:t>
      </w:r>
      <w:r w:rsidRPr="00734D4A">
        <w:t>aby „s ohledem na současnou nejistotu ohledně bezpečnosti byla v doporučení zvážena nižší prahová hodnota pro počet nanočástic, tj. 10 %, u potravinářských použití namísto navrhované hodnoty (50 %)“;</w:t>
      </w:r>
    </w:p>
    <w:p w:rsidR="009710C3" w:rsidRPr="00734D4A" w:rsidRDefault="009710C3" w:rsidP="009710C3">
      <w:pPr>
        <w:spacing w:after="240"/>
        <w:ind w:left="567" w:hanging="567"/>
        <w:rPr>
          <w:szCs w:val="24"/>
        </w:rPr>
      </w:pPr>
      <w:r w:rsidRPr="00734D4A">
        <w:t xml:space="preserve">N. </w:t>
      </w:r>
      <w:r w:rsidRPr="00734D4A">
        <w:tab/>
        <w:t>vzhledem k tomu, že akademické organizace, orgány veřejné moci, nevládní spotřebitelské organizace a organizace zabývající se životním prostředím a odbory prosazovaly v procesu konzultací Komise definici, která by zahrnovala všechny materiály, ať už vyrobené, náhodné, nebo přírodní, a standardní prahovou hodnotu ve výši 10 % nebo více částic v početním rozdělení velikosti částic;</w:t>
      </w:r>
    </w:p>
    <w:p w:rsidR="009710C3" w:rsidRPr="00734D4A" w:rsidRDefault="009710C3" w:rsidP="009710C3">
      <w:pPr>
        <w:spacing w:after="240"/>
        <w:ind w:left="567" w:hanging="567"/>
        <w:rPr>
          <w:color w:val="0D0D0D"/>
          <w:szCs w:val="24"/>
        </w:rPr>
      </w:pPr>
      <w:r w:rsidRPr="00734D4A">
        <w:rPr>
          <w:color w:val="0D0D0D"/>
        </w:rPr>
        <w:t xml:space="preserve">O. </w:t>
      </w:r>
      <w:r w:rsidRPr="00734D4A">
        <w:rPr>
          <w:color w:val="0D0D0D"/>
        </w:rPr>
        <w:tab/>
        <w:t xml:space="preserve">vzhledem k tomu, že nové vědecké poznatky a znalosti od roku 2014 potvrzují, že </w:t>
      </w:r>
      <w:proofErr w:type="spellStart"/>
      <w:r w:rsidRPr="00734D4A">
        <w:rPr>
          <w:color w:val="0D0D0D"/>
        </w:rPr>
        <w:t>nanomateriály</w:t>
      </w:r>
      <w:proofErr w:type="spellEnd"/>
      <w:r w:rsidRPr="00734D4A">
        <w:rPr>
          <w:color w:val="0D0D0D"/>
        </w:rPr>
        <w:t xml:space="preserve"> mohou pronikat fyziologickými překážkami a jsou často nebezpečnější než látky o mikro nebo </w:t>
      </w:r>
      <w:proofErr w:type="spellStart"/>
      <w:r w:rsidRPr="00734D4A">
        <w:rPr>
          <w:color w:val="0D0D0D"/>
        </w:rPr>
        <w:t>makrovelikosti</w:t>
      </w:r>
      <w:proofErr w:type="spellEnd"/>
      <w:r w:rsidRPr="00734D4A">
        <w:rPr>
          <w:rStyle w:val="FootnoteReference"/>
          <w:color w:val="0D0D0D"/>
          <w:szCs w:val="24"/>
        </w:rPr>
        <w:footnoteReference w:id="21"/>
      </w:r>
      <w:r w:rsidRPr="00734D4A">
        <w:rPr>
          <w:color w:val="0D0D0D"/>
        </w:rPr>
        <w:t>;</w:t>
      </w:r>
    </w:p>
    <w:p w:rsidR="009710C3" w:rsidRPr="00734D4A" w:rsidRDefault="009710C3" w:rsidP="009710C3">
      <w:pPr>
        <w:spacing w:after="240"/>
        <w:ind w:left="567" w:hanging="567"/>
        <w:rPr>
          <w:color w:val="0D0D0D"/>
          <w:szCs w:val="24"/>
        </w:rPr>
      </w:pPr>
      <w:r w:rsidRPr="00734D4A">
        <w:rPr>
          <w:color w:val="0D0D0D"/>
        </w:rPr>
        <w:t xml:space="preserve">P. </w:t>
      </w:r>
      <w:r w:rsidRPr="00734D4A">
        <w:rPr>
          <w:color w:val="0D0D0D"/>
        </w:rPr>
        <w:tab/>
        <w:t>vzhledem k tomu, že agentura ANSES v dubnu 2023 zveřejnila podrobnou zprávu</w:t>
      </w:r>
      <w:r w:rsidRPr="00734D4A">
        <w:rPr>
          <w:rStyle w:val="FootnoteReference"/>
          <w:color w:val="0D0D0D"/>
          <w:szCs w:val="24"/>
        </w:rPr>
        <w:footnoteReference w:id="22"/>
      </w:r>
      <w:r w:rsidRPr="00734D4A">
        <w:rPr>
          <w:color w:val="0D0D0D"/>
        </w:rPr>
        <w:t xml:space="preserve">, ve které uvádí, že definice </w:t>
      </w:r>
      <w:proofErr w:type="spellStart"/>
      <w:r w:rsidRPr="00734D4A">
        <w:rPr>
          <w:color w:val="0D0D0D"/>
        </w:rPr>
        <w:t>nanomateriálů</w:t>
      </w:r>
      <w:proofErr w:type="spellEnd"/>
      <w:r w:rsidRPr="00734D4A">
        <w:rPr>
          <w:color w:val="0D0D0D"/>
        </w:rPr>
        <w:t xml:space="preserve"> stanovená v doporučení Komise ze dne 10. června 2022</w:t>
      </w:r>
      <w:r w:rsidRPr="00734D4A">
        <w:rPr>
          <w:rStyle w:val="FootnoteReference"/>
          <w:color w:val="0D0D0D"/>
          <w:szCs w:val="24"/>
        </w:rPr>
        <w:footnoteReference w:id="23"/>
      </w:r>
      <w:r w:rsidRPr="00734D4A">
        <w:rPr>
          <w:color w:val="0D0D0D"/>
        </w:rPr>
        <w:t xml:space="preserve">, která slouží jako základ pro přezkum definice „umělých </w:t>
      </w:r>
      <w:proofErr w:type="spellStart"/>
      <w:r w:rsidRPr="00734D4A">
        <w:rPr>
          <w:color w:val="0D0D0D"/>
        </w:rPr>
        <w:t>nanomateriálů</w:t>
      </w:r>
      <w:proofErr w:type="spellEnd"/>
      <w:r w:rsidRPr="00734D4A">
        <w:rPr>
          <w:color w:val="0D0D0D"/>
        </w:rPr>
        <w:t>“ stanovené v nařízení (EU) 2015/2283, v odvětvových nařízeních, zejména v potravinářství, by měla nepříznivý dopad na předcházení zdravotním a environmentálním rizikům; vzhledem k tomu, že agentura ANSES zdůraznila, že prahová hodnota pro počet nanočástic ve výši 50 % zahrnutá v horizontální „</w:t>
      </w:r>
      <w:r w:rsidRPr="00734D4A">
        <w:t>[</w:t>
      </w:r>
      <w:proofErr w:type="spellStart"/>
      <w:r w:rsidRPr="00734D4A">
        <w:t>nano</w:t>
      </w:r>
      <w:proofErr w:type="spellEnd"/>
      <w:r w:rsidRPr="00734D4A">
        <w:t>]“</w:t>
      </w:r>
      <w:r w:rsidRPr="00734D4A">
        <w:rPr>
          <w:color w:val="0D0D0D"/>
        </w:rPr>
        <w:t xml:space="preserve"> definici „nevychází z vědeckých poznatků“, a doporučila stanovení nižšího procentního podílu u této prahové hodnoty;</w:t>
      </w:r>
    </w:p>
    <w:p w:rsidR="009710C3" w:rsidRPr="00734D4A" w:rsidRDefault="009710C3" w:rsidP="009710C3">
      <w:pPr>
        <w:spacing w:after="240"/>
        <w:ind w:left="567" w:hanging="567"/>
        <w:rPr>
          <w:color w:val="0D0D0D"/>
          <w:szCs w:val="24"/>
        </w:rPr>
      </w:pPr>
      <w:r w:rsidRPr="00734D4A">
        <w:rPr>
          <w:color w:val="0D0D0D"/>
        </w:rPr>
        <w:t xml:space="preserve">Q. </w:t>
      </w:r>
      <w:r w:rsidRPr="00734D4A">
        <w:rPr>
          <w:color w:val="0D0D0D"/>
        </w:rPr>
        <w:tab/>
        <w:t xml:space="preserve">vzhledem k tomu, že odhalování </w:t>
      </w:r>
      <w:proofErr w:type="spellStart"/>
      <w:r w:rsidRPr="00734D4A">
        <w:rPr>
          <w:color w:val="0D0D0D"/>
        </w:rPr>
        <w:t>nanosložek</w:t>
      </w:r>
      <w:proofErr w:type="spellEnd"/>
      <w:r w:rsidRPr="00734D4A">
        <w:rPr>
          <w:color w:val="0D0D0D"/>
        </w:rPr>
        <w:t xml:space="preserve"> v potravinách na základě prahové hodnoty pro počet nanočástic ve výši 10 % je proveditelné, jelikož se jedná o mezní hodnotu, kterou v současnosti uplatňuje francouzské Generální ředitelství pro záležitosti spotřebitelů, hospodářskou soutěž a kontrolu podvodů při svých kontrolních činnostech</w:t>
      </w:r>
      <w:r w:rsidRPr="00734D4A">
        <w:rPr>
          <w:rStyle w:val="FootnoteReference"/>
          <w:color w:val="0D0D0D"/>
          <w:szCs w:val="24"/>
        </w:rPr>
        <w:footnoteReference w:id="24"/>
      </w:r>
      <w:r w:rsidRPr="00734D4A">
        <w:rPr>
          <w:color w:val="0D0D0D"/>
        </w:rPr>
        <w:t>;</w:t>
      </w:r>
    </w:p>
    <w:p w:rsidR="009710C3" w:rsidRPr="00734D4A" w:rsidRDefault="009710C3" w:rsidP="009710C3">
      <w:pPr>
        <w:spacing w:after="240"/>
        <w:rPr>
          <w:i/>
          <w:color w:val="0D0D0D"/>
          <w:szCs w:val="24"/>
        </w:rPr>
      </w:pPr>
      <w:r w:rsidRPr="00734D4A">
        <w:rPr>
          <w:i/>
          <w:color w:val="0D0D0D"/>
        </w:rPr>
        <w:t>Zásada předběžné opatrnosti</w:t>
      </w:r>
    </w:p>
    <w:p w:rsidR="009710C3" w:rsidRPr="00734D4A" w:rsidRDefault="009710C3" w:rsidP="009710C3">
      <w:pPr>
        <w:spacing w:after="240"/>
        <w:ind w:left="567" w:hanging="567"/>
        <w:rPr>
          <w:color w:val="0D0D0D"/>
          <w:szCs w:val="24"/>
        </w:rPr>
      </w:pPr>
      <w:r w:rsidRPr="00734D4A">
        <w:rPr>
          <w:color w:val="0D0D0D"/>
        </w:rPr>
        <w:t>R.</w:t>
      </w:r>
      <w:r w:rsidRPr="00734D4A">
        <w:rPr>
          <w:color w:val="0D0D0D"/>
        </w:rPr>
        <w:tab/>
        <w:t>vzhledem k tomu, že čl. 191 odst. 2 SFEU stanoví zásadu předběžné opatrnosti jako jednu ze základních zásad EU;</w:t>
      </w:r>
    </w:p>
    <w:p w:rsidR="009710C3" w:rsidRPr="00734D4A" w:rsidRDefault="009710C3" w:rsidP="009710C3">
      <w:pPr>
        <w:spacing w:after="240"/>
        <w:ind w:left="567" w:hanging="567"/>
        <w:rPr>
          <w:szCs w:val="24"/>
        </w:rPr>
      </w:pPr>
      <w:r w:rsidRPr="00734D4A">
        <w:t xml:space="preserve">S. </w:t>
      </w:r>
      <w:r w:rsidRPr="00734D4A">
        <w:tab/>
        <w:t>vzhledem k tomu, že čl. 168 odst. 1 SFEU stanoví, že „při vymezení a provádění všech politik a činností Unie je zajištěn vysoký stupeň ochrany lidského zdraví“;</w:t>
      </w:r>
    </w:p>
    <w:p w:rsidR="009710C3" w:rsidRPr="00734D4A" w:rsidRDefault="009710C3" w:rsidP="009710C3">
      <w:pPr>
        <w:pStyle w:val="NormalHanging12a"/>
        <w:rPr>
          <w:szCs w:val="24"/>
        </w:rPr>
      </w:pPr>
      <w:r w:rsidRPr="00734D4A">
        <w:t>1.</w:t>
      </w:r>
      <w:r w:rsidRPr="00734D4A">
        <w:tab/>
        <w:t>vyslovuje námitku vůči nařízení Komise v přenesené pravomoci;</w:t>
      </w:r>
    </w:p>
    <w:p w:rsidR="009710C3" w:rsidRPr="00734D4A" w:rsidRDefault="009710C3" w:rsidP="009710C3">
      <w:pPr>
        <w:pStyle w:val="NormalHanging12a"/>
        <w:rPr>
          <w:szCs w:val="24"/>
        </w:rPr>
      </w:pPr>
      <w:r w:rsidRPr="00734D4A">
        <w:t>2.</w:t>
      </w:r>
      <w:r w:rsidRPr="00734D4A">
        <w:tab/>
        <w:t xml:space="preserve">pověřuje svou předsedkyni, aby toto usnesení předala Komisi a aby ji informovala, že nařízení v přenesené pravomoci nemůže vstoupit v platnost; </w:t>
      </w:r>
    </w:p>
    <w:p w:rsidR="009710C3" w:rsidRPr="00734D4A" w:rsidRDefault="009710C3" w:rsidP="009710C3">
      <w:pPr>
        <w:spacing w:after="240"/>
        <w:ind w:left="567" w:hanging="567"/>
        <w:rPr>
          <w:szCs w:val="24"/>
        </w:rPr>
      </w:pPr>
      <w:r w:rsidRPr="00734D4A">
        <w:t xml:space="preserve">3. </w:t>
      </w:r>
      <w:r w:rsidRPr="00734D4A">
        <w:tab/>
        <w:t>domnívá se, že nařízení Komise v přenesené pravomoci není slučitelné s cílem a obsahem nařízení (EU) 2015/2283 a že překračuje přenesené pravomoci svěřené Komisi článkem 31 uvedeného nařízení;</w:t>
      </w:r>
    </w:p>
    <w:p w:rsidR="009710C3" w:rsidRPr="00734D4A" w:rsidRDefault="009710C3" w:rsidP="009710C3">
      <w:pPr>
        <w:spacing w:after="240"/>
        <w:ind w:left="567" w:hanging="567"/>
        <w:rPr>
          <w:szCs w:val="24"/>
        </w:rPr>
      </w:pPr>
      <w:r w:rsidRPr="00734D4A">
        <w:t xml:space="preserve">4. </w:t>
      </w:r>
      <w:r w:rsidRPr="00734D4A">
        <w:tab/>
        <w:t>vyjadřuje politování nad tím, že navrhovaná prahová hodnota ve výši 50 % nebere v potaz technický a vědecký pokrok;</w:t>
      </w:r>
    </w:p>
    <w:p w:rsidR="009710C3" w:rsidRPr="00734D4A" w:rsidRDefault="009710C3" w:rsidP="009710C3">
      <w:pPr>
        <w:pStyle w:val="NormalHanging12a"/>
        <w:rPr>
          <w:szCs w:val="24"/>
        </w:rPr>
      </w:pPr>
      <w:r w:rsidRPr="00734D4A">
        <w:t xml:space="preserve">5. </w:t>
      </w:r>
      <w:r w:rsidRPr="00734D4A">
        <w:tab/>
        <w:t>vyzývá Komisi, aby uplatnila zásadu předběžné opatrnosti a zajistila bezpečnost a informování spotřebitelů a aby zohlednila přístup „jedno zdraví“;</w:t>
      </w:r>
    </w:p>
    <w:p w:rsidR="009710C3" w:rsidRPr="00734D4A" w:rsidRDefault="009710C3" w:rsidP="009710C3">
      <w:pPr>
        <w:pStyle w:val="NormalHanging12a"/>
        <w:rPr>
          <w:szCs w:val="24"/>
        </w:rPr>
      </w:pPr>
      <w:r w:rsidRPr="00734D4A">
        <w:t>6.</w:t>
      </w:r>
      <w:r w:rsidRPr="00734D4A">
        <w:tab/>
        <w:t>pověřuje svou předsedkyni, aby předala toto usnesení Radě, jakož i vládám a parlamentům členských států.</w:t>
      </w:r>
    </w:p>
    <w:sectPr w:rsidR="009710C3" w:rsidRPr="00734D4A" w:rsidSect="00734D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B89" w:rsidRPr="00734D4A" w:rsidRDefault="00090B89">
      <w:r w:rsidRPr="00734D4A">
        <w:separator/>
      </w:r>
    </w:p>
  </w:endnote>
  <w:endnote w:type="continuationSeparator" w:id="0">
    <w:p w:rsidR="00090B89" w:rsidRPr="00734D4A" w:rsidRDefault="00090B89">
      <w:r w:rsidRPr="00734D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4D4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4D4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4D4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B89" w:rsidRPr="00734D4A" w:rsidRDefault="00090B89">
      <w:r w:rsidRPr="00734D4A">
        <w:separator/>
      </w:r>
    </w:p>
  </w:footnote>
  <w:footnote w:type="continuationSeparator" w:id="0">
    <w:p w:rsidR="00090B89" w:rsidRPr="00734D4A" w:rsidRDefault="00090B89">
      <w:r w:rsidRPr="00734D4A">
        <w:continuationSeparator/>
      </w:r>
    </w:p>
  </w:footnote>
  <w:footnote w:id="1">
    <w:p w:rsidR="009710C3" w:rsidRPr="00734D4A" w:rsidRDefault="009710C3" w:rsidP="00734D4A">
      <w:pPr>
        <w:pStyle w:val="FootnoteText"/>
        <w:ind w:left="567" w:hanging="567"/>
        <w:rPr>
          <w:sz w:val="24"/>
          <w:lang w:val="cs-CZ"/>
        </w:rPr>
      </w:pPr>
      <w:r w:rsidRPr="00734D4A">
        <w:rPr>
          <w:rStyle w:val="FootnoteReference"/>
          <w:sz w:val="24"/>
          <w:lang w:val="cs-CZ"/>
        </w:rPr>
        <w:footnoteRef/>
      </w:r>
      <w:r w:rsidR="00734D4A" w:rsidRPr="00734D4A">
        <w:rPr>
          <w:sz w:val="24"/>
          <w:lang w:val="cs-CZ"/>
        </w:rPr>
        <w:t xml:space="preserve"> </w:t>
      </w:r>
      <w:r w:rsidR="00734D4A" w:rsidRPr="00734D4A">
        <w:rPr>
          <w:sz w:val="24"/>
          <w:lang w:val="cs-CZ"/>
        </w:rPr>
        <w:tab/>
      </w:r>
      <w:proofErr w:type="spellStart"/>
      <w:r w:rsidRPr="00734D4A">
        <w:rPr>
          <w:sz w:val="24"/>
          <w:lang w:val="cs-CZ"/>
        </w:rPr>
        <w:t>Úř</w:t>
      </w:r>
      <w:proofErr w:type="spellEnd"/>
      <w:r w:rsidRPr="00734D4A">
        <w:rPr>
          <w:sz w:val="24"/>
          <w:lang w:val="cs-CZ"/>
        </w:rPr>
        <w:t>.</w:t>
      </w:r>
      <w:r w:rsidR="00621150">
        <w:rPr>
          <w:sz w:val="24"/>
          <w:lang w:val="cs-CZ"/>
        </w:rPr>
        <w:t xml:space="preserve"> </w:t>
      </w:r>
      <w:proofErr w:type="spellStart"/>
      <w:proofErr w:type="gramStart"/>
      <w:r w:rsidR="00621150">
        <w:rPr>
          <w:sz w:val="24"/>
          <w:lang w:val="cs-CZ"/>
        </w:rPr>
        <w:t>věst</w:t>
      </w:r>
      <w:proofErr w:type="spellEnd"/>
      <w:proofErr w:type="gramEnd"/>
      <w:r w:rsidR="00621150">
        <w:rPr>
          <w:sz w:val="24"/>
          <w:lang w:val="cs-CZ"/>
        </w:rPr>
        <w:t xml:space="preserve">. L 327, </w:t>
      </w:r>
      <w:proofErr w:type="gramStart"/>
      <w:r w:rsidR="00621150">
        <w:rPr>
          <w:sz w:val="24"/>
          <w:lang w:val="cs-CZ"/>
        </w:rPr>
        <w:t>11.12.2015</w:t>
      </w:r>
      <w:proofErr w:type="gramEnd"/>
      <w:r w:rsidR="00621150">
        <w:rPr>
          <w:sz w:val="24"/>
          <w:lang w:val="cs-CZ"/>
        </w:rPr>
        <w:t>, s. 1.</w:t>
      </w:r>
      <w:bookmarkStart w:id="6" w:name="_GoBack"/>
      <w:bookmarkEnd w:id="6"/>
    </w:p>
  </w:footnote>
  <w:footnote w:id="2">
    <w:p w:rsidR="009710C3" w:rsidRPr="00734D4A" w:rsidRDefault="009710C3" w:rsidP="00734D4A">
      <w:pPr>
        <w:pStyle w:val="FootnoteText"/>
        <w:ind w:left="567" w:hanging="567"/>
        <w:rPr>
          <w:sz w:val="24"/>
          <w:lang w:val="cs-CZ"/>
        </w:rPr>
      </w:pPr>
      <w:r w:rsidRPr="00734D4A">
        <w:rPr>
          <w:rStyle w:val="FootnoteReference"/>
          <w:sz w:val="24"/>
          <w:lang w:val="cs-CZ"/>
        </w:rPr>
        <w:footnoteRef/>
      </w:r>
      <w:r w:rsidR="00734D4A" w:rsidRPr="00734D4A">
        <w:rPr>
          <w:sz w:val="24"/>
          <w:lang w:val="cs-CZ"/>
        </w:rPr>
        <w:t xml:space="preserve"> </w:t>
      </w:r>
      <w:r w:rsidR="00734D4A" w:rsidRPr="00734D4A">
        <w:rPr>
          <w:sz w:val="24"/>
          <w:lang w:val="cs-CZ"/>
        </w:rPr>
        <w:tab/>
      </w:r>
      <w:proofErr w:type="spellStart"/>
      <w:r w:rsidRPr="00734D4A">
        <w:rPr>
          <w:sz w:val="24"/>
          <w:lang w:val="cs-CZ"/>
        </w:rPr>
        <w:t>Úř</w:t>
      </w:r>
      <w:proofErr w:type="spellEnd"/>
      <w:r w:rsidRPr="00734D4A">
        <w:rPr>
          <w:sz w:val="24"/>
          <w:lang w:val="cs-CZ"/>
        </w:rPr>
        <w:t xml:space="preserve">. </w:t>
      </w:r>
      <w:proofErr w:type="spellStart"/>
      <w:proofErr w:type="gramStart"/>
      <w:r w:rsidRPr="00734D4A">
        <w:rPr>
          <w:sz w:val="24"/>
          <w:lang w:val="cs-CZ"/>
        </w:rPr>
        <w:t>věst</w:t>
      </w:r>
      <w:proofErr w:type="spellEnd"/>
      <w:proofErr w:type="gramEnd"/>
      <w:r w:rsidRPr="00734D4A">
        <w:rPr>
          <w:sz w:val="24"/>
          <w:lang w:val="cs-CZ"/>
        </w:rPr>
        <w:t xml:space="preserve">. L 304, </w:t>
      </w:r>
      <w:proofErr w:type="gramStart"/>
      <w:r w:rsidRPr="00734D4A">
        <w:rPr>
          <w:sz w:val="24"/>
          <w:lang w:val="cs-CZ"/>
        </w:rPr>
        <w:t>22.11.2011</w:t>
      </w:r>
      <w:proofErr w:type="gramEnd"/>
      <w:r w:rsidRPr="00734D4A">
        <w:rPr>
          <w:sz w:val="24"/>
          <w:lang w:val="cs-CZ"/>
        </w:rPr>
        <w:t>, s. 18.</w:t>
      </w:r>
    </w:p>
  </w:footnote>
  <w:footnote w:id="3">
    <w:p w:rsidR="009710C3" w:rsidRPr="00734D4A" w:rsidRDefault="009710C3" w:rsidP="00734D4A">
      <w:pPr>
        <w:pStyle w:val="FootnoteText"/>
        <w:ind w:left="567" w:hanging="567"/>
        <w:rPr>
          <w:sz w:val="24"/>
          <w:lang w:val="cs-CZ"/>
        </w:rPr>
      </w:pPr>
      <w:r w:rsidRPr="00734D4A">
        <w:rPr>
          <w:rStyle w:val="FootnoteReference"/>
          <w:sz w:val="24"/>
          <w:lang w:val="cs-CZ"/>
        </w:rPr>
        <w:footnoteRef/>
      </w:r>
      <w:r w:rsidR="00734D4A" w:rsidRPr="00734D4A">
        <w:rPr>
          <w:sz w:val="24"/>
          <w:lang w:val="cs-CZ"/>
        </w:rPr>
        <w:t xml:space="preserve"> </w:t>
      </w:r>
      <w:r w:rsidR="00734D4A" w:rsidRPr="00734D4A">
        <w:rPr>
          <w:sz w:val="24"/>
          <w:lang w:val="cs-CZ"/>
        </w:rPr>
        <w:tab/>
      </w:r>
      <w:proofErr w:type="spellStart"/>
      <w:r w:rsidRPr="00734D4A">
        <w:rPr>
          <w:sz w:val="24"/>
          <w:lang w:val="cs-CZ"/>
        </w:rPr>
        <w:t>Úř</w:t>
      </w:r>
      <w:proofErr w:type="spellEnd"/>
      <w:r w:rsidRPr="00734D4A">
        <w:rPr>
          <w:sz w:val="24"/>
          <w:lang w:val="cs-CZ"/>
        </w:rPr>
        <w:t xml:space="preserve">. </w:t>
      </w:r>
      <w:proofErr w:type="spellStart"/>
      <w:proofErr w:type="gramStart"/>
      <w:r w:rsidRPr="00734D4A">
        <w:rPr>
          <w:sz w:val="24"/>
          <w:lang w:val="cs-CZ"/>
        </w:rPr>
        <w:t>věst</w:t>
      </w:r>
      <w:proofErr w:type="spellEnd"/>
      <w:proofErr w:type="gramEnd"/>
      <w:r w:rsidRPr="00734D4A">
        <w:rPr>
          <w:sz w:val="24"/>
          <w:lang w:val="cs-CZ"/>
        </w:rPr>
        <w:t xml:space="preserve">. L 354, </w:t>
      </w:r>
      <w:proofErr w:type="gramStart"/>
      <w:r w:rsidRPr="00734D4A">
        <w:rPr>
          <w:sz w:val="24"/>
          <w:lang w:val="cs-CZ"/>
        </w:rPr>
        <w:t>31.12.2008</w:t>
      </w:r>
      <w:proofErr w:type="gramEnd"/>
      <w:r w:rsidRPr="00734D4A">
        <w:rPr>
          <w:sz w:val="24"/>
          <w:lang w:val="cs-CZ"/>
        </w:rPr>
        <w:t>, s. 16.</w:t>
      </w:r>
    </w:p>
  </w:footnote>
  <w:footnote w:id="4">
    <w:p w:rsidR="009710C3" w:rsidRPr="00734D4A" w:rsidRDefault="009710C3" w:rsidP="00734D4A">
      <w:pPr>
        <w:pStyle w:val="FootnoteText"/>
        <w:ind w:left="567" w:hanging="567"/>
        <w:rPr>
          <w:sz w:val="24"/>
          <w:lang w:val="cs-CZ"/>
        </w:rPr>
      </w:pPr>
      <w:r w:rsidRPr="00734D4A">
        <w:rPr>
          <w:rStyle w:val="FootnoteReference"/>
          <w:sz w:val="24"/>
          <w:lang w:val="cs-CZ"/>
        </w:rPr>
        <w:footnoteRef/>
      </w:r>
      <w:r w:rsidR="00734D4A" w:rsidRPr="00734D4A">
        <w:rPr>
          <w:sz w:val="24"/>
          <w:lang w:val="cs-CZ"/>
        </w:rPr>
        <w:t xml:space="preserve"> </w:t>
      </w:r>
      <w:r w:rsidR="00734D4A" w:rsidRPr="00734D4A">
        <w:rPr>
          <w:sz w:val="24"/>
          <w:lang w:val="cs-CZ"/>
        </w:rPr>
        <w:tab/>
      </w:r>
      <w:proofErr w:type="spellStart"/>
      <w:r w:rsidRPr="00734D4A">
        <w:rPr>
          <w:sz w:val="24"/>
          <w:lang w:val="cs-CZ"/>
        </w:rPr>
        <w:t>Úř</w:t>
      </w:r>
      <w:proofErr w:type="spellEnd"/>
      <w:r w:rsidRPr="00734D4A">
        <w:rPr>
          <w:sz w:val="24"/>
          <w:lang w:val="cs-CZ"/>
        </w:rPr>
        <w:t xml:space="preserve">. </w:t>
      </w:r>
      <w:proofErr w:type="spellStart"/>
      <w:proofErr w:type="gramStart"/>
      <w:r w:rsidRPr="00734D4A">
        <w:rPr>
          <w:sz w:val="24"/>
          <w:lang w:val="cs-CZ"/>
        </w:rPr>
        <w:t>věst</w:t>
      </w:r>
      <w:proofErr w:type="spellEnd"/>
      <w:proofErr w:type="gramEnd"/>
      <w:r w:rsidRPr="00734D4A">
        <w:rPr>
          <w:sz w:val="24"/>
          <w:lang w:val="cs-CZ"/>
        </w:rPr>
        <w:t xml:space="preserve">. L 295, </w:t>
      </w:r>
      <w:proofErr w:type="gramStart"/>
      <w:r w:rsidRPr="00734D4A">
        <w:rPr>
          <w:sz w:val="24"/>
          <w:lang w:val="cs-CZ"/>
        </w:rPr>
        <w:t>12.11.2011</w:t>
      </w:r>
      <w:proofErr w:type="gramEnd"/>
      <w:r w:rsidRPr="00734D4A">
        <w:rPr>
          <w:sz w:val="24"/>
          <w:lang w:val="cs-CZ"/>
        </w:rPr>
        <w:t>, s. 1.</w:t>
      </w:r>
    </w:p>
  </w:footnote>
  <w:footnote w:id="5">
    <w:p w:rsidR="009710C3" w:rsidRPr="00734D4A" w:rsidRDefault="009710C3" w:rsidP="00734D4A">
      <w:pPr>
        <w:pStyle w:val="FootnoteText"/>
        <w:ind w:left="567" w:hanging="567"/>
        <w:rPr>
          <w:sz w:val="24"/>
          <w:lang w:val="cs-CZ"/>
        </w:rPr>
      </w:pPr>
      <w:r w:rsidRPr="00734D4A">
        <w:rPr>
          <w:rStyle w:val="FootnoteReference"/>
          <w:sz w:val="24"/>
          <w:lang w:val="cs-CZ"/>
        </w:rPr>
        <w:footnoteRef/>
      </w:r>
      <w:r w:rsidR="00734D4A" w:rsidRPr="00734D4A">
        <w:rPr>
          <w:sz w:val="24"/>
          <w:lang w:val="cs-CZ"/>
        </w:rPr>
        <w:t xml:space="preserve"> </w:t>
      </w:r>
      <w:r w:rsidR="00734D4A" w:rsidRPr="00734D4A">
        <w:rPr>
          <w:sz w:val="24"/>
          <w:lang w:val="cs-CZ"/>
        </w:rPr>
        <w:tab/>
      </w:r>
      <w:proofErr w:type="spellStart"/>
      <w:r w:rsidRPr="00734D4A">
        <w:rPr>
          <w:sz w:val="24"/>
          <w:lang w:val="cs-CZ"/>
        </w:rPr>
        <w:t>Úř</w:t>
      </w:r>
      <w:proofErr w:type="spellEnd"/>
      <w:r w:rsidRPr="00734D4A">
        <w:rPr>
          <w:sz w:val="24"/>
          <w:lang w:val="cs-CZ"/>
        </w:rPr>
        <w:t xml:space="preserve">. </w:t>
      </w:r>
      <w:proofErr w:type="spellStart"/>
      <w:proofErr w:type="gramStart"/>
      <w:r w:rsidRPr="00734D4A">
        <w:rPr>
          <w:sz w:val="24"/>
          <w:lang w:val="cs-CZ"/>
        </w:rPr>
        <w:t>věst</w:t>
      </w:r>
      <w:proofErr w:type="spellEnd"/>
      <w:proofErr w:type="gramEnd"/>
      <w:r w:rsidRPr="00734D4A">
        <w:rPr>
          <w:sz w:val="24"/>
          <w:lang w:val="cs-CZ"/>
        </w:rPr>
        <w:t xml:space="preserve">. L 295, </w:t>
      </w:r>
      <w:proofErr w:type="gramStart"/>
      <w:r w:rsidRPr="00734D4A">
        <w:rPr>
          <w:sz w:val="24"/>
          <w:lang w:val="cs-CZ"/>
        </w:rPr>
        <w:t>12.11.2011</w:t>
      </w:r>
      <w:proofErr w:type="gramEnd"/>
      <w:r w:rsidRPr="00734D4A">
        <w:rPr>
          <w:sz w:val="24"/>
          <w:lang w:val="cs-CZ"/>
        </w:rPr>
        <w:t>, s. 178.</w:t>
      </w:r>
    </w:p>
  </w:footnote>
  <w:footnote w:id="6">
    <w:p w:rsidR="009710C3" w:rsidRPr="00734D4A" w:rsidRDefault="009710C3" w:rsidP="00734D4A">
      <w:pPr>
        <w:pStyle w:val="FootnoteText"/>
        <w:ind w:left="567" w:hanging="567"/>
        <w:rPr>
          <w:sz w:val="24"/>
          <w:lang w:val="cs-CZ"/>
        </w:rPr>
      </w:pPr>
      <w:r w:rsidRPr="00734D4A">
        <w:rPr>
          <w:rStyle w:val="FootnoteReference"/>
          <w:sz w:val="24"/>
          <w:lang w:val="cs-CZ"/>
        </w:rPr>
        <w:footnoteRef/>
      </w:r>
      <w:r w:rsidR="00734D4A" w:rsidRPr="00734D4A">
        <w:rPr>
          <w:sz w:val="24"/>
          <w:lang w:val="cs-CZ"/>
        </w:rPr>
        <w:t xml:space="preserve"> </w:t>
      </w:r>
      <w:r w:rsidR="00734D4A" w:rsidRPr="00734D4A">
        <w:rPr>
          <w:sz w:val="24"/>
          <w:lang w:val="cs-CZ"/>
        </w:rPr>
        <w:tab/>
      </w:r>
      <w:proofErr w:type="spellStart"/>
      <w:r w:rsidRPr="00734D4A">
        <w:rPr>
          <w:sz w:val="24"/>
          <w:lang w:val="cs-CZ"/>
        </w:rPr>
        <w:t>Úř</w:t>
      </w:r>
      <w:proofErr w:type="spellEnd"/>
      <w:r w:rsidRPr="00734D4A">
        <w:rPr>
          <w:sz w:val="24"/>
          <w:lang w:val="cs-CZ"/>
        </w:rPr>
        <w:t xml:space="preserve">. </w:t>
      </w:r>
      <w:proofErr w:type="spellStart"/>
      <w:proofErr w:type="gramStart"/>
      <w:r w:rsidRPr="00734D4A">
        <w:rPr>
          <w:sz w:val="24"/>
          <w:lang w:val="cs-CZ"/>
        </w:rPr>
        <w:t>věst</w:t>
      </w:r>
      <w:proofErr w:type="spellEnd"/>
      <w:proofErr w:type="gramEnd"/>
      <w:r w:rsidRPr="00734D4A">
        <w:rPr>
          <w:sz w:val="24"/>
          <w:lang w:val="cs-CZ"/>
        </w:rPr>
        <w:t xml:space="preserve">. L 80, </w:t>
      </w:r>
      <w:proofErr w:type="gramStart"/>
      <w:r w:rsidRPr="00734D4A">
        <w:rPr>
          <w:sz w:val="24"/>
          <w:lang w:val="cs-CZ"/>
        </w:rPr>
        <w:t>26.3.2010</w:t>
      </w:r>
      <w:proofErr w:type="gramEnd"/>
      <w:r w:rsidRPr="00734D4A">
        <w:rPr>
          <w:sz w:val="24"/>
          <w:lang w:val="cs-CZ"/>
        </w:rPr>
        <w:t>, s. 19.</w:t>
      </w:r>
    </w:p>
  </w:footnote>
  <w:footnote w:id="7">
    <w:p w:rsidR="009710C3" w:rsidRPr="00734D4A" w:rsidRDefault="009710C3" w:rsidP="00734D4A">
      <w:pPr>
        <w:pStyle w:val="FootnoteText"/>
        <w:ind w:left="567" w:hanging="567"/>
        <w:rPr>
          <w:sz w:val="24"/>
          <w:szCs w:val="24"/>
          <w:lang w:val="cs-CZ"/>
        </w:rPr>
      </w:pPr>
      <w:r w:rsidRPr="00734D4A">
        <w:rPr>
          <w:rStyle w:val="FootnoteReference"/>
          <w:sz w:val="24"/>
          <w:szCs w:val="24"/>
          <w:lang w:val="cs-CZ"/>
        </w:rPr>
        <w:footnoteRef/>
      </w:r>
      <w:r w:rsidR="00734D4A" w:rsidRPr="00734D4A">
        <w:rPr>
          <w:sz w:val="24"/>
          <w:lang w:val="cs-CZ"/>
        </w:rPr>
        <w:t xml:space="preserve"> </w:t>
      </w:r>
      <w:r w:rsidR="00734D4A" w:rsidRPr="00734D4A">
        <w:rPr>
          <w:sz w:val="24"/>
          <w:lang w:val="cs-CZ"/>
        </w:rPr>
        <w:tab/>
      </w:r>
      <w:hyperlink r:id="rId1" w:history="1">
        <w:r w:rsidRPr="00734D4A">
          <w:rPr>
            <w:rStyle w:val="Hyperlink"/>
            <w:color w:val="1155CC"/>
            <w:sz w:val="24"/>
            <w:lang w:val="cs-CZ"/>
          </w:rPr>
          <w:t>https://www.anses.fr/fr/nanomateriaux-alimentation-premiere-application-methodologie</w:t>
        </w:r>
      </w:hyperlink>
      <w:r w:rsidRPr="00734D4A">
        <w:rPr>
          <w:rStyle w:val="Hyperlink"/>
          <w:color w:val="1155CC"/>
          <w:sz w:val="24"/>
          <w:lang w:val="cs-CZ"/>
        </w:rPr>
        <w:t>.</w:t>
      </w:r>
      <w:r w:rsidRPr="00734D4A">
        <w:rPr>
          <w:color w:val="1155CC"/>
          <w:sz w:val="24"/>
          <w:u w:val="single"/>
          <w:lang w:val="cs-CZ"/>
        </w:rPr>
        <w:t xml:space="preserve"> </w:t>
      </w:r>
    </w:p>
  </w:footnote>
  <w:footnote w:id="8">
    <w:p w:rsidR="009710C3" w:rsidRPr="00734D4A" w:rsidRDefault="009710C3" w:rsidP="00734D4A">
      <w:pPr>
        <w:pStyle w:val="FootnoteText"/>
        <w:ind w:left="567" w:hanging="567"/>
        <w:rPr>
          <w:sz w:val="24"/>
          <w:szCs w:val="24"/>
          <w:lang w:val="cs-CZ"/>
        </w:rPr>
      </w:pPr>
      <w:r w:rsidRPr="00734D4A">
        <w:rPr>
          <w:rStyle w:val="FootnoteReference"/>
          <w:sz w:val="24"/>
          <w:szCs w:val="24"/>
          <w:lang w:val="cs-CZ"/>
        </w:rPr>
        <w:footnoteRef/>
      </w:r>
      <w:r w:rsidR="00734D4A" w:rsidRPr="00734D4A">
        <w:rPr>
          <w:sz w:val="24"/>
          <w:lang w:val="cs-CZ"/>
        </w:rPr>
        <w:t xml:space="preserve"> </w:t>
      </w:r>
      <w:r w:rsidR="00734D4A" w:rsidRPr="00734D4A">
        <w:rPr>
          <w:sz w:val="24"/>
          <w:lang w:val="cs-CZ"/>
        </w:rPr>
        <w:tab/>
      </w:r>
      <w:hyperlink r:id="rId2" w:history="1">
        <w:r w:rsidRPr="00734D4A">
          <w:rPr>
            <w:rStyle w:val="Hyperlink"/>
            <w:sz w:val="24"/>
            <w:lang w:val="cs-CZ"/>
          </w:rPr>
          <w:t>https://www.agirpourlenvironnement.org/communiques-presse/enquete-exclusive-des-analyses-revelent-la-presence-de-nanoparticules-dans-3980/</w:t>
        </w:r>
      </w:hyperlink>
      <w:r w:rsidRPr="00734D4A">
        <w:rPr>
          <w:rStyle w:val="Hyperlink"/>
          <w:sz w:val="24"/>
          <w:lang w:val="cs-CZ"/>
        </w:rPr>
        <w:t>.</w:t>
      </w:r>
    </w:p>
  </w:footnote>
  <w:footnote w:id="9">
    <w:p w:rsidR="009710C3" w:rsidRPr="00734D4A" w:rsidRDefault="009710C3" w:rsidP="00734D4A">
      <w:pPr>
        <w:pStyle w:val="FootnoteText"/>
        <w:ind w:left="567" w:hanging="567"/>
        <w:rPr>
          <w:sz w:val="24"/>
          <w:szCs w:val="24"/>
          <w:lang w:val="cs-CZ"/>
        </w:rPr>
      </w:pPr>
      <w:r w:rsidRPr="00734D4A">
        <w:rPr>
          <w:rStyle w:val="FootnoteReference"/>
          <w:sz w:val="24"/>
          <w:szCs w:val="24"/>
          <w:lang w:val="cs-CZ"/>
        </w:rPr>
        <w:footnoteRef/>
      </w:r>
      <w:r w:rsidR="00734D4A" w:rsidRPr="00734D4A">
        <w:rPr>
          <w:sz w:val="24"/>
          <w:lang w:val="cs-CZ"/>
        </w:rPr>
        <w:t xml:space="preserve"> </w:t>
      </w:r>
      <w:r w:rsidR="00734D4A" w:rsidRPr="00734D4A">
        <w:rPr>
          <w:sz w:val="24"/>
          <w:lang w:val="cs-CZ"/>
        </w:rPr>
        <w:tab/>
      </w:r>
      <w:hyperlink r:id="rId3" w:history="1">
        <w:r w:rsidRPr="00734D4A">
          <w:rPr>
            <w:rStyle w:val="Hyperlink"/>
            <w:color w:val="1155CC"/>
            <w:sz w:val="24"/>
            <w:lang w:val="cs-CZ"/>
          </w:rPr>
          <w:t>https://www.quechoisir.org/enquete-nanoparticules-taille-mini-doutes-maxi-n50748/</w:t>
        </w:r>
      </w:hyperlink>
      <w:r w:rsidRPr="00734D4A">
        <w:rPr>
          <w:rStyle w:val="Hyperlink"/>
          <w:color w:val="1155CC"/>
          <w:sz w:val="24"/>
          <w:lang w:val="cs-CZ"/>
        </w:rPr>
        <w:t>.</w:t>
      </w:r>
      <w:r w:rsidRPr="00734D4A">
        <w:rPr>
          <w:color w:val="1155CC"/>
          <w:sz w:val="24"/>
          <w:u w:val="single"/>
          <w:lang w:val="cs-CZ"/>
        </w:rPr>
        <w:t xml:space="preserve"> </w:t>
      </w:r>
    </w:p>
  </w:footnote>
  <w:footnote w:id="10">
    <w:p w:rsidR="009710C3" w:rsidRPr="00734D4A" w:rsidRDefault="009710C3" w:rsidP="00734D4A">
      <w:pPr>
        <w:pStyle w:val="FootnoteText"/>
        <w:ind w:left="567" w:hanging="567"/>
        <w:rPr>
          <w:sz w:val="24"/>
          <w:szCs w:val="24"/>
          <w:lang w:val="cs-CZ"/>
        </w:rPr>
      </w:pPr>
      <w:r w:rsidRPr="00734D4A">
        <w:rPr>
          <w:rStyle w:val="FootnoteReference"/>
          <w:sz w:val="24"/>
          <w:szCs w:val="24"/>
          <w:lang w:val="cs-CZ"/>
        </w:rPr>
        <w:footnoteRef/>
      </w:r>
      <w:r w:rsidR="00734D4A" w:rsidRPr="00734D4A">
        <w:rPr>
          <w:sz w:val="24"/>
          <w:lang w:val="cs-CZ"/>
        </w:rPr>
        <w:t xml:space="preserve"> </w:t>
      </w:r>
      <w:r w:rsidR="00734D4A" w:rsidRPr="00734D4A">
        <w:rPr>
          <w:sz w:val="24"/>
          <w:lang w:val="cs-CZ"/>
        </w:rPr>
        <w:tab/>
      </w:r>
      <w:hyperlink r:id="rId4" w:history="1">
        <w:r w:rsidRPr="00734D4A">
          <w:rPr>
            <w:rStyle w:val="Hyperlink"/>
            <w:color w:val="1155CC"/>
            <w:sz w:val="24"/>
            <w:lang w:val="cs-CZ"/>
          </w:rPr>
          <w:t>https://bibliotheque.60millions-mag.com/detail/publication/detail-top-right/561?issue_id=113421&amp;switch_toc=archive</w:t>
        </w:r>
      </w:hyperlink>
      <w:r w:rsidRPr="00734D4A">
        <w:rPr>
          <w:rStyle w:val="Hyperlink"/>
          <w:color w:val="1155CC"/>
          <w:sz w:val="24"/>
          <w:lang w:val="cs-CZ"/>
        </w:rPr>
        <w:t>.</w:t>
      </w:r>
    </w:p>
  </w:footnote>
  <w:footnote w:id="11">
    <w:p w:rsidR="009710C3" w:rsidRPr="00734D4A" w:rsidRDefault="009710C3" w:rsidP="00734D4A">
      <w:pPr>
        <w:pStyle w:val="FootnoteText"/>
        <w:ind w:left="567" w:hanging="567"/>
        <w:rPr>
          <w:sz w:val="24"/>
          <w:szCs w:val="24"/>
          <w:lang w:val="cs-CZ"/>
        </w:rPr>
      </w:pPr>
      <w:r w:rsidRPr="00734D4A">
        <w:rPr>
          <w:rStyle w:val="FootnoteReference"/>
          <w:sz w:val="24"/>
          <w:szCs w:val="24"/>
          <w:lang w:val="cs-CZ"/>
        </w:rPr>
        <w:footnoteRef/>
      </w:r>
      <w:r w:rsidR="00734D4A" w:rsidRPr="00734D4A">
        <w:rPr>
          <w:sz w:val="24"/>
          <w:lang w:val="cs-CZ"/>
        </w:rPr>
        <w:t xml:space="preserve"> </w:t>
      </w:r>
      <w:r w:rsidR="00734D4A" w:rsidRPr="00734D4A">
        <w:rPr>
          <w:sz w:val="24"/>
          <w:lang w:val="cs-CZ"/>
        </w:rPr>
        <w:tab/>
      </w:r>
      <w:hyperlink r:id="rId5" w:history="1">
        <w:r w:rsidRPr="00734D4A">
          <w:rPr>
            <w:rStyle w:val="Hyperlink"/>
            <w:color w:val="1155CC"/>
            <w:sz w:val="24"/>
            <w:lang w:val="cs-CZ"/>
          </w:rPr>
          <w:t>https://veillenanos.fr/wp-content/uploads/2023/01/Rapport-test-EN-20230113.pdf</w:t>
        </w:r>
      </w:hyperlink>
      <w:r w:rsidRPr="00734D4A">
        <w:rPr>
          <w:rStyle w:val="Hyperlink"/>
          <w:color w:val="1155CC"/>
          <w:sz w:val="24"/>
          <w:lang w:val="cs-CZ"/>
        </w:rPr>
        <w:t>.</w:t>
      </w:r>
    </w:p>
  </w:footnote>
  <w:footnote w:id="12">
    <w:p w:rsidR="009710C3" w:rsidRPr="00734D4A" w:rsidRDefault="009710C3" w:rsidP="00734D4A">
      <w:pPr>
        <w:pStyle w:val="FootnoteText"/>
        <w:ind w:left="567" w:hanging="567"/>
        <w:rPr>
          <w:sz w:val="24"/>
          <w:szCs w:val="24"/>
          <w:lang w:val="cs-CZ"/>
        </w:rPr>
      </w:pPr>
      <w:r w:rsidRPr="00734D4A">
        <w:rPr>
          <w:rStyle w:val="FootnoteReference"/>
          <w:sz w:val="24"/>
          <w:szCs w:val="24"/>
          <w:lang w:val="cs-CZ"/>
        </w:rPr>
        <w:footnoteRef/>
      </w:r>
      <w:r w:rsidR="00734D4A" w:rsidRPr="00734D4A">
        <w:rPr>
          <w:sz w:val="24"/>
          <w:lang w:val="cs-CZ"/>
        </w:rPr>
        <w:t xml:space="preserve"> </w:t>
      </w:r>
      <w:r w:rsidR="00734D4A" w:rsidRPr="00734D4A">
        <w:rPr>
          <w:sz w:val="24"/>
          <w:lang w:val="cs-CZ"/>
        </w:rPr>
        <w:tab/>
      </w:r>
      <w:hyperlink r:id="rId6" w:history="1">
        <w:r w:rsidRPr="00734D4A">
          <w:rPr>
            <w:rStyle w:val="Hyperlink"/>
            <w:color w:val="1155CC"/>
            <w:sz w:val="24"/>
            <w:lang w:val="cs-CZ"/>
          </w:rPr>
          <w:t>https://www.foodwatch.org/de/potenziell-krebserregender-farbstoff-in-backzutaten-von-dr-oetker</w:t>
        </w:r>
      </w:hyperlink>
      <w:r w:rsidRPr="00734D4A">
        <w:rPr>
          <w:rStyle w:val="Hyperlink"/>
          <w:color w:val="1155CC"/>
          <w:sz w:val="24"/>
          <w:lang w:val="cs-CZ"/>
        </w:rPr>
        <w:t>.</w:t>
      </w:r>
    </w:p>
  </w:footnote>
  <w:footnote w:id="13">
    <w:p w:rsidR="009710C3" w:rsidRPr="00734D4A" w:rsidRDefault="009710C3" w:rsidP="00734D4A">
      <w:pPr>
        <w:pStyle w:val="FootnoteText"/>
        <w:ind w:left="567" w:hanging="567"/>
        <w:rPr>
          <w:sz w:val="24"/>
          <w:szCs w:val="24"/>
          <w:lang w:val="cs-CZ"/>
        </w:rPr>
      </w:pPr>
      <w:r w:rsidRPr="00734D4A">
        <w:rPr>
          <w:rStyle w:val="FootnoteReference"/>
          <w:sz w:val="24"/>
          <w:szCs w:val="24"/>
          <w:lang w:val="cs-CZ"/>
        </w:rPr>
        <w:footnoteRef/>
      </w:r>
      <w:r w:rsidR="00734D4A" w:rsidRPr="00734D4A">
        <w:rPr>
          <w:sz w:val="24"/>
          <w:lang w:val="cs-CZ"/>
        </w:rPr>
        <w:t xml:space="preserve"> </w:t>
      </w:r>
      <w:r w:rsidR="00734D4A" w:rsidRPr="00734D4A">
        <w:rPr>
          <w:sz w:val="24"/>
          <w:lang w:val="cs-CZ"/>
        </w:rPr>
        <w:tab/>
      </w:r>
      <w:hyperlink r:id="rId7" w:history="1">
        <w:r w:rsidRPr="00734D4A">
          <w:rPr>
            <w:rStyle w:val="Hyperlink"/>
            <w:color w:val="1155CC"/>
            <w:sz w:val="24"/>
            <w:lang w:val="cs-CZ"/>
          </w:rPr>
          <w:t>https://www.bund.net/fileadmin/user_upload_bund/publikationen/chemie/‌nanotechnologie_in_lebensmitteln_hintergrund.pdf</w:t>
        </w:r>
      </w:hyperlink>
      <w:r w:rsidRPr="00734D4A">
        <w:rPr>
          <w:rStyle w:val="Hyperlink"/>
          <w:color w:val="1155CC"/>
          <w:sz w:val="24"/>
          <w:lang w:val="cs-CZ"/>
        </w:rPr>
        <w:t>.</w:t>
      </w:r>
    </w:p>
  </w:footnote>
  <w:footnote w:id="14">
    <w:p w:rsidR="009710C3" w:rsidRPr="00734D4A" w:rsidRDefault="009710C3" w:rsidP="00734D4A">
      <w:pPr>
        <w:pStyle w:val="FootnoteText"/>
        <w:ind w:left="567" w:hanging="567"/>
        <w:rPr>
          <w:sz w:val="24"/>
          <w:szCs w:val="24"/>
          <w:lang w:val="cs-CZ"/>
        </w:rPr>
      </w:pPr>
      <w:r w:rsidRPr="00734D4A">
        <w:rPr>
          <w:rStyle w:val="FootnoteReference"/>
          <w:sz w:val="24"/>
          <w:szCs w:val="24"/>
          <w:lang w:val="cs-CZ"/>
        </w:rPr>
        <w:footnoteRef/>
      </w:r>
      <w:r w:rsidR="00734D4A" w:rsidRPr="00734D4A">
        <w:rPr>
          <w:sz w:val="24"/>
          <w:lang w:val="cs-CZ"/>
        </w:rPr>
        <w:t xml:space="preserve"> </w:t>
      </w:r>
      <w:r w:rsidR="00734D4A" w:rsidRPr="00734D4A">
        <w:rPr>
          <w:sz w:val="24"/>
          <w:lang w:val="cs-CZ"/>
        </w:rPr>
        <w:tab/>
      </w:r>
      <w:hyperlink r:id="rId8" w:history="1">
        <w:r w:rsidRPr="00734D4A">
          <w:rPr>
            <w:rStyle w:val="Hyperlink"/>
            <w:color w:val="1155CC"/>
            <w:sz w:val="24"/>
            <w:lang w:val="cs-CZ"/>
          </w:rPr>
          <w:t>https://www.test-achats.be/sante/sante-au-quotidien/produits-testes/news/nanoparticules-affichage</w:t>
        </w:r>
      </w:hyperlink>
      <w:r w:rsidRPr="00734D4A">
        <w:rPr>
          <w:rStyle w:val="Hyperlink"/>
          <w:color w:val="1155CC"/>
          <w:sz w:val="24"/>
          <w:lang w:val="cs-CZ"/>
        </w:rPr>
        <w:t>.</w:t>
      </w:r>
      <w:r w:rsidRPr="00734D4A">
        <w:rPr>
          <w:color w:val="1155CC"/>
          <w:sz w:val="24"/>
          <w:u w:val="single"/>
          <w:lang w:val="cs-CZ"/>
        </w:rPr>
        <w:t xml:space="preserve"> </w:t>
      </w:r>
    </w:p>
  </w:footnote>
  <w:footnote w:id="15">
    <w:p w:rsidR="009710C3" w:rsidRPr="00734D4A" w:rsidRDefault="009710C3" w:rsidP="00734D4A">
      <w:pPr>
        <w:pStyle w:val="FootnoteText"/>
        <w:ind w:left="567" w:hanging="567"/>
        <w:rPr>
          <w:sz w:val="24"/>
          <w:szCs w:val="24"/>
          <w:lang w:val="cs-CZ"/>
        </w:rPr>
      </w:pPr>
      <w:r w:rsidRPr="00734D4A">
        <w:rPr>
          <w:rStyle w:val="FootnoteReference"/>
          <w:sz w:val="24"/>
          <w:szCs w:val="24"/>
          <w:lang w:val="cs-CZ"/>
        </w:rPr>
        <w:footnoteRef/>
      </w:r>
      <w:r w:rsidR="00734D4A" w:rsidRPr="00734D4A">
        <w:rPr>
          <w:sz w:val="24"/>
          <w:lang w:val="cs-CZ"/>
        </w:rPr>
        <w:t xml:space="preserve"> </w:t>
      </w:r>
      <w:r w:rsidR="00734D4A" w:rsidRPr="00734D4A">
        <w:rPr>
          <w:sz w:val="24"/>
          <w:lang w:val="cs-CZ"/>
        </w:rPr>
        <w:tab/>
      </w:r>
      <w:hyperlink r:id="rId9" w:history="1">
        <w:r w:rsidRPr="00734D4A">
          <w:rPr>
            <w:rStyle w:val="Hyperlink"/>
            <w:color w:val="1155CC"/>
            <w:sz w:val="24"/>
            <w:lang w:val="cs-CZ"/>
          </w:rPr>
          <w:t>https://www.altroconsumo.it/alimentazione/sicurezza-alimentare/news/nanoparticelle</w:t>
        </w:r>
      </w:hyperlink>
      <w:r w:rsidRPr="00734D4A">
        <w:rPr>
          <w:rStyle w:val="Hyperlink"/>
          <w:color w:val="1155CC"/>
          <w:sz w:val="24"/>
          <w:lang w:val="cs-CZ"/>
        </w:rPr>
        <w:t>.</w:t>
      </w:r>
    </w:p>
  </w:footnote>
  <w:footnote w:id="16">
    <w:p w:rsidR="009710C3" w:rsidRPr="00734D4A" w:rsidRDefault="009710C3" w:rsidP="00734D4A">
      <w:pPr>
        <w:ind w:left="567" w:hanging="567"/>
        <w:rPr>
          <w:color w:val="1155CC"/>
          <w:szCs w:val="24"/>
          <w:u w:val="single"/>
        </w:rPr>
      </w:pPr>
      <w:r w:rsidRPr="00734D4A">
        <w:rPr>
          <w:rStyle w:val="FootnoteReference"/>
          <w:szCs w:val="24"/>
        </w:rPr>
        <w:footnoteRef/>
      </w:r>
      <w:r w:rsidR="00734D4A" w:rsidRPr="00734D4A">
        <w:t xml:space="preserve"> </w:t>
      </w:r>
      <w:r w:rsidR="00734D4A" w:rsidRPr="00734D4A">
        <w:tab/>
      </w:r>
      <w:hyperlink r:id="rId10" w:history="1">
        <w:r w:rsidRPr="00734D4A">
          <w:rPr>
            <w:rStyle w:val="Hyperlink"/>
          </w:rPr>
          <w:t>https://www.ocu.org/toda-la-informacion?type=magazine-articles&amp;magazine=ocu%20compra%20maestra&amp;year=2019</w:t>
        </w:r>
      </w:hyperlink>
      <w:r w:rsidRPr="00734D4A">
        <w:rPr>
          <w:rStyle w:val="Hyperlink"/>
        </w:rPr>
        <w:t>.</w:t>
      </w:r>
    </w:p>
  </w:footnote>
  <w:footnote w:id="17">
    <w:p w:rsidR="009710C3" w:rsidRPr="00734D4A" w:rsidRDefault="009710C3" w:rsidP="00734D4A">
      <w:pPr>
        <w:pStyle w:val="FootnoteText"/>
        <w:ind w:left="567" w:hanging="567"/>
        <w:rPr>
          <w:sz w:val="24"/>
          <w:szCs w:val="24"/>
          <w:lang w:val="cs-CZ"/>
        </w:rPr>
      </w:pPr>
      <w:r w:rsidRPr="00734D4A">
        <w:rPr>
          <w:rStyle w:val="FootnoteReference"/>
          <w:sz w:val="24"/>
          <w:szCs w:val="24"/>
          <w:lang w:val="cs-CZ"/>
        </w:rPr>
        <w:footnoteRef/>
      </w:r>
      <w:r w:rsidR="00734D4A" w:rsidRPr="00734D4A">
        <w:rPr>
          <w:sz w:val="24"/>
          <w:lang w:val="cs-CZ"/>
        </w:rPr>
        <w:t xml:space="preserve"> </w:t>
      </w:r>
      <w:r w:rsidR="00734D4A" w:rsidRPr="00734D4A">
        <w:rPr>
          <w:sz w:val="24"/>
          <w:lang w:val="cs-CZ"/>
        </w:rPr>
        <w:tab/>
      </w:r>
      <w:hyperlink r:id="rId11" w:history="1">
        <w:r w:rsidRPr="00734D4A">
          <w:rPr>
            <w:rStyle w:val="Hyperlink"/>
            <w:sz w:val="24"/>
            <w:lang w:val="cs-CZ"/>
          </w:rPr>
          <w:t>https://echa.europa.eu/-/what-do-eu-citizens-think-about-nanomaterials-</w:t>
        </w:r>
      </w:hyperlink>
      <w:r w:rsidRPr="00734D4A">
        <w:rPr>
          <w:rStyle w:val="Hyperlink"/>
          <w:sz w:val="24"/>
          <w:lang w:val="cs-CZ"/>
        </w:rPr>
        <w:t>.</w:t>
      </w:r>
      <w:r w:rsidRPr="00734D4A">
        <w:rPr>
          <w:sz w:val="24"/>
          <w:lang w:val="cs-CZ"/>
        </w:rPr>
        <w:t xml:space="preserve"> </w:t>
      </w:r>
    </w:p>
  </w:footnote>
  <w:footnote w:id="18">
    <w:p w:rsidR="009710C3" w:rsidRPr="00734D4A" w:rsidRDefault="009710C3" w:rsidP="00734D4A">
      <w:pPr>
        <w:pStyle w:val="FootnoteText"/>
        <w:ind w:left="567" w:hanging="567"/>
        <w:rPr>
          <w:sz w:val="24"/>
          <w:szCs w:val="24"/>
          <w:lang w:val="cs-CZ"/>
        </w:rPr>
      </w:pPr>
      <w:r w:rsidRPr="00734D4A">
        <w:rPr>
          <w:rStyle w:val="FootnoteReference"/>
          <w:sz w:val="24"/>
          <w:szCs w:val="24"/>
          <w:lang w:val="cs-CZ"/>
        </w:rPr>
        <w:footnoteRef/>
      </w:r>
      <w:r w:rsidR="00734D4A" w:rsidRPr="00734D4A">
        <w:rPr>
          <w:sz w:val="24"/>
          <w:lang w:val="cs-CZ"/>
        </w:rPr>
        <w:t xml:space="preserve"> </w:t>
      </w:r>
      <w:r w:rsidR="00734D4A" w:rsidRPr="00734D4A">
        <w:rPr>
          <w:sz w:val="24"/>
          <w:lang w:val="cs-CZ"/>
        </w:rPr>
        <w:tab/>
      </w:r>
      <w:proofErr w:type="spellStart"/>
      <w:r w:rsidRPr="00734D4A">
        <w:rPr>
          <w:sz w:val="24"/>
          <w:lang w:val="cs-CZ"/>
        </w:rPr>
        <w:t>Úř</w:t>
      </w:r>
      <w:proofErr w:type="spellEnd"/>
      <w:r w:rsidRPr="00734D4A">
        <w:rPr>
          <w:sz w:val="24"/>
          <w:lang w:val="cs-CZ"/>
        </w:rPr>
        <w:t xml:space="preserve">. </w:t>
      </w:r>
      <w:proofErr w:type="spellStart"/>
      <w:proofErr w:type="gramStart"/>
      <w:r w:rsidRPr="00734D4A">
        <w:rPr>
          <w:sz w:val="24"/>
          <w:lang w:val="cs-CZ"/>
        </w:rPr>
        <w:t>věst</w:t>
      </w:r>
      <w:proofErr w:type="spellEnd"/>
      <w:proofErr w:type="gramEnd"/>
      <w:r w:rsidRPr="00734D4A">
        <w:rPr>
          <w:sz w:val="24"/>
          <w:lang w:val="cs-CZ"/>
        </w:rPr>
        <w:t xml:space="preserve">. C 378, </w:t>
      </w:r>
      <w:proofErr w:type="gramStart"/>
      <w:r w:rsidRPr="00734D4A">
        <w:rPr>
          <w:sz w:val="24"/>
          <w:lang w:val="cs-CZ"/>
        </w:rPr>
        <w:t>9.11.2017</w:t>
      </w:r>
      <w:proofErr w:type="gramEnd"/>
      <w:r w:rsidRPr="00734D4A">
        <w:rPr>
          <w:sz w:val="24"/>
          <w:lang w:val="cs-CZ"/>
        </w:rPr>
        <w:t>, s. 92.</w:t>
      </w:r>
    </w:p>
  </w:footnote>
  <w:footnote w:id="19">
    <w:p w:rsidR="009710C3" w:rsidRPr="00734D4A" w:rsidRDefault="009710C3" w:rsidP="00734D4A">
      <w:pPr>
        <w:pStyle w:val="FootnoteText"/>
        <w:ind w:left="567" w:hanging="567"/>
        <w:rPr>
          <w:sz w:val="24"/>
          <w:szCs w:val="24"/>
          <w:lang w:val="cs-CZ"/>
        </w:rPr>
      </w:pPr>
      <w:r w:rsidRPr="00734D4A">
        <w:rPr>
          <w:rStyle w:val="FootnoteReference"/>
          <w:sz w:val="24"/>
          <w:szCs w:val="24"/>
          <w:lang w:val="cs-CZ"/>
        </w:rPr>
        <w:footnoteRef/>
      </w:r>
      <w:r w:rsidR="00734D4A" w:rsidRPr="00734D4A">
        <w:rPr>
          <w:sz w:val="24"/>
          <w:lang w:val="cs-CZ"/>
        </w:rPr>
        <w:t xml:space="preserve"> </w:t>
      </w:r>
      <w:r w:rsidR="00734D4A" w:rsidRPr="00734D4A">
        <w:rPr>
          <w:sz w:val="24"/>
          <w:lang w:val="cs-CZ"/>
        </w:rPr>
        <w:tab/>
      </w:r>
      <w:proofErr w:type="spellStart"/>
      <w:r w:rsidRPr="00734D4A">
        <w:rPr>
          <w:sz w:val="24"/>
          <w:lang w:val="cs-CZ"/>
        </w:rPr>
        <w:t>Úř</w:t>
      </w:r>
      <w:proofErr w:type="spellEnd"/>
      <w:r w:rsidRPr="00734D4A">
        <w:rPr>
          <w:sz w:val="24"/>
          <w:lang w:val="cs-CZ"/>
        </w:rPr>
        <w:t xml:space="preserve">. </w:t>
      </w:r>
      <w:proofErr w:type="spellStart"/>
      <w:proofErr w:type="gramStart"/>
      <w:r w:rsidRPr="00734D4A">
        <w:rPr>
          <w:sz w:val="24"/>
          <w:lang w:val="cs-CZ"/>
        </w:rPr>
        <w:t>věst</w:t>
      </w:r>
      <w:proofErr w:type="spellEnd"/>
      <w:proofErr w:type="gramEnd"/>
      <w:r w:rsidRPr="00734D4A">
        <w:rPr>
          <w:sz w:val="24"/>
          <w:lang w:val="cs-CZ"/>
        </w:rPr>
        <w:t xml:space="preserve">. C 395, </w:t>
      </w:r>
      <w:proofErr w:type="gramStart"/>
      <w:r w:rsidRPr="00734D4A">
        <w:rPr>
          <w:sz w:val="24"/>
          <w:lang w:val="cs-CZ"/>
        </w:rPr>
        <w:t>29.3.2021</w:t>
      </w:r>
      <w:proofErr w:type="gramEnd"/>
      <w:r w:rsidRPr="00734D4A">
        <w:rPr>
          <w:sz w:val="24"/>
          <w:lang w:val="cs-CZ"/>
        </w:rPr>
        <w:t>, s. 28.</w:t>
      </w:r>
    </w:p>
  </w:footnote>
  <w:footnote w:id="20">
    <w:p w:rsidR="009710C3" w:rsidRPr="00734D4A" w:rsidRDefault="009710C3" w:rsidP="00734D4A">
      <w:pPr>
        <w:pStyle w:val="FootnoteText"/>
        <w:ind w:left="567" w:hanging="567"/>
        <w:rPr>
          <w:sz w:val="24"/>
          <w:szCs w:val="24"/>
          <w:lang w:val="cs-CZ"/>
        </w:rPr>
      </w:pPr>
      <w:r w:rsidRPr="00734D4A">
        <w:rPr>
          <w:rStyle w:val="FootnoteReference"/>
          <w:sz w:val="24"/>
          <w:szCs w:val="24"/>
          <w:lang w:val="cs-CZ"/>
        </w:rPr>
        <w:footnoteRef/>
      </w:r>
      <w:r w:rsidR="00734D4A" w:rsidRPr="00734D4A">
        <w:rPr>
          <w:sz w:val="24"/>
          <w:lang w:val="cs-CZ"/>
        </w:rPr>
        <w:t xml:space="preserve"> </w:t>
      </w:r>
      <w:r w:rsidR="00734D4A" w:rsidRPr="00734D4A">
        <w:rPr>
          <w:sz w:val="24"/>
          <w:lang w:val="cs-CZ"/>
        </w:rPr>
        <w:tab/>
      </w:r>
      <w:hyperlink r:id="rId12" w:history="1">
        <w:r w:rsidR="00644EB3" w:rsidRPr="00E14398">
          <w:rPr>
            <w:rStyle w:val="Hyperlink"/>
            <w:sz w:val="24"/>
            <w:lang w:val="cs-CZ"/>
          </w:rPr>
          <w:t>https://www.efsa.europa.eu/sites/default/</w:t>
        </w:r>
        <w:r w:rsidR="00644EB3" w:rsidRPr="00E14398">
          <w:rPr>
            <w:rStyle w:val="Hyperlink"/>
            <w:sz w:val="24"/>
            <w:lang w:val="cs-CZ"/>
          </w:rPr>
          <w:br/>
        </w:r>
        <w:proofErr w:type="spellStart"/>
        <w:r w:rsidR="00644EB3" w:rsidRPr="00E14398">
          <w:rPr>
            <w:rStyle w:val="Hyperlink"/>
            <w:sz w:val="24"/>
            <w:lang w:val="cs-CZ"/>
          </w:rPr>
          <w:t>files</w:t>
        </w:r>
        <w:proofErr w:type="spellEnd"/>
        <w:r w:rsidR="00644EB3" w:rsidRPr="00E14398">
          <w:rPr>
            <w:rStyle w:val="Hyperlink"/>
            <w:sz w:val="24"/>
            <w:lang w:val="cs-CZ"/>
          </w:rPr>
          <w:t>/</w:t>
        </w:r>
        <w:proofErr w:type="spellStart"/>
        <w:r w:rsidR="00644EB3" w:rsidRPr="00E14398">
          <w:rPr>
            <w:rStyle w:val="Hyperlink"/>
            <w:sz w:val="24"/>
            <w:lang w:val="cs-CZ"/>
          </w:rPr>
          <w:t>assets</w:t>
        </w:r>
        <w:proofErr w:type="spellEnd"/>
        <w:r w:rsidR="00644EB3" w:rsidRPr="00E14398">
          <w:rPr>
            <w:rStyle w:val="Hyperlink"/>
            <w:sz w:val="24"/>
            <w:lang w:val="cs-CZ"/>
          </w:rPr>
          <w:t>/corporatenanotechnology121003.pdf</w:t>
        </w:r>
      </w:hyperlink>
      <w:r w:rsidRPr="00734D4A">
        <w:rPr>
          <w:rStyle w:val="Hyperlink"/>
          <w:sz w:val="24"/>
          <w:lang w:val="cs-CZ"/>
        </w:rPr>
        <w:t>.</w:t>
      </w:r>
    </w:p>
  </w:footnote>
  <w:footnote w:id="21">
    <w:p w:rsidR="009710C3" w:rsidRPr="00734D4A" w:rsidRDefault="009710C3" w:rsidP="00734D4A">
      <w:pPr>
        <w:pStyle w:val="FootnoteText"/>
        <w:ind w:left="567" w:hanging="567"/>
        <w:rPr>
          <w:sz w:val="24"/>
          <w:szCs w:val="24"/>
          <w:lang w:val="cs-CZ"/>
        </w:rPr>
      </w:pPr>
      <w:r w:rsidRPr="00734D4A">
        <w:rPr>
          <w:rStyle w:val="FootnoteReference"/>
          <w:sz w:val="24"/>
          <w:szCs w:val="24"/>
          <w:lang w:val="cs-CZ"/>
        </w:rPr>
        <w:footnoteRef/>
      </w:r>
      <w:r w:rsidR="00734D4A" w:rsidRPr="00734D4A">
        <w:rPr>
          <w:sz w:val="24"/>
          <w:lang w:val="cs-CZ"/>
        </w:rPr>
        <w:t xml:space="preserve"> </w:t>
      </w:r>
      <w:r w:rsidR="00734D4A" w:rsidRPr="00734D4A">
        <w:rPr>
          <w:sz w:val="24"/>
          <w:lang w:val="cs-CZ"/>
        </w:rPr>
        <w:tab/>
      </w:r>
      <w:hyperlink r:id="rId13" w:history="1">
        <w:r w:rsidRPr="00734D4A">
          <w:rPr>
            <w:rStyle w:val="Hyperlink"/>
            <w:color w:val="1155CC"/>
            <w:sz w:val="24"/>
            <w:lang w:val="cs-CZ"/>
          </w:rPr>
          <w:t>https://veillenanos.fr/en/dossier/nanos-and-health/nanos-health-risks/</w:t>
        </w:r>
      </w:hyperlink>
      <w:r w:rsidRPr="00734D4A">
        <w:rPr>
          <w:rStyle w:val="Hyperlink"/>
          <w:color w:val="1155CC"/>
          <w:sz w:val="24"/>
          <w:lang w:val="cs-CZ"/>
        </w:rPr>
        <w:t>.</w:t>
      </w:r>
    </w:p>
  </w:footnote>
  <w:footnote w:id="22">
    <w:p w:rsidR="009710C3" w:rsidRPr="00734D4A" w:rsidRDefault="009710C3" w:rsidP="00734D4A">
      <w:pPr>
        <w:pStyle w:val="FootnoteText"/>
        <w:ind w:left="567" w:hanging="567"/>
        <w:rPr>
          <w:sz w:val="24"/>
          <w:szCs w:val="24"/>
          <w:lang w:val="cs-CZ"/>
        </w:rPr>
      </w:pPr>
      <w:r w:rsidRPr="00734D4A">
        <w:rPr>
          <w:rStyle w:val="FootnoteReference"/>
          <w:sz w:val="24"/>
          <w:szCs w:val="24"/>
          <w:lang w:val="cs-CZ"/>
        </w:rPr>
        <w:footnoteRef/>
      </w:r>
      <w:r w:rsidR="00734D4A" w:rsidRPr="00734D4A">
        <w:rPr>
          <w:sz w:val="24"/>
          <w:lang w:val="cs-CZ"/>
        </w:rPr>
        <w:t xml:space="preserve"> </w:t>
      </w:r>
      <w:r w:rsidR="00734D4A" w:rsidRPr="00734D4A">
        <w:rPr>
          <w:sz w:val="24"/>
          <w:lang w:val="cs-CZ"/>
        </w:rPr>
        <w:tab/>
      </w:r>
      <w:r w:rsidRPr="00734D4A">
        <w:rPr>
          <w:sz w:val="24"/>
          <w:lang w:val="cs-CZ"/>
        </w:rPr>
        <w:t xml:space="preserve">Stanovisko ANSES (2023): </w:t>
      </w:r>
      <w:proofErr w:type="spellStart"/>
      <w:r w:rsidRPr="00734D4A">
        <w:rPr>
          <w:sz w:val="24"/>
          <w:lang w:val="cs-CZ"/>
        </w:rPr>
        <w:t>Definition</w:t>
      </w:r>
      <w:proofErr w:type="spellEnd"/>
      <w:r w:rsidRPr="00734D4A">
        <w:rPr>
          <w:sz w:val="24"/>
          <w:lang w:val="cs-CZ"/>
        </w:rPr>
        <w:t xml:space="preserve"> </w:t>
      </w:r>
      <w:proofErr w:type="spellStart"/>
      <w:r w:rsidRPr="00734D4A">
        <w:rPr>
          <w:sz w:val="24"/>
          <w:lang w:val="cs-CZ"/>
        </w:rPr>
        <w:t>of</w:t>
      </w:r>
      <w:proofErr w:type="spellEnd"/>
      <w:r w:rsidRPr="00734D4A">
        <w:rPr>
          <w:sz w:val="24"/>
          <w:lang w:val="cs-CZ"/>
        </w:rPr>
        <w:t xml:space="preserve"> </w:t>
      </w:r>
      <w:proofErr w:type="spellStart"/>
      <w:r w:rsidRPr="00734D4A">
        <w:rPr>
          <w:sz w:val="24"/>
          <w:lang w:val="cs-CZ"/>
        </w:rPr>
        <w:t>nanomaterials</w:t>
      </w:r>
      <w:proofErr w:type="spellEnd"/>
      <w:r w:rsidRPr="00734D4A">
        <w:rPr>
          <w:sz w:val="24"/>
          <w:lang w:val="cs-CZ"/>
        </w:rPr>
        <w:t xml:space="preserve">: </w:t>
      </w:r>
      <w:proofErr w:type="spellStart"/>
      <w:r w:rsidRPr="00734D4A">
        <w:rPr>
          <w:sz w:val="24"/>
          <w:lang w:val="cs-CZ"/>
        </w:rPr>
        <w:t>analysis</w:t>
      </w:r>
      <w:proofErr w:type="spellEnd"/>
      <w:r w:rsidRPr="00734D4A">
        <w:rPr>
          <w:sz w:val="24"/>
          <w:lang w:val="cs-CZ"/>
        </w:rPr>
        <w:t xml:space="preserve">, </w:t>
      </w:r>
      <w:proofErr w:type="spellStart"/>
      <w:r w:rsidRPr="00734D4A">
        <w:rPr>
          <w:sz w:val="24"/>
          <w:lang w:val="cs-CZ"/>
        </w:rPr>
        <w:t>challenges</w:t>
      </w:r>
      <w:proofErr w:type="spellEnd"/>
      <w:r w:rsidRPr="00734D4A">
        <w:rPr>
          <w:sz w:val="24"/>
          <w:lang w:val="cs-CZ"/>
        </w:rPr>
        <w:t xml:space="preserve"> and </w:t>
      </w:r>
      <w:proofErr w:type="spellStart"/>
      <w:r w:rsidRPr="00734D4A">
        <w:rPr>
          <w:sz w:val="24"/>
          <w:lang w:val="cs-CZ"/>
        </w:rPr>
        <w:t>controversies</w:t>
      </w:r>
      <w:proofErr w:type="spellEnd"/>
      <w:r w:rsidRPr="00734D4A">
        <w:rPr>
          <w:sz w:val="24"/>
          <w:lang w:val="cs-CZ"/>
        </w:rPr>
        <w:t xml:space="preserve"> (Definice </w:t>
      </w:r>
      <w:proofErr w:type="spellStart"/>
      <w:r w:rsidRPr="00734D4A">
        <w:rPr>
          <w:sz w:val="24"/>
          <w:lang w:val="cs-CZ"/>
        </w:rPr>
        <w:t>nanomateriálů</w:t>
      </w:r>
      <w:proofErr w:type="spellEnd"/>
      <w:r w:rsidRPr="00734D4A">
        <w:rPr>
          <w:sz w:val="24"/>
          <w:lang w:val="cs-CZ"/>
        </w:rPr>
        <w:t>: analýza, výzvy a kontroverze),</w:t>
      </w:r>
      <w:hyperlink r:id="rId14" w:history="1">
        <w:r w:rsidRPr="00734D4A">
          <w:rPr>
            <w:rStyle w:val="Hyperlink"/>
            <w:sz w:val="24"/>
            <w:lang w:val="cs-CZ"/>
          </w:rPr>
          <w:t xml:space="preserve"> </w:t>
        </w:r>
      </w:hyperlink>
      <w:hyperlink r:id="rId15" w:history="1">
        <w:r w:rsidRPr="00734D4A">
          <w:rPr>
            <w:rStyle w:val="Hyperlink"/>
            <w:color w:val="1155CC"/>
            <w:sz w:val="24"/>
            <w:lang w:val="cs-CZ"/>
          </w:rPr>
          <w:t>https://www.anses.fr/en/system/files/AP2018SA0168RaEN.pdf</w:t>
        </w:r>
      </w:hyperlink>
      <w:r w:rsidRPr="00734D4A">
        <w:rPr>
          <w:rStyle w:val="Hyperlink"/>
          <w:color w:val="1155CC"/>
          <w:sz w:val="24"/>
          <w:lang w:val="cs-CZ"/>
        </w:rPr>
        <w:t>.</w:t>
      </w:r>
    </w:p>
  </w:footnote>
  <w:footnote w:id="23">
    <w:p w:rsidR="009710C3" w:rsidRPr="00734D4A" w:rsidRDefault="009710C3" w:rsidP="00734D4A">
      <w:pPr>
        <w:pStyle w:val="FootnoteText"/>
        <w:ind w:left="567" w:hanging="567"/>
        <w:rPr>
          <w:sz w:val="24"/>
          <w:szCs w:val="24"/>
          <w:lang w:val="cs-CZ"/>
        </w:rPr>
      </w:pPr>
      <w:r w:rsidRPr="00734D4A">
        <w:rPr>
          <w:rStyle w:val="FootnoteReference"/>
          <w:sz w:val="24"/>
          <w:szCs w:val="24"/>
          <w:lang w:val="cs-CZ"/>
        </w:rPr>
        <w:footnoteRef/>
      </w:r>
      <w:r w:rsidR="00734D4A" w:rsidRPr="00734D4A">
        <w:rPr>
          <w:sz w:val="24"/>
          <w:lang w:val="cs-CZ"/>
        </w:rPr>
        <w:t xml:space="preserve"> </w:t>
      </w:r>
      <w:r w:rsidR="00734D4A" w:rsidRPr="00734D4A">
        <w:rPr>
          <w:sz w:val="24"/>
          <w:lang w:val="cs-CZ"/>
        </w:rPr>
        <w:tab/>
      </w:r>
      <w:r w:rsidRPr="00734D4A">
        <w:rPr>
          <w:sz w:val="24"/>
          <w:lang w:val="cs-CZ"/>
        </w:rPr>
        <w:t xml:space="preserve">Doporučení Komise ze dne 10. června 2022 o definici </w:t>
      </w:r>
      <w:proofErr w:type="spellStart"/>
      <w:r w:rsidRPr="00734D4A">
        <w:rPr>
          <w:sz w:val="24"/>
          <w:lang w:val="cs-CZ"/>
        </w:rPr>
        <w:t>nanomateriálu</w:t>
      </w:r>
      <w:proofErr w:type="spellEnd"/>
      <w:r w:rsidRPr="00734D4A">
        <w:rPr>
          <w:sz w:val="24"/>
          <w:lang w:val="cs-CZ"/>
        </w:rPr>
        <w:t xml:space="preserve"> (</w:t>
      </w:r>
      <w:proofErr w:type="spellStart"/>
      <w:r w:rsidRPr="00734D4A">
        <w:rPr>
          <w:sz w:val="24"/>
          <w:lang w:val="cs-CZ"/>
        </w:rPr>
        <w:t>Úř</w:t>
      </w:r>
      <w:proofErr w:type="spellEnd"/>
      <w:r w:rsidRPr="00734D4A">
        <w:rPr>
          <w:sz w:val="24"/>
          <w:lang w:val="cs-CZ"/>
        </w:rPr>
        <w:t>. </w:t>
      </w:r>
      <w:proofErr w:type="spellStart"/>
      <w:proofErr w:type="gramStart"/>
      <w:r w:rsidRPr="00734D4A">
        <w:rPr>
          <w:sz w:val="24"/>
          <w:lang w:val="cs-CZ"/>
        </w:rPr>
        <w:t>věst</w:t>
      </w:r>
      <w:proofErr w:type="spellEnd"/>
      <w:proofErr w:type="gramEnd"/>
      <w:r w:rsidRPr="00734D4A">
        <w:rPr>
          <w:sz w:val="24"/>
          <w:lang w:val="cs-CZ"/>
        </w:rPr>
        <w:t xml:space="preserve">. C 229, </w:t>
      </w:r>
      <w:proofErr w:type="gramStart"/>
      <w:r w:rsidRPr="00734D4A">
        <w:rPr>
          <w:sz w:val="24"/>
          <w:lang w:val="cs-CZ"/>
        </w:rPr>
        <w:t>14.6.2022</w:t>
      </w:r>
      <w:proofErr w:type="gramEnd"/>
      <w:r w:rsidRPr="00734D4A">
        <w:rPr>
          <w:sz w:val="24"/>
          <w:lang w:val="cs-CZ"/>
        </w:rPr>
        <w:t>, s. 1).</w:t>
      </w:r>
    </w:p>
  </w:footnote>
  <w:footnote w:id="24">
    <w:p w:rsidR="009710C3" w:rsidRPr="00734D4A" w:rsidRDefault="009710C3" w:rsidP="00734D4A">
      <w:pPr>
        <w:pStyle w:val="FootnoteText"/>
        <w:ind w:left="567" w:hanging="567"/>
        <w:rPr>
          <w:sz w:val="24"/>
          <w:szCs w:val="24"/>
          <w:lang w:val="cs-CZ"/>
        </w:rPr>
      </w:pPr>
      <w:r w:rsidRPr="00734D4A">
        <w:rPr>
          <w:rStyle w:val="FootnoteReference"/>
          <w:sz w:val="24"/>
          <w:szCs w:val="24"/>
          <w:lang w:val="cs-CZ"/>
        </w:rPr>
        <w:footnoteRef/>
      </w:r>
      <w:r w:rsidR="00734D4A" w:rsidRPr="00734D4A">
        <w:rPr>
          <w:sz w:val="24"/>
          <w:lang w:val="cs-CZ"/>
        </w:rPr>
        <w:t xml:space="preserve"> </w:t>
      </w:r>
      <w:r w:rsidR="00734D4A" w:rsidRPr="00734D4A">
        <w:rPr>
          <w:sz w:val="24"/>
          <w:lang w:val="cs-CZ"/>
        </w:rPr>
        <w:tab/>
      </w:r>
      <w:proofErr w:type="spellStart"/>
      <w:r w:rsidRPr="00734D4A">
        <w:rPr>
          <w:sz w:val="24"/>
          <w:lang w:val="cs-CZ"/>
        </w:rPr>
        <w:t>Anses</w:t>
      </w:r>
      <w:proofErr w:type="spellEnd"/>
      <w:r w:rsidRPr="00734D4A">
        <w:rPr>
          <w:sz w:val="24"/>
          <w:lang w:val="cs-CZ"/>
        </w:rPr>
        <w:t xml:space="preserve"> (2020): </w:t>
      </w:r>
      <w:proofErr w:type="spellStart"/>
      <w:r w:rsidRPr="00734D4A">
        <w:rPr>
          <w:sz w:val="24"/>
          <w:lang w:val="cs-CZ"/>
        </w:rPr>
        <w:t>Nanomatériaux</w:t>
      </w:r>
      <w:proofErr w:type="spellEnd"/>
      <w:r w:rsidRPr="00734D4A">
        <w:rPr>
          <w:sz w:val="24"/>
          <w:lang w:val="cs-CZ"/>
        </w:rPr>
        <w:t xml:space="preserve"> </w:t>
      </w:r>
      <w:proofErr w:type="spellStart"/>
      <w:r w:rsidRPr="00734D4A">
        <w:rPr>
          <w:sz w:val="24"/>
          <w:lang w:val="cs-CZ"/>
        </w:rPr>
        <w:t>dans</w:t>
      </w:r>
      <w:proofErr w:type="spellEnd"/>
      <w:r w:rsidRPr="00734D4A">
        <w:rPr>
          <w:sz w:val="24"/>
          <w:lang w:val="cs-CZ"/>
        </w:rPr>
        <w:t xml:space="preserve"> les </w:t>
      </w:r>
      <w:proofErr w:type="spellStart"/>
      <w:r w:rsidRPr="00734D4A">
        <w:rPr>
          <w:sz w:val="24"/>
          <w:lang w:val="cs-CZ"/>
        </w:rPr>
        <w:t>produits</w:t>
      </w:r>
      <w:proofErr w:type="spellEnd"/>
      <w:r w:rsidRPr="00734D4A">
        <w:rPr>
          <w:sz w:val="24"/>
          <w:lang w:val="cs-CZ"/>
        </w:rPr>
        <w:t xml:space="preserve"> </w:t>
      </w:r>
      <w:proofErr w:type="spellStart"/>
      <w:r w:rsidRPr="00734D4A">
        <w:rPr>
          <w:sz w:val="24"/>
          <w:lang w:val="cs-CZ"/>
        </w:rPr>
        <w:t>destinés</w:t>
      </w:r>
      <w:proofErr w:type="spellEnd"/>
      <w:r w:rsidRPr="00734D4A">
        <w:rPr>
          <w:sz w:val="24"/>
          <w:lang w:val="cs-CZ"/>
        </w:rPr>
        <w:t xml:space="preserve"> à </w:t>
      </w:r>
      <w:proofErr w:type="spellStart"/>
      <w:r w:rsidRPr="00734D4A">
        <w:rPr>
          <w:sz w:val="24"/>
          <w:lang w:val="cs-CZ"/>
        </w:rPr>
        <w:t>l’alimentation</w:t>
      </w:r>
      <w:proofErr w:type="spellEnd"/>
      <w:r w:rsidRPr="00734D4A">
        <w:rPr>
          <w:sz w:val="24"/>
          <w:lang w:val="cs-CZ"/>
        </w:rPr>
        <w:t xml:space="preserve">. </w:t>
      </w:r>
      <w:proofErr w:type="spellStart"/>
      <w:r w:rsidRPr="00734D4A">
        <w:rPr>
          <w:sz w:val="24"/>
          <w:lang w:val="cs-CZ"/>
        </w:rPr>
        <w:t>Rapport</w:t>
      </w:r>
      <w:proofErr w:type="spellEnd"/>
      <w:r w:rsidRPr="00734D4A">
        <w:rPr>
          <w:sz w:val="24"/>
          <w:lang w:val="cs-CZ"/>
        </w:rPr>
        <w:t xml:space="preserve"> </w:t>
      </w:r>
      <w:proofErr w:type="spellStart"/>
      <w:r w:rsidRPr="00734D4A">
        <w:rPr>
          <w:sz w:val="24"/>
          <w:lang w:val="cs-CZ"/>
        </w:rPr>
        <w:t>d’expertise</w:t>
      </w:r>
      <w:proofErr w:type="spellEnd"/>
      <w:r w:rsidRPr="00734D4A">
        <w:rPr>
          <w:sz w:val="24"/>
          <w:lang w:val="cs-CZ"/>
        </w:rPr>
        <w:t xml:space="preserve"> </w:t>
      </w:r>
      <w:proofErr w:type="spellStart"/>
      <w:r w:rsidRPr="00734D4A">
        <w:rPr>
          <w:sz w:val="24"/>
          <w:lang w:val="cs-CZ"/>
        </w:rPr>
        <w:t>collective</w:t>
      </w:r>
      <w:proofErr w:type="spellEnd"/>
      <w:r w:rsidRPr="00734D4A">
        <w:rPr>
          <w:sz w:val="24"/>
          <w:lang w:val="cs-CZ"/>
        </w:rPr>
        <w:t>,</w:t>
      </w:r>
      <w:hyperlink r:id="rId16" w:history="1">
        <w:r w:rsidRPr="00734D4A">
          <w:rPr>
            <w:rStyle w:val="Hyperlink"/>
            <w:sz w:val="24"/>
            <w:lang w:val="cs-CZ"/>
          </w:rPr>
          <w:t xml:space="preserve"> </w:t>
        </w:r>
      </w:hyperlink>
      <w:hyperlink r:id="rId17" w:history="1">
        <w:r w:rsidRPr="00734D4A">
          <w:rPr>
            <w:rStyle w:val="Hyperlink"/>
            <w:color w:val="1155CC"/>
            <w:sz w:val="24"/>
            <w:lang w:val="cs-CZ"/>
          </w:rPr>
          <w:t>https://www.anses.fr/fr/system/files/ERCA2016SA0226Ra.pdf</w:t>
        </w:r>
      </w:hyperlink>
      <w:r w:rsidRPr="00734D4A">
        <w:rPr>
          <w:sz w:val="24"/>
          <w:lang w:val="cs-CZ"/>
        </w:rPr>
        <w:t xml:space="preserve"> (s. 86).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4D4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4D4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4D4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5/2024"/>
    <w:docVar w:name="dvlangue" w:val="CS"/>
    <w:docVar w:name="dvnumam" w:val="0"/>
    <w:docVar w:name="dvpe" w:val="760.689"/>
    <w:docVar w:name="dvtitre" w:val="Usnesení Evropského parlamentu ze dne.... 2024 o nařízení Komise v přenesené pravomoci ze dne 14. března 2024, kterým se mění nařízení Evropského parlamentu a Rady (EU) 2015/2283 o nových potravinách, pokud jde o definici „umělých nanomateriálů“(C(2024)01612 – 2024/2691(DEA))"/>
  </w:docVars>
  <w:rsids>
    <w:rsidRoot w:val="00090B89"/>
    <w:rsid w:val="00002272"/>
    <w:rsid w:val="00064002"/>
    <w:rsid w:val="000677B9"/>
    <w:rsid w:val="000831BA"/>
    <w:rsid w:val="00090B89"/>
    <w:rsid w:val="000A42CC"/>
    <w:rsid w:val="000E4B6F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1150"/>
    <w:rsid w:val="00644EB3"/>
    <w:rsid w:val="006631B6"/>
    <w:rsid w:val="00680577"/>
    <w:rsid w:val="006F74FA"/>
    <w:rsid w:val="00731ADD"/>
    <w:rsid w:val="00734777"/>
    <w:rsid w:val="00734D4A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10C3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D3EDBD"/>
  <w15:chartTrackingRefBased/>
  <w15:docId w15:val="{AE927147-EE39-4755-8217-06C827756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710C3"/>
    <w:pPr>
      <w:spacing w:before="480" w:after="240"/>
    </w:pPr>
  </w:style>
  <w:style w:type="paragraph" w:customStyle="1" w:styleId="NormalHanging12a">
    <w:name w:val="NormalHanging12a"/>
    <w:basedOn w:val="Normal"/>
    <w:rsid w:val="009710C3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9710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st-achats.be/sante/sante-au-quotidien/produits-testes/news/nanoparticules-affichage" TargetMode="External"/><Relationship Id="rId13" Type="http://schemas.openxmlformats.org/officeDocument/2006/relationships/hyperlink" Target="https://veillenanos.fr/en/dossier/nanos-and-health/nanos-health-risks/" TargetMode="External"/><Relationship Id="rId3" Type="http://schemas.openxmlformats.org/officeDocument/2006/relationships/hyperlink" Target="https://www.quechoisir.org/enquete-nanoparticules-taille-mini-doutes-maxi-n50748/" TargetMode="External"/><Relationship Id="rId7" Type="http://schemas.openxmlformats.org/officeDocument/2006/relationships/hyperlink" Target="https://www.bund.net/fileadmin/user_upload_bund/publikationen/chemie/nanotechnologie_in_lebensmitteln_hintergrund.pdf" TargetMode="External"/><Relationship Id="rId12" Type="http://schemas.openxmlformats.org/officeDocument/2006/relationships/hyperlink" Target="https://www.efsa.europa.eu/sites/default/files/assets/corporatenanotechnology121003.pdf" TargetMode="External"/><Relationship Id="rId17" Type="http://schemas.openxmlformats.org/officeDocument/2006/relationships/hyperlink" Target="https://www.anses.fr/fr/system/files/ERCA2016SA0226Ra.pdf" TargetMode="External"/><Relationship Id="rId2" Type="http://schemas.openxmlformats.org/officeDocument/2006/relationships/hyperlink" Target="https://www.agirpourlenvironnement.org/communiques-presse/enquete-exclusive-des-analyses-revelent-la-presence-de-nanoparticules-dans-3980/" TargetMode="External"/><Relationship Id="rId16" Type="http://schemas.openxmlformats.org/officeDocument/2006/relationships/hyperlink" Target="https://www.anses.fr/fr/system/files/ERCA2016SA0226Ra.pdf" TargetMode="External"/><Relationship Id="rId1" Type="http://schemas.openxmlformats.org/officeDocument/2006/relationships/hyperlink" Target="https://www.anses.fr/fr/nanomateriaux-alimentation-premiere-application-methodologie" TargetMode="External"/><Relationship Id="rId6" Type="http://schemas.openxmlformats.org/officeDocument/2006/relationships/hyperlink" Target="https://www.foodwatch.org/de/potenziell-krebserregender-farbstoff-in-backzutaten-von-dr-oetker" TargetMode="External"/><Relationship Id="rId11" Type="http://schemas.openxmlformats.org/officeDocument/2006/relationships/hyperlink" Target="https://echa.europa.eu/-/what-do-eu-citizens-think-about-nanomaterials-" TargetMode="External"/><Relationship Id="rId5" Type="http://schemas.openxmlformats.org/officeDocument/2006/relationships/hyperlink" Target="https://veillenanos.fr/wp-content/uploads/2023/01/Rapport-test-EN-20230113.pdf" TargetMode="External"/><Relationship Id="rId15" Type="http://schemas.openxmlformats.org/officeDocument/2006/relationships/hyperlink" Target="https://www.anses.fr/en/system/files/AP2018SA0168RaEN.pdf" TargetMode="External"/><Relationship Id="rId10" Type="http://schemas.openxmlformats.org/officeDocument/2006/relationships/hyperlink" Target="https://www.ocu.org/toda-la-informacion?type=magazine-articles&amp;magazine=ocu%20compra%20maestra&amp;year=2019" TargetMode="External"/><Relationship Id="rId4" Type="http://schemas.openxmlformats.org/officeDocument/2006/relationships/hyperlink" Target="https://bibliotheque.60millions-mag.com/detail/publication/detail-top-right/561?issue_id=113421&amp;switch_toc=archive" TargetMode="External"/><Relationship Id="rId9" Type="http://schemas.openxmlformats.org/officeDocument/2006/relationships/hyperlink" Target="https://www.altroconsumo.it/alimentazione/sicurezza-alimentare/news/nanoparticelle" TargetMode="External"/><Relationship Id="rId14" Type="http://schemas.openxmlformats.org/officeDocument/2006/relationships/hyperlink" Target="https://www.anses.fr/en/system/files/AP2018SA0168Ra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96A81-18EB-488F-831A-063FD9AE0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1645</Words>
  <Characters>9509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2024-04-24T11:11:00Z</dcterms:created>
  <dcterms:modified xsi:type="dcterms:W3CDTF">2024-04-24T11:11:00Z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B9-0225/2024</vt:lpwstr>
  </property>
  <property fmtid="{D5CDD505-2E9C-101B-9397-08002B2CF9AE}" pid="4" name="&lt;Type&gt;">
    <vt:lpwstr>RR</vt:lpwstr>
  </property>
</Properties>
</file>