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35002" w:rsidTr="0010095E">
        <w:trPr>
          <w:trHeight w:hRule="exact" w:val="1418"/>
        </w:trPr>
        <w:tc>
          <w:tcPr>
            <w:tcW w:w="6804" w:type="dxa"/>
            <w:shd w:val="clear" w:color="auto" w:fill="auto"/>
            <w:vAlign w:val="center"/>
          </w:tcPr>
          <w:p w:rsidR="00751A4A" w:rsidRPr="00E35002" w:rsidRDefault="00475B15" w:rsidP="0010095E">
            <w:pPr>
              <w:pStyle w:val="EPName"/>
            </w:pPr>
            <w:r w:rsidRPr="00E35002">
              <w:t>Europa-Parlamentet</w:t>
            </w:r>
          </w:p>
          <w:p w:rsidR="00751A4A" w:rsidRPr="00E35002" w:rsidRDefault="00817416" w:rsidP="00756632">
            <w:pPr>
              <w:pStyle w:val="EPTerm"/>
              <w:rPr>
                <w:rStyle w:val="HideTWBExt"/>
                <w:noProof w:val="0"/>
                <w:vanish w:val="0"/>
                <w:color w:val="auto"/>
              </w:rPr>
            </w:pPr>
            <w:r w:rsidRPr="00E35002">
              <w:t>2019-2024</w:t>
            </w:r>
          </w:p>
        </w:tc>
        <w:tc>
          <w:tcPr>
            <w:tcW w:w="2268" w:type="dxa"/>
            <w:shd w:val="clear" w:color="auto" w:fill="auto"/>
          </w:tcPr>
          <w:p w:rsidR="00751A4A" w:rsidRPr="00E35002" w:rsidRDefault="00187494" w:rsidP="0010095E">
            <w:pPr>
              <w:pStyle w:val="EPLogo"/>
            </w:pPr>
            <w:r w:rsidRPr="00E3500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35002" w:rsidRDefault="00D058B8" w:rsidP="004C5D52">
      <w:pPr>
        <w:pStyle w:val="LineTop"/>
      </w:pPr>
    </w:p>
    <w:p w:rsidR="00680577" w:rsidRPr="00E35002" w:rsidRDefault="00475B15" w:rsidP="00680577">
      <w:pPr>
        <w:pStyle w:val="EPBodyTA1"/>
      </w:pPr>
      <w:r w:rsidRPr="00E35002">
        <w:t>VEDTAGNE TEKSTER</w:t>
      </w:r>
    </w:p>
    <w:p w:rsidR="00D058B8" w:rsidRPr="00E35002" w:rsidRDefault="00D058B8" w:rsidP="00D058B8">
      <w:pPr>
        <w:pStyle w:val="LineBottom"/>
      </w:pPr>
    </w:p>
    <w:p w:rsidR="00475B15" w:rsidRPr="00B8035D" w:rsidRDefault="00475B15" w:rsidP="00475B15">
      <w:pPr>
        <w:pStyle w:val="ATHeading1"/>
      </w:pPr>
      <w:bookmarkStart w:id="0" w:name="TANumber"/>
      <w:r w:rsidRPr="00B8035D">
        <w:t>P9_</w:t>
      </w:r>
      <w:proofErr w:type="gramStart"/>
      <w:r w:rsidRPr="00B8035D">
        <w:t>TA(</w:t>
      </w:r>
      <w:proofErr w:type="gramEnd"/>
      <w:r w:rsidRPr="00B8035D">
        <w:t>2024)0</w:t>
      </w:r>
      <w:r w:rsidR="00E61350">
        <w:t>316</w:t>
      </w:r>
      <w:bookmarkEnd w:id="0"/>
    </w:p>
    <w:p w:rsidR="00475B15" w:rsidRPr="00B8035D" w:rsidRDefault="00C3164C" w:rsidP="00475B15">
      <w:pPr>
        <w:pStyle w:val="ATHeading2"/>
      </w:pPr>
      <w:bookmarkStart w:id="1" w:name="title"/>
      <w:r w:rsidRPr="00B8035D">
        <w:t>Indsigelse mod en delegeret retsakt: n</w:t>
      </w:r>
      <w:r w:rsidR="00475B15" w:rsidRPr="00B8035D">
        <w:t xml:space="preserve">ye fødevarer </w:t>
      </w:r>
      <w:r w:rsidRPr="00B8035D">
        <w:t>–</w:t>
      </w:r>
      <w:r w:rsidR="00475B15" w:rsidRPr="00B8035D">
        <w:t xml:space="preserve"> definitionen af "industrielt fremstillede </w:t>
      </w:r>
      <w:proofErr w:type="spellStart"/>
      <w:r w:rsidR="00475B15" w:rsidRPr="00B8035D">
        <w:t>nanomaterialer</w:t>
      </w:r>
      <w:proofErr w:type="spellEnd"/>
      <w:r w:rsidR="00475B15" w:rsidRPr="00B8035D">
        <w:t>"</w:t>
      </w:r>
      <w:bookmarkEnd w:id="1"/>
    </w:p>
    <w:p w:rsidR="00475B15" w:rsidRPr="00E35002" w:rsidRDefault="00475B15" w:rsidP="00475B15">
      <w:pPr>
        <w:rPr>
          <w:i/>
          <w:vanish/>
        </w:rPr>
      </w:pPr>
      <w:r w:rsidRPr="00E35002">
        <w:rPr>
          <w:i/>
        </w:rPr>
        <w:fldChar w:fldCharType="begin"/>
      </w:r>
      <w:r w:rsidRPr="00E35002">
        <w:rPr>
          <w:i/>
        </w:rPr>
        <w:instrText xml:space="preserve"> TC"(</w:instrText>
      </w:r>
      <w:bookmarkStart w:id="2" w:name="DocNumber"/>
      <w:r w:rsidRPr="00E35002">
        <w:rPr>
          <w:i/>
        </w:rPr>
        <w:instrText>B9-0225/2024</w:instrText>
      </w:r>
      <w:bookmarkEnd w:id="2"/>
      <w:r w:rsidRPr="00E35002">
        <w:rPr>
          <w:i/>
        </w:rPr>
        <w:instrText xml:space="preserve">)"\l3 \n&gt; \* MERGEFORMAT </w:instrText>
      </w:r>
      <w:r w:rsidRPr="00E35002">
        <w:rPr>
          <w:i/>
        </w:rPr>
        <w:fldChar w:fldCharType="end"/>
      </w:r>
    </w:p>
    <w:p w:rsidR="00475B15" w:rsidRPr="00E35002" w:rsidRDefault="00475B15" w:rsidP="00475B15">
      <w:pPr>
        <w:rPr>
          <w:vanish/>
        </w:rPr>
      </w:pPr>
      <w:bookmarkStart w:id="3" w:name="PE"/>
      <w:r w:rsidRPr="00E35002">
        <w:rPr>
          <w:vanish/>
        </w:rPr>
        <w:t>PE760.689</w:t>
      </w:r>
      <w:bookmarkEnd w:id="3"/>
    </w:p>
    <w:p w:rsidR="00475B15" w:rsidRPr="00B8035D" w:rsidRDefault="00475B15" w:rsidP="00475B15">
      <w:pPr>
        <w:pStyle w:val="ATHeading3"/>
      </w:pPr>
      <w:bookmarkStart w:id="4" w:name="Sujet"/>
      <w:r w:rsidRPr="00B8035D">
        <w:t xml:space="preserve">Europa-Parlamentets beslutning af </w:t>
      </w:r>
      <w:r w:rsidR="00C3164C" w:rsidRPr="00B8035D">
        <w:t>24</w:t>
      </w:r>
      <w:r w:rsidRPr="00B8035D">
        <w:t xml:space="preserve">. april 2024 om Kommissionens delegerede forordning af 14. marts 2024 om ændring af Europa-Parlamentets og Rådets forordning (EU) 2015/2283 om nye fødevarer for så vidt angår definitionen af "industrielt fremstillede </w:t>
      </w:r>
      <w:proofErr w:type="spellStart"/>
      <w:r w:rsidRPr="00B8035D">
        <w:t>nanomaterialer</w:t>
      </w:r>
      <w:proofErr w:type="spellEnd"/>
      <w:r w:rsidRPr="00B8035D">
        <w:t>"</w:t>
      </w:r>
      <w:bookmarkEnd w:id="4"/>
      <w:r w:rsidRPr="00B8035D">
        <w:t xml:space="preserve"> </w:t>
      </w:r>
      <w:bookmarkStart w:id="5" w:name="References"/>
      <w:r w:rsidRPr="00B8035D">
        <w:t>(</w:t>
      </w:r>
      <w:proofErr w:type="gramStart"/>
      <w:r w:rsidRPr="00B8035D">
        <w:t>C(</w:t>
      </w:r>
      <w:proofErr w:type="gramEnd"/>
      <w:r w:rsidRPr="00B8035D">
        <w:t>2024)01612 – 2024/2691(DEA))</w:t>
      </w:r>
      <w:bookmarkEnd w:id="5"/>
    </w:p>
    <w:p w:rsidR="00541522" w:rsidRPr="00E35002" w:rsidRDefault="00541522" w:rsidP="00541522">
      <w:pPr>
        <w:pStyle w:val="EPComma"/>
      </w:pPr>
      <w:bookmarkStart w:id="6" w:name="TextBodyBegin"/>
      <w:bookmarkEnd w:id="6"/>
      <w:r w:rsidRPr="00E35002">
        <w:rPr>
          <w:i/>
          <w:iCs/>
        </w:rPr>
        <w:t>Europa-Parlamentet,</w:t>
      </w:r>
    </w:p>
    <w:p w:rsidR="00541522" w:rsidRPr="00E35002" w:rsidRDefault="00541522" w:rsidP="00541522">
      <w:pPr>
        <w:pStyle w:val="NormalHanging12a"/>
      </w:pPr>
      <w:r w:rsidRPr="00E35002">
        <w:t>–</w:t>
      </w:r>
      <w:r w:rsidRPr="00E35002">
        <w:tab/>
        <w:t xml:space="preserve">der henviser til Kommissionens delegerede forordning af 14. marts 2024 om ændring af Europa-Parlamentets og Rådets forordning (EU) 2015/2283 om nye fødevarer for så vidt angår definitionen af "industrielt fremstillede </w:t>
      </w:r>
      <w:proofErr w:type="spellStart"/>
      <w:r w:rsidRPr="00E35002">
        <w:t>nanomaterialer</w:t>
      </w:r>
      <w:proofErr w:type="spellEnd"/>
      <w:r w:rsidRPr="00E35002">
        <w:t>" (</w:t>
      </w:r>
      <w:proofErr w:type="gramStart"/>
      <w:r w:rsidRPr="00E35002">
        <w:t>C(</w:t>
      </w:r>
      <w:proofErr w:type="gramEnd"/>
      <w:r w:rsidRPr="00E35002">
        <w:t>2024)01612),</w:t>
      </w:r>
    </w:p>
    <w:p w:rsidR="00541522" w:rsidRPr="00E35002" w:rsidRDefault="00541522" w:rsidP="00541522">
      <w:pPr>
        <w:pStyle w:val="NormalHanging12a"/>
      </w:pPr>
      <w:r w:rsidRPr="00E35002">
        <w:t>–</w:t>
      </w:r>
      <w:r w:rsidRPr="00E35002">
        <w:tab/>
        <w:t>der henviser til artikel 290 i traktaten om Den Europæiske Unions funktionsmåde (TEUF),</w:t>
      </w:r>
    </w:p>
    <w:p w:rsidR="00541522" w:rsidRPr="00E35002" w:rsidRDefault="00541522" w:rsidP="00541522">
      <w:pPr>
        <w:pStyle w:val="NormalHanging12a"/>
        <w:rPr>
          <w:noProof/>
        </w:rPr>
      </w:pPr>
      <w:r w:rsidRPr="00E35002">
        <w:t>–</w:t>
      </w:r>
      <w:r w:rsidRPr="00E35002">
        <w:tab/>
        <w:t>der henviser til Europa-Parlamentets og Rådets forordning (EU) 2015/2283 af 25. november 2015 om nye fødevarer, om ændring af Europa-Parlamentets og Rådets forordning (EU) nr. 1169/2011 og om ophævelse af Europa-Parlamentets og Rådets forordning (EF) nr. 258/97 og Kommissionens forordning (EF) nr. 1852/2001</w:t>
      </w:r>
      <w:r w:rsidRPr="00E35002">
        <w:rPr>
          <w:rStyle w:val="FootnoteReference"/>
          <w:noProof/>
          <w:color w:val="000000"/>
          <w:szCs w:val="24"/>
        </w:rPr>
        <w:footnoteReference w:id="1"/>
      </w:r>
      <w:r w:rsidRPr="00E35002">
        <w:t>, særlig artikel 31 og artikel 32, stk. 6,</w:t>
      </w:r>
    </w:p>
    <w:p w:rsidR="00541522" w:rsidRPr="00E35002" w:rsidRDefault="00541522" w:rsidP="00541522">
      <w:pPr>
        <w:pStyle w:val="NormalHanging12a"/>
      </w:pPr>
      <w:r w:rsidRPr="00E35002">
        <w:t>–</w:t>
      </w:r>
      <w:r w:rsidRPr="00E35002">
        <w:tab/>
        <w:t>der henviser til Europa-Parlamentets og Rådets forordning (EU) nr. 1169/2011 af 25. oktober 2011 om fødevareinformation til forbrugerne, om ændring af Europa-Parlamentets og Rådets forordning (EF) nr. 1924/2006 og (EF) nr. 1925/2006 og om ophævelse af Kommissionens direktiv 87/250/EØF, Rådets direktiv 90/496/EØF, Kommissionens direktiv 1999/10/EF, Europa-Parlamentets og Rådets direktiv 2000/13/EF, Kommissionens direktiv 2002/67/EF og 2008/5/EF og Kommissionens forordning (EF) nr. 608/2004</w:t>
      </w:r>
      <w:r w:rsidRPr="00E35002">
        <w:rPr>
          <w:rStyle w:val="FootnoteReference"/>
          <w:noProof/>
          <w:color w:val="000000"/>
          <w:szCs w:val="24"/>
        </w:rPr>
        <w:footnoteReference w:id="2"/>
      </w:r>
      <w:r w:rsidRPr="00E35002">
        <w:t>, særlig artikel 18, stk. 3,</w:t>
      </w:r>
    </w:p>
    <w:p w:rsidR="00541522" w:rsidRPr="00E35002" w:rsidRDefault="00541522" w:rsidP="00541522">
      <w:pPr>
        <w:pStyle w:val="NormalHanging12a"/>
      </w:pPr>
      <w:r w:rsidRPr="00E35002">
        <w:t>–</w:t>
      </w:r>
      <w:r w:rsidRPr="00E35002">
        <w:tab/>
        <w:t>der henviser til Europa-Parlamentets og Rådets forordning (EF) nr. 1333/2008 af 16. december 2008 om fødevaretilsætningsstoffer</w:t>
      </w:r>
      <w:r w:rsidRPr="00E35002">
        <w:rPr>
          <w:rStyle w:val="FootnoteReference"/>
          <w:color w:val="000000"/>
          <w:szCs w:val="24"/>
        </w:rPr>
        <w:footnoteReference w:id="3"/>
      </w:r>
      <w:r w:rsidRPr="00E35002">
        <w:t>,</w:t>
      </w:r>
    </w:p>
    <w:p w:rsidR="00541522" w:rsidRPr="00E35002" w:rsidRDefault="00541522" w:rsidP="00541522">
      <w:pPr>
        <w:pStyle w:val="NormalHanging12a"/>
      </w:pPr>
      <w:r w:rsidRPr="00E35002">
        <w:t>–</w:t>
      </w:r>
      <w:r w:rsidRPr="00E35002">
        <w:tab/>
        <w:t xml:space="preserve">der henviser til de EU-lister, der blev etableret ved Kommissionens forordning (EU) nr. 1129/2011 af 11. november 2011 om ændring af bilag II til Europa-Parlamentets og </w:t>
      </w:r>
      <w:r w:rsidRPr="00E35002">
        <w:lastRenderedPageBreak/>
        <w:t>Rådets forordning (EF) nr. 1333/2008 for så vidt angår fastlæggelse af en EU-liste over fødevaretilsætningsstoffer</w:t>
      </w:r>
      <w:r w:rsidRPr="00E35002">
        <w:rPr>
          <w:rStyle w:val="FootnoteReference"/>
          <w:color w:val="000000"/>
          <w:szCs w:val="24"/>
        </w:rPr>
        <w:footnoteReference w:id="4"/>
      </w:r>
      <w:r w:rsidRPr="00E35002">
        <w:t xml:space="preserve"> og til Kommissionens forordning (EU) nr. 1130/2011 af 11. november 2011 om ændring af bilag III til Europa-Parlamentets og Rådets forordning (EF) nr. 1333/2008 om fødevaretilsætningsstoffer for så vidt angår opstilling af en EU-liste over fødevaretilsætningsstoffer, der er godkendt til anvendelse i fødevaretilsætningsstoffer, fødevareenzymer, fødevarearomaer og næringsstoffer</w:t>
      </w:r>
      <w:r w:rsidRPr="00E35002">
        <w:rPr>
          <w:rStyle w:val="FootnoteReference"/>
          <w:color w:val="000000"/>
          <w:szCs w:val="24"/>
        </w:rPr>
        <w:footnoteReference w:id="5"/>
      </w:r>
      <w:r w:rsidRPr="00E35002">
        <w:t>,</w:t>
      </w:r>
    </w:p>
    <w:p w:rsidR="00541522" w:rsidRPr="00E35002" w:rsidRDefault="00541522" w:rsidP="00541522">
      <w:pPr>
        <w:pStyle w:val="NormalHanging12a"/>
      </w:pPr>
      <w:r w:rsidRPr="00E35002">
        <w:t>–</w:t>
      </w:r>
      <w:r w:rsidRPr="00E35002">
        <w:tab/>
        <w:t>der henviser til Kommissionens forordning (EU) nr. 257/2010 af 25. marts 2010 om iværksættelse af et program for genevaluering af godkendte fødevaretilsætningsstoffer i henhold til Europa-Parlamentets og Rådet forordning (EF) nr. 1333/2008 om fødevaretilsætningsstoffer</w:t>
      </w:r>
      <w:r w:rsidRPr="00E35002">
        <w:rPr>
          <w:rStyle w:val="FootnoteReference"/>
          <w:color w:val="000000"/>
          <w:szCs w:val="24"/>
        </w:rPr>
        <w:footnoteReference w:id="6"/>
      </w:r>
      <w:r w:rsidRPr="00E35002">
        <w:t>,</w:t>
      </w:r>
    </w:p>
    <w:p w:rsidR="00541522" w:rsidRPr="00E35002" w:rsidRDefault="00541522" w:rsidP="00541522">
      <w:pPr>
        <w:pStyle w:val="NormalHanging12a"/>
      </w:pPr>
      <w:r w:rsidRPr="00E35002">
        <w:t>–</w:t>
      </w:r>
      <w:r w:rsidRPr="00E35002">
        <w:tab/>
        <w:t>der henviser til forretningsordenens artikel 111, stk. 3,</w:t>
      </w:r>
    </w:p>
    <w:p w:rsidR="00541522" w:rsidRPr="00E35002" w:rsidRDefault="00541522" w:rsidP="00541522">
      <w:pPr>
        <w:pStyle w:val="NormalHanging12a"/>
      </w:pPr>
      <w:r w:rsidRPr="00E35002">
        <w:t>–</w:t>
      </w:r>
      <w:r w:rsidRPr="00E35002">
        <w:tab/>
        <w:t>der henviser til forslag til beslutning fra Udvalget om Miljø, Folkesundhed og Fødevaresikkerhed,</w:t>
      </w:r>
    </w:p>
    <w:p w:rsidR="00541522" w:rsidRPr="00E35002" w:rsidRDefault="00541522" w:rsidP="00541522">
      <w:pPr>
        <w:pStyle w:val="NormalHanging12a"/>
      </w:pPr>
      <w:r w:rsidRPr="00E35002">
        <w:t>A.</w:t>
      </w:r>
      <w:r w:rsidRPr="00E35002">
        <w:tab/>
        <w:t xml:space="preserve">der henviser til, at det i artikel 18, stk. 3, i forordning (EU) nr. 1169/2011 foreskrives, at alle fødevareingredienser, der er til stede i form af industrielt fremstillet </w:t>
      </w:r>
      <w:proofErr w:type="spellStart"/>
      <w:r w:rsidRPr="00E35002">
        <w:t>nanomateriale</w:t>
      </w:r>
      <w:proofErr w:type="spellEnd"/>
      <w:r w:rsidRPr="00E35002">
        <w:t xml:space="preserve">, skal anføres tydeligt på ingredienslisten for at sikre forbrugeroplysning; der henviser til, at forordning (EU) nr. 1169/2011 således indeholder en definition af "industrielt fremstillede </w:t>
      </w:r>
      <w:proofErr w:type="spellStart"/>
      <w:r w:rsidRPr="00E35002">
        <w:t>nanomaterialer</w:t>
      </w:r>
      <w:proofErr w:type="spellEnd"/>
      <w:r w:rsidRPr="00E35002">
        <w:t>" som fastsat i artikel 3, stk. 2, litra f), i forordning (EU) 2015/2283;</w:t>
      </w:r>
    </w:p>
    <w:p w:rsidR="00541522" w:rsidRPr="00E35002" w:rsidRDefault="00541522" w:rsidP="00541522">
      <w:pPr>
        <w:pStyle w:val="NormalHanging12a"/>
      </w:pPr>
      <w:r w:rsidRPr="00E35002">
        <w:t>B.</w:t>
      </w:r>
      <w:r w:rsidRPr="00E35002">
        <w:tab/>
        <w:t xml:space="preserve">der henviser til, at der ved artikel 31 i forordning (EU) 2015/2283 tillægges Kommissionen beføjelse til at justere og tilpasse definitionen af "industrielt fremstillede </w:t>
      </w:r>
      <w:proofErr w:type="spellStart"/>
      <w:r w:rsidRPr="00E35002">
        <w:t>nanomaterialer</w:t>
      </w:r>
      <w:proofErr w:type="spellEnd"/>
      <w:r w:rsidRPr="00E35002">
        <w:t>" til tekniske og videnskabelige fremskridt eller til definitioner vedtaget på internationalt plan, ved hjælp af delegerede retsakter med henblik på at opnå den pågældende forordnings mål;</w:t>
      </w:r>
    </w:p>
    <w:p w:rsidR="00541522" w:rsidRPr="00E35002" w:rsidRDefault="00541522" w:rsidP="00541522">
      <w:pPr>
        <w:pStyle w:val="NormalHanging12a"/>
      </w:pPr>
      <w:r w:rsidRPr="00E35002">
        <w:t>C.</w:t>
      </w:r>
      <w:r w:rsidRPr="00E35002">
        <w:tab/>
        <w:t>der henviser til, at omfattende EU-lister opstillet ved forordning (EU) nr. 1129/2011 og (EU) nr. 1130/2011 angiver, hvilke fødevaretilsætningsstoffer det var tilladt at anvende før ikrafttrædelsen af forordning (EF) nr. 1333/2008, efter en gennemgang af deres overensstemmelse med bestemmelserne heri;</w:t>
      </w:r>
    </w:p>
    <w:p w:rsidR="00541522" w:rsidRPr="00E35002" w:rsidRDefault="00541522" w:rsidP="00541522">
      <w:pPr>
        <w:pStyle w:val="NormalHanging12a"/>
        <w:rPr>
          <w:i/>
        </w:rPr>
      </w:pPr>
      <w:r w:rsidRPr="00E35002">
        <w:rPr>
          <w:i/>
        </w:rPr>
        <w:t>Konsekvenserne af definitionen</w:t>
      </w:r>
    </w:p>
    <w:p w:rsidR="00541522" w:rsidRPr="00E35002" w:rsidRDefault="00541522" w:rsidP="00541522">
      <w:pPr>
        <w:pStyle w:val="NormalHanging12a"/>
      </w:pPr>
      <w:r w:rsidRPr="00E35002">
        <w:t>D.</w:t>
      </w:r>
      <w:r w:rsidRPr="00E35002">
        <w:tab/>
        <w:t xml:space="preserve">der henviser til, at Kommissionens delegerede forordnings definition af "industrielt fremstillet </w:t>
      </w:r>
      <w:proofErr w:type="spellStart"/>
      <w:r w:rsidRPr="00E35002">
        <w:t>nanomateriale</w:t>
      </w:r>
      <w:proofErr w:type="spellEnd"/>
      <w:r w:rsidRPr="00E35002">
        <w:t>" vil afgøre, om en fødevare skal mærkes som "[</w:t>
      </w:r>
      <w:proofErr w:type="spellStart"/>
      <w:r w:rsidRPr="00E35002">
        <w:t>nano</w:t>
      </w:r>
      <w:proofErr w:type="spellEnd"/>
      <w:r w:rsidRPr="00E35002">
        <w:t>]" på ingredienslisten, som omhandlet i artikel 18, stk. 3, i forordning (EU) nr. 1169/2011;</w:t>
      </w:r>
    </w:p>
    <w:p w:rsidR="00541522" w:rsidRPr="00E35002" w:rsidRDefault="00541522" w:rsidP="00541522">
      <w:pPr>
        <w:pStyle w:val="NormalHanging12a"/>
      </w:pPr>
      <w:r w:rsidRPr="00E35002">
        <w:t>E.</w:t>
      </w:r>
      <w:r w:rsidRPr="00E35002">
        <w:tab/>
        <w:t xml:space="preserve">der henviser til, at Kommissionens delegerede forordning har til formål at behandle fortolkningsspørgsmål, der udspringer af den nuværende definition, ved at indføre objektive elementer til at afgøre, om et </w:t>
      </w:r>
      <w:proofErr w:type="spellStart"/>
      <w:r w:rsidRPr="00E35002">
        <w:t>nanomateriale</w:t>
      </w:r>
      <w:proofErr w:type="spellEnd"/>
      <w:r w:rsidRPr="00E35002">
        <w:t xml:space="preserve"> er "industrielt fremstillet" eller ej, f.eks. ved at erstatte "bevidst fremstillet [materiale]" med "fremstillet";</w:t>
      </w:r>
    </w:p>
    <w:p w:rsidR="00541522" w:rsidRPr="00E35002" w:rsidRDefault="00541522" w:rsidP="00541522">
      <w:pPr>
        <w:pStyle w:val="NormalHanging12a"/>
      </w:pPr>
      <w:r w:rsidRPr="00E35002">
        <w:t>F.</w:t>
      </w:r>
      <w:r w:rsidRPr="00E35002">
        <w:tab/>
        <w:t xml:space="preserve">der henviser til, at det fremgår af Kommissionens delegerede forordning, at partikler, der ikke er i fast form, såsom </w:t>
      </w:r>
      <w:proofErr w:type="spellStart"/>
      <w:r w:rsidRPr="00E35002">
        <w:t>miceller</w:t>
      </w:r>
      <w:proofErr w:type="spellEnd"/>
      <w:r w:rsidRPr="00E35002">
        <w:t xml:space="preserve">, </w:t>
      </w:r>
      <w:proofErr w:type="spellStart"/>
      <w:r w:rsidRPr="00E35002">
        <w:t>liposomer</w:t>
      </w:r>
      <w:proofErr w:type="spellEnd"/>
      <w:r w:rsidRPr="00E35002">
        <w:t xml:space="preserve"> eller dråber i </w:t>
      </w:r>
      <w:proofErr w:type="spellStart"/>
      <w:r w:rsidRPr="00E35002">
        <w:t>nanoskala</w:t>
      </w:r>
      <w:proofErr w:type="spellEnd"/>
      <w:r w:rsidRPr="00E35002">
        <w:t xml:space="preserve"> i emulsioner, </w:t>
      </w:r>
      <w:r w:rsidRPr="00E35002">
        <w:lastRenderedPageBreak/>
        <w:t xml:space="preserve">og ingredienser, der indeholder mindre end 50 % partikler under 100 nm i størrelse, ikke kan betragtes som </w:t>
      </w:r>
      <w:proofErr w:type="spellStart"/>
      <w:r w:rsidRPr="00E35002">
        <w:t>nanomaterialer</w:t>
      </w:r>
      <w:proofErr w:type="spellEnd"/>
      <w:r w:rsidRPr="00E35002">
        <w:t xml:space="preserve"> i fødevarer;</w:t>
      </w:r>
    </w:p>
    <w:p w:rsidR="00541522" w:rsidRPr="00E35002" w:rsidRDefault="00541522" w:rsidP="00541522">
      <w:pPr>
        <w:pStyle w:val="NormalHanging12a"/>
      </w:pPr>
      <w:r w:rsidRPr="00E35002">
        <w:t>G.</w:t>
      </w:r>
      <w:r w:rsidRPr="00E35002">
        <w:tab/>
        <w:t xml:space="preserve">der henviser til, at den foreslåede grænseværdi på 50 % partikler i </w:t>
      </w:r>
      <w:proofErr w:type="spellStart"/>
      <w:r w:rsidRPr="00E35002">
        <w:t>nanoskala</w:t>
      </w:r>
      <w:proofErr w:type="spellEnd"/>
      <w:r w:rsidRPr="00E35002">
        <w:t xml:space="preserve"> eller derover er vilkårlig og mindre beskyttende end den fortolkning, som nogle medlemsstater, f.eks. Frankrig, har givet af definitionen i forordning (EU) 2015/2283; der henviser til, at der i nævnte forordning ikke overvejes en grænseværdi for størrelsesfordelingen for partikler under 100 nm;</w:t>
      </w:r>
    </w:p>
    <w:p w:rsidR="00541522" w:rsidRPr="00E35002" w:rsidRDefault="00541522" w:rsidP="00541522">
      <w:pPr>
        <w:spacing w:after="240"/>
        <w:ind w:left="567" w:hanging="567"/>
        <w:jc w:val="both"/>
        <w:rPr>
          <w:szCs w:val="24"/>
        </w:rPr>
      </w:pPr>
      <w:r w:rsidRPr="00E35002">
        <w:t>H.</w:t>
      </w:r>
      <w:r w:rsidRPr="00E35002">
        <w:tab/>
        <w:t xml:space="preserve">der henviser til, at den foreslåede definition potentielt vil udelukke mange </w:t>
      </w:r>
      <w:proofErr w:type="spellStart"/>
      <w:r w:rsidRPr="00E35002">
        <w:t>nanostoffer</w:t>
      </w:r>
      <w:proofErr w:type="spellEnd"/>
      <w:r w:rsidRPr="00E35002">
        <w:t xml:space="preserve"> fra anvendelsesområdet for forordning (EU) nr. 1169/2011, som derfor ikke vil være omfattet af "[</w:t>
      </w:r>
      <w:proofErr w:type="spellStart"/>
      <w:r w:rsidRPr="00E35002">
        <w:t>nano</w:t>
      </w:r>
      <w:proofErr w:type="spellEnd"/>
      <w:r w:rsidRPr="00E35002">
        <w:t xml:space="preserve">]"-mærkningspligten; der henviser til, at Kommissionen i sin begrundelse i punkt 3 anfører, at "det antal af materialer, der anvendes i fødevarer, og som kan indeholde en vis brøkdel af </w:t>
      </w:r>
      <w:proofErr w:type="spellStart"/>
      <w:r w:rsidRPr="00E35002">
        <w:t>nanopartikler</w:t>
      </w:r>
      <w:proofErr w:type="spellEnd"/>
      <w:r w:rsidRPr="00E35002">
        <w:t>, [er] begrænset og de fleste, om ikke alle, af disse materialer er ikke nye", og at "[d]e potentielle virkninger af den delegerede retsakt [...] derfor kun [vil] vedrøre et meget begrænset antal materialer";</w:t>
      </w:r>
    </w:p>
    <w:p w:rsidR="00541522" w:rsidRPr="00E35002" w:rsidRDefault="00541522" w:rsidP="00541522">
      <w:pPr>
        <w:spacing w:after="240"/>
        <w:ind w:left="567" w:hanging="567"/>
        <w:jc w:val="both"/>
        <w:rPr>
          <w:color w:val="0D0D0D"/>
          <w:szCs w:val="24"/>
        </w:rPr>
      </w:pPr>
      <w:r w:rsidRPr="00E35002">
        <w:t xml:space="preserve">I. </w:t>
      </w:r>
      <w:r w:rsidRPr="00E35002">
        <w:tab/>
        <w:t xml:space="preserve">der henviser til, at det på nuværende tidspunkt netop er fødevaretilsætningsstoffer, der kan være til stede som </w:t>
      </w:r>
      <w:proofErr w:type="spellStart"/>
      <w:r w:rsidRPr="00E35002">
        <w:t>nanomateriale</w:t>
      </w:r>
      <w:proofErr w:type="spellEnd"/>
      <w:r w:rsidRPr="00E35002">
        <w:t xml:space="preserve"> i fødevarer; der henviser til, at det franske nationale agentur for fødevaresikkerhed (ANSES) havde opført 37 </w:t>
      </w:r>
      <w:proofErr w:type="spellStart"/>
      <w:r w:rsidRPr="00E35002">
        <w:t>nanostoffer</w:t>
      </w:r>
      <w:proofErr w:type="spellEnd"/>
      <w:r w:rsidRPr="00E35002">
        <w:t>, der anvendes i mere end 900 fødevarer</w:t>
      </w:r>
      <w:r w:rsidRPr="00E35002">
        <w:rPr>
          <w:rStyle w:val="FootnoteReference"/>
          <w:szCs w:val="24"/>
        </w:rPr>
        <w:footnoteReference w:id="7"/>
      </w:r>
      <w:r w:rsidRPr="00E35002">
        <w:t>;</w:t>
      </w:r>
      <w:r w:rsidRPr="00E35002">
        <w:rPr>
          <w:color w:val="0D0D0D"/>
        </w:rPr>
        <w:t xml:space="preserve"> </w:t>
      </w:r>
      <w:r w:rsidRPr="00E35002">
        <w:t>der henviser til, at undersøgelser foretaget af forbrugerorganisationer og ikke-statslige organisationer (</w:t>
      </w:r>
      <w:proofErr w:type="spellStart"/>
      <w:r w:rsidRPr="00E35002">
        <w:t>Agir</w:t>
      </w:r>
      <w:proofErr w:type="spellEnd"/>
      <w:r w:rsidRPr="00E35002">
        <w:t xml:space="preserve"> </w:t>
      </w:r>
      <w:proofErr w:type="spellStart"/>
      <w:r w:rsidRPr="00E35002">
        <w:t>pour</w:t>
      </w:r>
      <w:proofErr w:type="spellEnd"/>
      <w:r w:rsidRPr="00E35002">
        <w:t xml:space="preserve"> </w:t>
      </w:r>
      <w:proofErr w:type="spellStart"/>
      <w:r w:rsidRPr="00E35002">
        <w:t>l’Environnement</w:t>
      </w:r>
      <w:proofErr w:type="spellEnd"/>
      <w:r w:rsidRPr="00E35002">
        <w:rPr>
          <w:rStyle w:val="FootnoteReference"/>
          <w:color w:val="0D0D0D"/>
          <w:szCs w:val="24"/>
        </w:rPr>
        <w:footnoteReference w:id="8"/>
      </w:r>
      <w:r w:rsidRPr="00E35002">
        <w:t xml:space="preserve">, Que </w:t>
      </w:r>
      <w:proofErr w:type="spellStart"/>
      <w:r w:rsidRPr="00E35002">
        <w:t>Choisir</w:t>
      </w:r>
      <w:proofErr w:type="spellEnd"/>
      <w:r w:rsidRPr="00E35002">
        <w:rPr>
          <w:rStyle w:val="FootnoteReference"/>
          <w:color w:val="0D0D0D"/>
          <w:szCs w:val="24"/>
        </w:rPr>
        <w:footnoteReference w:id="9"/>
      </w:r>
      <w:r w:rsidRPr="00E35002">
        <w:t xml:space="preserve">, 60 Millions de </w:t>
      </w:r>
      <w:proofErr w:type="spellStart"/>
      <w:r w:rsidRPr="00E35002">
        <w:t>consommateurs</w:t>
      </w:r>
      <w:proofErr w:type="spellEnd"/>
      <w:r w:rsidRPr="00E35002">
        <w:rPr>
          <w:rStyle w:val="FootnoteReference"/>
          <w:color w:val="0D0D0D"/>
          <w:szCs w:val="24"/>
        </w:rPr>
        <w:footnoteReference w:id="10"/>
      </w:r>
      <w:r w:rsidRPr="00E35002">
        <w:t>, AVICENN</w:t>
      </w:r>
      <w:r w:rsidRPr="00E35002">
        <w:rPr>
          <w:rStyle w:val="FootnoteReference"/>
          <w:color w:val="0D0D0D"/>
          <w:szCs w:val="24"/>
        </w:rPr>
        <w:footnoteReference w:id="11"/>
      </w:r>
      <w:r w:rsidRPr="00E35002">
        <w:t xml:space="preserve"> i Frankrig, </w:t>
      </w:r>
      <w:proofErr w:type="spellStart"/>
      <w:r w:rsidRPr="00E35002">
        <w:t>Foodwatch</w:t>
      </w:r>
      <w:proofErr w:type="spellEnd"/>
      <w:r w:rsidRPr="00E35002">
        <w:rPr>
          <w:rStyle w:val="FootnoteReference"/>
          <w:color w:val="0D0D0D"/>
          <w:szCs w:val="24"/>
        </w:rPr>
        <w:footnoteReference w:id="12"/>
      </w:r>
      <w:r w:rsidRPr="00E35002">
        <w:t xml:space="preserve"> og Bund</w:t>
      </w:r>
      <w:r w:rsidRPr="00E35002">
        <w:rPr>
          <w:rStyle w:val="FootnoteReference"/>
          <w:color w:val="0D0D0D"/>
          <w:szCs w:val="24"/>
        </w:rPr>
        <w:footnoteReference w:id="13"/>
      </w:r>
      <w:r w:rsidRPr="00E35002">
        <w:t xml:space="preserve"> i Tyskland, </w:t>
      </w:r>
      <w:proofErr w:type="spellStart"/>
      <w:r w:rsidRPr="00E35002">
        <w:t>Testachats</w:t>
      </w:r>
      <w:proofErr w:type="spellEnd"/>
      <w:r w:rsidRPr="00E35002">
        <w:rPr>
          <w:rStyle w:val="FootnoteReference"/>
          <w:color w:val="0D0D0D"/>
          <w:szCs w:val="24"/>
        </w:rPr>
        <w:footnoteReference w:id="14"/>
      </w:r>
      <w:r w:rsidRPr="00E35002">
        <w:t xml:space="preserve"> i Belgien og </w:t>
      </w:r>
      <w:proofErr w:type="spellStart"/>
      <w:r w:rsidRPr="00E35002">
        <w:t>Altroconsumo</w:t>
      </w:r>
      <w:proofErr w:type="spellEnd"/>
      <w:r w:rsidRPr="00E35002">
        <w:rPr>
          <w:rStyle w:val="FootnoteReference"/>
          <w:color w:val="0D0D0D"/>
          <w:szCs w:val="24"/>
        </w:rPr>
        <w:footnoteReference w:id="15"/>
      </w:r>
      <w:r w:rsidRPr="00E35002">
        <w:t xml:space="preserve"> i Italien og OCU i Spanien</w:t>
      </w:r>
      <w:r w:rsidRPr="00E35002">
        <w:rPr>
          <w:rStyle w:val="FootnoteReference"/>
          <w:color w:val="0D0D0D"/>
          <w:szCs w:val="24"/>
        </w:rPr>
        <w:footnoteReference w:id="16"/>
      </w:r>
      <w:r w:rsidRPr="00E35002">
        <w:t xml:space="preserve">) gentagne gange har vist tilstedeværelsen af fødevaretilsætningsstoffer med en betydelig procentdel </w:t>
      </w:r>
      <w:proofErr w:type="spellStart"/>
      <w:r w:rsidRPr="00E35002">
        <w:t>nanopartikler</w:t>
      </w:r>
      <w:proofErr w:type="spellEnd"/>
      <w:r w:rsidRPr="00E35002">
        <w:t xml:space="preserve">, idet f.eks. fødevarefarven jernoxid (E172), der anvendes i mejeriprodukter, bagværk og visse morgenmadscerealier, kan indeholde </w:t>
      </w:r>
      <w:proofErr w:type="spellStart"/>
      <w:r w:rsidRPr="00E35002">
        <w:t>nanopartikler</w:t>
      </w:r>
      <w:proofErr w:type="spellEnd"/>
      <w:r w:rsidRPr="00E35002">
        <w:t xml:space="preserve"> under grænsen på 50 %;</w:t>
      </w:r>
      <w:r w:rsidRPr="00E35002">
        <w:rPr>
          <w:color w:val="000000"/>
        </w:rPr>
        <w:t xml:space="preserve"> </w:t>
      </w:r>
      <w:r w:rsidRPr="00E35002">
        <w:rPr>
          <w:color w:val="0D0D0D"/>
        </w:rPr>
        <w:t>der henviser til, at dette viser, at manglen på passende mærkning af visse fødevareingredienser som "[</w:t>
      </w:r>
      <w:proofErr w:type="spellStart"/>
      <w:r w:rsidRPr="00E35002">
        <w:rPr>
          <w:color w:val="0D0D0D"/>
        </w:rPr>
        <w:t>nano</w:t>
      </w:r>
      <w:proofErr w:type="spellEnd"/>
      <w:r w:rsidRPr="00E35002">
        <w:rPr>
          <w:color w:val="0D0D0D"/>
        </w:rPr>
        <w:t>]" primært skyldes manglende håndhævelse af den nuværende lovgivning og i langt mindre grad fortolkningsspørgsmål;</w:t>
      </w:r>
    </w:p>
    <w:p w:rsidR="00541522" w:rsidRPr="00E35002" w:rsidRDefault="00541522" w:rsidP="00541522">
      <w:pPr>
        <w:spacing w:after="240"/>
        <w:ind w:left="567" w:hanging="567"/>
        <w:jc w:val="both"/>
        <w:rPr>
          <w:color w:val="0D0D0D"/>
          <w:szCs w:val="24"/>
        </w:rPr>
      </w:pPr>
      <w:r w:rsidRPr="00E35002">
        <w:rPr>
          <w:color w:val="0D0D0D"/>
        </w:rPr>
        <w:t>J.</w:t>
      </w:r>
      <w:r w:rsidRPr="00E35002">
        <w:rPr>
          <w:color w:val="0D0D0D"/>
        </w:rPr>
        <w:tab/>
        <w:t xml:space="preserve">der henviser til, at en undersøgelse fra 2020 bestilt af Det Europæiske Kemikalieagentur </w:t>
      </w:r>
      <w:r w:rsidRPr="00E35002">
        <w:rPr>
          <w:color w:val="0D0D0D"/>
        </w:rPr>
        <w:lastRenderedPageBreak/>
        <w:t xml:space="preserve">viste, at borgerne kræver bedre mærkning af dagligvarer, der indeholder </w:t>
      </w:r>
      <w:proofErr w:type="spellStart"/>
      <w:r w:rsidRPr="00E35002">
        <w:rPr>
          <w:color w:val="0D0D0D"/>
        </w:rPr>
        <w:t>nanomaterialer</w:t>
      </w:r>
      <w:proofErr w:type="spellEnd"/>
      <w:r w:rsidRPr="00E35002">
        <w:rPr>
          <w:rStyle w:val="FootnoteReference"/>
          <w:color w:val="0D0D0D"/>
          <w:szCs w:val="24"/>
        </w:rPr>
        <w:footnoteReference w:id="17"/>
      </w:r>
      <w:r w:rsidRPr="00E35002">
        <w:rPr>
          <w:color w:val="0D0D0D"/>
        </w:rPr>
        <w:t>;</w:t>
      </w:r>
    </w:p>
    <w:p w:rsidR="00541522" w:rsidRPr="00E35002" w:rsidRDefault="00541522" w:rsidP="00541522">
      <w:pPr>
        <w:spacing w:after="240"/>
        <w:jc w:val="both"/>
        <w:rPr>
          <w:i/>
          <w:szCs w:val="24"/>
        </w:rPr>
      </w:pPr>
      <w:r w:rsidRPr="00E35002">
        <w:rPr>
          <w:i/>
        </w:rPr>
        <w:t>Modsigelser med anbefalinger og nye videnskabelige fremskridt</w:t>
      </w:r>
    </w:p>
    <w:p w:rsidR="00541522" w:rsidRPr="00E35002" w:rsidRDefault="00541522" w:rsidP="00541522">
      <w:pPr>
        <w:spacing w:after="240"/>
        <w:ind w:left="567" w:hanging="567"/>
        <w:jc w:val="both"/>
        <w:rPr>
          <w:szCs w:val="24"/>
        </w:rPr>
      </w:pPr>
      <w:r w:rsidRPr="00E35002">
        <w:t xml:space="preserve">K. </w:t>
      </w:r>
      <w:r w:rsidRPr="00E35002">
        <w:tab/>
        <w:t xml:space="preserve">der henviser til, at Europa-Parlamentet i sin beslutning af 12. marts 2014 om Kommissionens delegerede forordning af 12. december 2013 om ændring af Europa-Parlamentets og Rådets forordning (EU) nr. 1169/2011 om fødevareinformation til forbrugerne for så vidt angår definitionen af "industrielt fremstillede </w:t>
      </w:r>
      <w:proofErr w:type="spellStart"/>
      <w:r w:rsidRPr="00E35002">
        <w:t>nanomaterialer</w:t>
      </w:r>
      <w:proofErr w:type="spellEnd"/>
      <w:r w:rsidRPr="00E35002">
        <w:t>"</w:t>
      </w:r>
      <w:r w:rsidRPr="00E35002">
        <w:rPr>
          <w:rStyle w:val="FootnoteReference"/>
          <w:szCs w:val="24"/>
        </w:rPr>
        <w:footnoteReference w:id="18"/>
      </w:r>
      <w:r w:rsidRPr="00E35002">
        <w:t xml:space="preserve"> gjorde indsigelse mod en meget lignende definition med samme grænse på 50 %, som udelukkede alle fødevaretilsætningsstoffer, idet det mente, at definitionen stred "imod det grundlæggende formål med direktivet, nemlig at forfølge et højt niveau af beskyttelse af forbrugernes sundhed og interesser ved at skabe grundlag for, at de endelige forbrugere kan træffe informerede valg"; der henviser til, at Europa-Parlamentet opfordrede Kommissionen til at forelægge en ny delegeret retsakt, som tager hensyn til dets holdning;</w:t>
      </w:r>
    </w:p>
    <w:p w:rsidR="00541522" w:rsidRPr="00E35002" w:rsidRDefault="00541522" w:rsidP="00541522">
      <w:pPr>
        <w:spacing w:after="240"/>
        <w:ind w:left="567" w:hanging="567"/>
        <w:jc w:val="both"/>
        <w:rPr>
          <w:szCs w:val="24"/>
        </w:rPr>
      </w:pPr>
      <w:r w:rsidRPr="00E35002">
        <w:t xml:space="preserve">L. </w:t>
      </w:r>
      <w:r w:rsidRPr="00E35002">
        <w:tab/>
        <w:t>der henviser til, at Europa-Parlamentet i sin beslutning af 8. oktober 2020 om udkast til Kommissionens forordning om ændring af bilaget til forordning (EU) nr. 231/2012 om specifikationer for fødevaretilsætningsstoffer opført i bilag II og III til Europa-Parlamentets og Rådets forordning (EF) nr. 1333/2008 for så vidt angår specifikationer for titandioxid (E 171)</w:t>
      </w:r>
      <w:r w:rsidRPr="00E35002">
        <w:rPr>
          <w:rStyle w:val="FootnoteReference"/>
          <w:szCs w:val="24"/>
        </w:rPr>
        <w:footnoteReference w:id="19"/>
      </w:r>
      <w:r w:rsidRPr="00E35002">
        <w:t xml:space="preserve"> gjorde indsigelse mod et udkast til Kommissionens forordning om godkendelse af partier af titandioxid (E171) af fødevarekvalitet, der indeholder mindre end 50 % partikler under 100 nm;</w:t>
      </w:r>
    </w:p>
    <w:p w:rsidR="00541522" w:rsidRPr="00E35002" w:rsidRDefault="00541522" w:rsidP="00541522">
      <w:pPr>
        <w:spacing w:after="240"/>
        <w:ind w:left="567" w:hanging="567"/>
        <w:jc w:val="both"/>
        <w:rPr>
          <w:szCs w:val="24"/>
        </w:rPr>
      </w:pPr>
      <w:r w:rsidRPr="00E35002">
        <w:t xml:space="preserve">M. </w:t>
      </w:r>
      <w:r w:rsidRPr="00E35002">
        <w:tab/>
        <w:t>der henviser til, at Den Europæiske Fødevaresikkerhedsautoritet anbefalede</w:t>
      </w:r>
      <w:r w:rsidRPr="00E35002">
        <w:rPr>
          <w:rStyle w:val="FootnoteReference"/>
          <w:szCs w:val="24"/>
        </w:rPr>
        <w:footnoteReference w:id="20"/>
      </w:r>
      <w:r w:rsidRPr="00E35002">
        <w:t xml:space="preserve">, at der i betragtning af den nuværende usikkerhed omkring sikkerheden burde overvejes anvendt en lavere grænse for antallet af </w:t>
      </w:r>
      <w:proofErr w:type="spellStart"/>
      <w:r w:rsidRPr="00E35002">
        <w:t>nanopartikler</w:t>
      </w:r>
      <w:proofErr w:type="spellEnd"/>
      <w:r w:rsidRPr="00E35002">
        <w:t xml:space="preserve"> på f.eks. 10 % i forbindelse med fødevarer i stedet for den grænse, der i øjeblikket er foreslået i henstillingen (50 %);</w:t>
      </w:r>
    </w:p>
    <w:p w:rsidR="00541522" w:rsidRPr="00E35002" w:rsidRDefault="00541522" w:rsidP="00541522">
      <w:pPr>
        <w:spacing w:after="240"/>
        <w:ind w:left="567" w:hanging="567"/>
        <w:jc w:val="both"/>
        <w:rPr>
          <w:szCs w:val="24"/>
        </w:rPr>
      </w:pPr>
      <w:r w:rsidRPr="00E35002">
        <w:t xml:space="preserve">N. </w:t>
      </w:r>
      <w:r w:rsidRPr="00E35002">
        <w:tab/>
        <w:t>der henviser til, at akademiske organisationer, offentlige myndigheder, ikke-statslige forbruger- og miljøorganisationer og fagforeninger i Kommissionens høringsproces slog til lyd for en definition, der omfatter alle materialer, uanset om de er fremstillet, tilfældige eller naturlige, og en grænseværdi på 10 % eller mere af partiklerne i den antalsmæssige partikelstørrelsesfordeling;</w:t>
      </w:r>
    </w:p>
    <w:p w:rsidR="00541522" w:rsidRPr="00E35002" w:rsidRDefault="00541522" w:rsidP="00541522">
      <w:pPr>
        <w:spacing w:after="240"/>
        <w:ind w:left="567" w:hanging="567"/>
        <w:jc w:val="both"/>
        <w:rPr>
          <w:color w:val="0D0D0D"/>
          <w:szCs w:val="24"/>
        </w:rPr>
      </w:pPr>
      <w:r w:rsidRPr="00E35002">
        <w:rPr>
          <w:color w:val="0D0D0D"/>
        </w:rPr>
        <w:t xml:space="preserve">O. </w:t>
      </w:r>
      <w:r w:rsidRPr="00E35002">
        <w:rPr>
          <w:color w:val="0D0D0D"/>
        </w:rPr>
        <w:tab/>
        <w:t xml:space="preserve">der henviser til, at nye videnskabelige fremskridt og ny viden siden 2014 bekræfter, at </w:t>
      </w:r>
      <w:proofErr w:type="spellStart"/>
      <w:r w:rsidRPr="00E35002">
        <w:rPr>
          <w:color w:val="0D0D0D"/>
        </w:rPr>
        <w:t>nanomaterialer</w:t>
      </w:r>
      <w:proofErr w:type="spellEnd"/>
      <w:r w:rsidRPr="00E35002">
        <w:rPr>
          <w:color w:val="0D0D0D"/>
        </w:rPr>
        <w:t xml:space="preserve"> kan krydse fysiologiske barrierer og ofte er mere farlige end stoffer på </w:t>
      </w:r>
      <w:proofErr w:type="spellStart"/>
      <w:r w:rsidRPr="00E35002">
        <w:rPr>
          <w:color w:val="0D0D0D"/>
        </w:rPr>
        <w:t>mikro</w:t>
      </w:r>
      <w:proofErr w:type="spellEnd"/>
      <w:r w:rsidRPr="00E35002">
        <w:rPr>
          <w:color w:val="0D0D0D"/>
        </w:rPr>
        <w:t>- eller makrostadiet</w:t>
      </w:r>
      <w:r w:rsidRPr="00E35002">
        <w:rPr>
          <w:rStyle w:val="FootnoteReference"/>
          <w:color w:val="0D0D0D"/>
          <w:szCs w:val="24"/>
        </w:rPr>
        <w:footnoteReference w:id="21"/>
      </w:r>
      <w:r w:rsidRPr="00E35002">
        <w:rPr>
          <w:color w:val="0D0D0D"/>
        </w:rPr>
        <w:t>;</w:t>
      </w:r>
    </w:p>
    <w:p w:rsidR="00541522" w:rsidRPr="00E35002" w:rsidRDefault="00541522" w:rsidP="00541522">
      <w:pPr>
        <w:spacing w:after="240"/>
        <w:ind w:left="567" w:hanging="567"/>
        <w:jc w:val="both"/>
        <w:rPr>
          <w:color w:val="0D0D0D"/>
          <w:szCs w:val="24"/>
        </w:rPr>
      </w:pPr>
      <w:r w:rsidRPr="00E35002">
        <w:rPr>
          <w:color w:val="0D0D0D"/>
        </w:rPr>
        <w:t xml:space="preserve">P. </w:t>
      </w:r>
      <w:r w:rsidRPr="00E35002">
        <w:rPr>
          <w:color w:val="0D0D0D"/>
        </w:rPr>
        <w:tab/>
        <w:t>der henviser til, at ANSES offentliggjorde en detaljeret rapport i april 2023</w:t>
      </w:r>
      <w:r w:rsidRPr="00E35002">
        <w:rPr>
          <w:rStyle w:val="FootnoteReference"/>
          <w:color w:val="0D0D0D"/>
          <w:szCs w:val="24"/>
        </w:rPr>
        <w:footnoteReference w:id="22"/>
      </w:r>
      <w:r w:rsidRPr="00E35002">
        <w:rPr>
          <w:color w:val="0D0D0D"/>
        </w:rPr>
        <w:t xml:space="preserve">, hvori det anføres, at definitionen af </w:t>
      </w:r>
      <w:proofErr w:type="spellStart"/>
      <w:r w:rsidRPr="00E35002">
        <w:rPr>
          <w:color w:val="0D0D0D"/>
        </w:rPr>
        <w:t>nanomaterialer</w:t>
      </w:r>
      <w:proofErr w:type="spellEnd"/>
      <w:r w:rsidRPr="00E35002">
        <w:rPr>
          <w:color w:val="0D0D0D"/>
        </w:rPr>
        <w:t xml:space="preserve"> i Kommissionens henstilling af 10. juni 2022</w:t>
      </w:r>
      <w:r w:rsidRPr="00E35002">
        <w:rPr>
          <w:rStyle w:val="FootnoteReference"/>
          <w:color w:val="0D0D0D"/>
          <w:szCs w:val="24"/>
        </w:rPr>
        <w:footnoteReference w:id="23"/>
      </w:r>
      <w:r w:rsidRPr="00E35002">
        <w:rPr>
          <w:color w:val="0D0D0D"/>
        </w:rPr>
        <w:t xml:space="preserve">, </w:t>
      </w:r>
      <w:r w:rsidRPr="00E35002">
        <w:rPr>
          <w:color w:val="0D0D0D"/>
        </w:rPr>
        <w:lastRenderedPageBreak/>
        <w:t xml:space="preserve">som har dannet grundlag for revisionen af definitionen af "industrielt fremstillede </w:t>
      </w:r>
      <w:proofErr w:type="spellStart"/>
      <w:r w:rsidRPr="00E35002">
        <w:rPr>
          <w:color w:val="0D0D0D"/>
        </w:rPr>
        <w:t>nanomaterialer</w:t>
      </w:r>
      <w:proofErr w:type="spellEnd"/>
      <w:r w:rsidRPr="00E35002">
        <w:rPr>
          <w:color w:val="0D0D0D"/>
        </w:rPr>
        <w:t xml:space="preserve">" i forordning (EU) 2015/2283 i sektorspecifikke forordninger, navnlig i fødevarer, ville være skadelig for forebyggelsen af sundheds- og miljørisici; </w:t>
      </w:r>
      <w:r w:rsidRPr="00E35002">
        <w:t xml:space="preserve">der henviser til, at ANSES understregede, at grænsen for antallet af </w:t>
      </w:r>
      <w:proofErr w:type="spellStart"/>
      <w:r w:rsidRPr="00E35002">
        <w:t>nanopartikler</w:t>
      </w:r>
      <w:proofErr w:type="spellEnd"/>
      <w:r w:rsidRPr="00E35002">
        <w:t xml:space="preserve"> på 50 %, der indgår i den horisontale definition af "[</w:t>
      </w:r>
      <w:proofErr w:type="spellStart"/>
      <w:r w:rsidRPr="00E35002">
        <w:t>nano</w:t>
      </w:r>
      <w:proofErr w:type="spellEnd"/>
      <w:r w:rsidRPr="00E35002">
        <w:t>]", ikke er baseret på solide videnskabelige argumenter, og anbefalede, at der fastsættes en lavere værdi for denne grænse;</w:t>
      </w:r>
    </w:p>
    <w:p w:rsidR="00541522" w:rsidRPr="00E35002" w:rsidRDefault="00541522" w:rsidP="00541522">
      <w:pPr>
        <w:spacing w:after="240"/>
        <w:ind w:left="567" w:hanging="567"/>
        <w:jc w:val="both"/>
        <w:rPr>
          <w:color w:val="0D0D0D"/>
          <w:szCs w:val="24"/>
        </w:rPr>
      </w:pPr>
      <w:r w:rsidRPr="00E35002">
        <w:rPr>
          <w:color w:val="0D0D0D"/>
        </w:rPr>
        <w:t xml:space="preserve">Q. </w:t>
      </w:r>
      <w:r w:rsidRPr="00E35002">
        <w:rPr>
          <w:color w:val="0D0D0D"/>
        </w:rPr>
        <w:tab/>
        <w:t xml:space="preserve">der henviser til, at det er muligt at spore </w:t>
      </w:r>
      <w:proofErr w:type="spellStart"/>
      <w:r w:rsidRPr="00E35002">
        <w:rPr>
          <w:color w:val="0D0D0D"/>
        </w:rPr>
        <w:t>nanofødevareingredienser</w:t>
      </w:r>
      <w:proofErr w:type="spellEnd"/>
      <w:r w:rsidRPr="00E35002">
        <w:rPr>
          <w:color w:val="0D0D0D"/>
        </w:rPr>
        <w:t xml:space="preserve"> baseret på en grænse for antallet af </w:t>
      </w:r>
      <w:proofErr w:type="spellStart"/>
      <w:r w:rsidRPr="00E35002">
        <w:rPr>
          <w:color w:val="0D0D0D"/>
        </w:rPr>
        <w:t>nanopartikler</w:t>
      </w:r>
      <w:proofErr w:type="spellEnd"/>
      <w:r w:rsidRPr="00E35002">
        <w:rPr>
          <w:color w:val="0D0D0D"/>
        </w:rPr>
        <w:t xml:space="preserve"> på 10 %, da dette er den afskæringsværdi, der i øjeblikket anvendes af det franske generaldirektorat for forbrugeranliggender, konkurrence og bekæmpelse af svig i dets kontrolaktiviteter</w:t>
      </w:r>
      <w:r w:rsidRPr="00E35002">
        <w:rPr>
          <w:rStyle w:val="FootnoteReference"/>
          <w:color w:val="0D0D0D"/>
          <w:szCs w:val="24"/>
        </w:rPr>
        <w:footnoteReference w:id="24"/>
      </w:r>
      <w:r w:rsidRPr="00E35002">
        <w:rPr>
          <w:color w:val="0D0D0D"/>
        </w:rPr>
        <w:t>;</w:t>
      </w:r>
    </w:p>
    <w:p w:rsidR="00541522" w:rsidRPr="00E35002" w:rsidRDefault="00541522" w:rsidP="00541522">
      <w:pPr>
        <w:spacing w:after="240"/>
        <w:jc w:val="both"/>
        <w:rPr>
          <w:i/>
          <w:color w:val="0D0D0D"/>
          <w:szCs w:val="24"/>
        </w:rPr>
      </w:pPr>
      <w:r w:rsidRPr="00E35002">
        <w:rPr>
          <w:i/>
          <w:color w:val="0D0D0D"/>
        </w:rPr>
        <w:t>Forsigtighedsprincippet</w:t>
      </w:r>
    </w:p>
    <w:p w:rsidR="00541522" w:rsidRPr="00E35002" w:rsidRDefault="00541522" w:rsidP="00541522">
      <w:pPr>
        <w:spacing w:after="240"/>
        <w:ind w:left="567" w:hanging="567"/>
        <w:jc w:val="both"/>
        <w:rPr>
          <w:color w:val="0D0D0D"/>
          <w:szCs w:val="24"/>
        </w:rPr>
      </w:pPr>
      <w:r w:rsidRPr="00E35002">
        <w:rPr>
          <w:color w:val="0D0D0D"/>
        </w:rPr>
        <w:t>R.</w:t>
      </w:r>
      <w:r w:rsidRPr="00E35002">
        <w:rPr>
          <w:color w:val="0D0D0D"/>
        </w:rPr>
        <w:tab/>
        <w:t>der henviser til, at artikel 191, stk. 2, i TEUF fastsætter forsigtighedsprincippet som et af Unionens grundlæggende principper;</w:t>
      </w:r>
    </w:p>
    <w:p w:rsidR="00541522" w:rsidRPr="00E35002" w:rsidRDefault="00541522" w:rsidP="00541522">
      <w:pPr>
        <w:spacing w:after="240"/>
        <w:ind w:left="567" w:hanging="567"/>
        <w:jc w:val="both"/>
        <w:rPr>
          <w:szCs w:val="24"/>
        </w:rPr>
      </w:pPr>
      <w:r w:rsidRPr="00E35002">
        <w:t xml:space="preserve">S. </w:t>
      </w:r>
      <w:r w:rsidRPr="00E35002">
        <w:tab/>
        <w:t>der henviser til, at det i artikel 168, stk. 1, i TEUF fastsættes, at der "skal sikres et højt sundhedsbeskyttelsesniveau ved fastlæggelsen og gennemførelsen af alle Unionens politikker og aktiviteter";</w:t>
      </w:r>
    </w:p>
    <w:p w:rsidR="00541522" w:rsidRPr="00E35002" w:rsidRDefault="00541522" w:rsidP="00541522">
      <w:pPr>
        <w:pStyle w:val="NormalHanging12a"/>
        <w:jc w:val="both"/>
        <w:rPr>
          <w:szCs w:val="24"/>
        </w:rPr>
      </w:pPr>
      <w:r w:rsidRPr="00E35002">
        <w:t>1.</w:t>
      </w:r>
      <w:r w:rsidRPr="00E35002">
        <w:tab/>
        <w:t>gør indsigelse mod Kommissionens delegerede forordning;</w:t>
      </w:r>
    </w:p>
    <w:p w:rsidR="00541522" w:rsidRPr="00E35002" w:rsidRDefault="00541522" w:rsidP="00541522">
      <w:pPr>
        <w:pStyle w:val="NormalHanging12a"/>
        <w:jc w:val="both"/>
        <w:rPr>
          <w:szCs w:val="24"/>
        </w:rPr>
      </w:pPr>
      <w:r w:rsidRPr="00E35002">
        <w:t>2.</w:t>
      </w:r>
      <w:r w:rsidRPr="00E35002">
        <w:tab/>
        <w:t xml:space="preserve">pålægger sin formand at sende denne beslutning til Kommissionen og underrette den om, at den delegerede forordning ikke kan træde i kraft; </w:t>
      </w:r>
      <w:bookmarkStart w:id="7" w:name="_GoBack"/>
      <w:bookmarkEnd w:id="7"/>
    </w:p>
    <w:p w:rsidR="00541522" w:rsidRPr="00E35002" w:rsidRDefault="00541522" w:rsidP="00541522">
      <w:pPr>
        <w:spacing w:after="240"/>
        <w:ind w:left="567" w:hanging="567"/>
        <w:jc w:val="both"/>
        <w:rPr>
          <w:szCs w:val="24"/>
        </w:rPr>
      </w:pPr>
      <w:r w:rsidRPr="00E35002">
        <w:t xml:space="preserve">3. </w:t>
      </w:r>
      <w:r w:rsidRPr="00E35002">
        <w:tab/>
        <w:t>mener, at Kommissionens delegerede forordning ikke er forenelig med formålet med og indholdet i forordning (EU</w:t>
      </w:r>
      <w:r w:rsidR="002B7847">
        <w:t>)</w:t>
      </w:r>
      <w:r w:rsidRPr="00E35002">
        <w:t xml:space="preserve"> 2015/2283, og at den overstiger de delegerede beføjelser, der er tillagt Kommissionen i nævnte forordnings artikel 31;</w:t>
      </w:r>
    </w:p>
    <w:p w:rsidR="00541522" w:rsidRPr="00E35002" w:rsidRDefault="00541522" w:rsidP="00541522">
      <w:pPr>
        <w:spacing w:after="240"/>
        <w:ind w:left="567" w:hanging="567"/>
        <w:jc w:val="both"/>
        <w:rPr>
          <w:szCs w:val="24"/>
        </w:rPr>
      </w:pPr>
      <w:r w:rsidRPr="00E35002">
        <w:t xml:space="preserve">4. </w:t>
      </w:r>
      <w:r w:rsidRPr="00E35002">
        <w:tab/>
        <w:t>beklager, at den foreslåede grænse på 50 % ikke tager hensyn til tekniske og videnskabelige fremskridt;</w:t>
      </w:r>
    </w:p>
    <w:p w:rsidR="00541522" w:rsidRPr="00E35002" w:rsidRDefault="00541522" w:rsidP="00541522">
      <w:pPr>
        <w:pStyle w:val="NormalHanging12a"/>
        <w:jc w:val="both"/>
        <w:rPr>
          <w:szCs w:val="24"/>
        </w:rPr>
      </w:pPr>
      <w:r w:rsidRPr="00E35002">
        <w:t xml:space="preserve">5. </w:t>
      </w:r>
      <w:r w:rsidRPr="00E35002">
        <w:tab/>
        <w:t>opfordrer Kommissionen til at anvende forsigtighedsprincippet, sikre forbrugersikkerhed og forbrugeroplysning og tage hensyn til One Health-modellen;</w:t>
      </w:r>
    </w:p>
    <w:p w:rsidR="00541522" w:rsidRPr="00E35002" w:rsidRDefault="00541522" w:rsidP="00C3164C">
      <w:pPr>
        <w:ind w:left="567" w:hanging="567"/>
      </w:pPr>
      <w:r w:rsidRPr="00E35002">
        <w:t>6.</w:t>
      </w:r>
      <w:r w:rsidRPr="00E35002">
        <w:tab/>
        <w:t>pålægger sin formand at sende denne beslutning til Rådet og til medlemsstaternes regeringer og parlamenter.</w:t>
      </w:r>
    </w:p>
    <w:p w:rsidR="00E365E1" w:rsidRPr="00E35002" w:rsidRDefault="00E365E1" w:rsidP="00475B15">
      <w:bookmarkStart w:id="8" w:name="TextBodyEnd"/>
      <w:bookmarkEnd w:id="8"/>
    </w:p>
    <w:sectPr w:rsidR="00E365E1" w:rsidRPr="00E35002" w:rsidSect="00FB09C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5B15" w:rsidRPr="00FB09C2" w:rsidRDefault="00475B15">
      <w:r w:rsidRPr="00FB09C2">
        <w:separator/>
      </w:r>
    </w:p>
  </w:endnote>
  <w:endnote w:type="continuationSeparator" w:id="0">
    <w:p w:rsidR="00475B15" w:rsidRPr="00FB09C2" w:rsidRDefault="00475B15">
      <w:r w:rsidRPr="00FB09C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B09C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B09C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B09C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5B15" w:rsidRPr="00FB09C2" w:rsidRDefault="00475B15">
      <w:r w:rsidRPr="00FB09C2">
        <w:separator/>
      </w:r>
    </w:p>
  </w:footnote>
  <w:footnote w:type="continuationSeparator" w:id="0">
    <w:p w:rsidR="00475B15" w:rsidRPr="00FB09C2" w:rsidRDefault="00475B15">
      <w:r w:rsidRPr="00FB09C2">
        <w:continuationSeparator/>
      </w:r>
    </w:p>
  </w:footnote>
  <w:footnote w:id="1">
    <w:p w:rsidR="00541522" w:rsidRPr="00FB09C2" w:rsidRDefault="00541522" w:rsidP="00FB09C2">
      <w:pPr>
        <w:pStyle w:val="FootnoteText"/>
        <w:ind w:left="567" w:hanging="567"/>
        <w:rPr>
          <w:sz w:val="24"/>
          <w:lang w:val="da-DK"/>
        </w:rPr>
      </w:pPr>
      <w:r w:rsidRPr="00FB09C2">
        <w:rPr>
          <w:rStyle w:val="FootnoteReference"/>
          <w:sz w:val="24"/>
          <w:lang w:val="da-DK"/>
        </w:rPr>
        <w:footnoteRef/>
      </w:r>
      <w:r w:rsidR="00FB09C2" w:rsidRPr="00FB09C2">
        <w:rPr>
          <w:sz w:val="24"/>
          <w:lang w:val="da-DK"/>
        </w:rPr>
        <w:t xml:space="preserve"> </w:t>
      </w:r>
      <w:r w:rsidR="00FB09C2" w:rsidRPr="00FB09C2">
        <w:rPr>
          <w:sz w:val="24"/>
          <w:lang w:val="da-DK"/>
        </w:rPr>
        <w:tab/>
      </w:r>
      <w:r w:rsidRPr="00FB09C2">
        <w:rPr>
          <w:sz w:val="24"/>
          <w:lang w:val="da-DK"/>
        </w:rPr>
        <w:t xml:space="preserve">EUT L 327 af 11.12.2015, s. 1. </w:t>
      </w:r>
    </w:p>
  </w:footnote>
  <w:footnote w:id="2">
    <w:p w:rsidR="00541522" w:rsidRPr="00FB09C2" w:rsidRDefault="00541522" w:rsidP="00FB09C2">
      <w:pPr>
        <w:pStyle w:val="FootnoteText"/>
        <w:ind w:left="567" w:hanging="567"/>
        <w:rPr>
          <w:sz w:val="24"/>
          <w:lang w:val="da-DK"/>
        </w:rPr>
      </w:pPr>
      <w:r w:rsidRPr="00FB09C2">
        <w:rPr>
          <w:rStyle w:val="FootnoteReference"/>
          <w:sz w:val="24"/>
          <w:lang w:val="da-DK"/>
        </w:rPr>
        <w:footnoteRef/>
      </w:r>
      <w:r w:rsidR="00FB09C2" w:rsidRPr="00FB09C2">
        <w:rPr>
          <w:sz w:val="24"/>
          <w:lang w:val="da-DK"/>
        </w:rPr>
        <w:t xml:space="preserve"> </w:t>
      </w:r>
      <w:r w:rsidR="00FB09C2" w:rsidRPr="00FB09C2">
        <w:rPr>
          <w:sz w:val="24"/>
          <w:lang w:val="da-DK"/>
        </w:rPr>
        <w:tab/>
      </w:r>
      <w:r w:rsidRPr="00FB09C2">
        <w:rPr>
          <w:sz w:val="24"/>
          <w:lang w:val="da-DK"/>
        </w:rPr>
        <w:t>EUT L 304 af 22.11.2011, s. 18.</w:t>
      </w:r>
    </w:p>
  </w:footnote>
  <w:footnote w:id="3">
    <w:p w:rsidR="00541522" w:rsidRPr="00FB09C2" w:rsidRDefault="00541522" w:rsidP="00FB09C2">
      <w:pPr>
        <w:pStyle w:val="FootnoteText"/>
        <w:ind w:left="567" w:hanging="567"/>
        <w:rPr>
          <w:sz w:val="24"/>
          <w:lang w:val="da-DK"/>
        </w:rPr>
      </w:pPr>
      <w:r w:rsidRPr="00FB09C2">
        <w:rPr>
          <w:rStyle w:val="FootnoteReference"/>
          <w:sz w:val="24"/>
          <w:lang w:val="da-DK"/>
        </w:rPr>
        <w:footnoteRef/>
      </w:r>
      <w:r w:rsidR="00FB09C2" w:rsidRPr="00FB09C2">
        <w:rPr>
          <w:sz w:val="24"/>
          <w:lang w:val="da-DK"/>
        </w:rPr>
        <w:t xml:space="preserve"> </w:t>
      </w:r>
      <w:r w:rsidR="00FB09C2" w:rsidRPr="00FB09C2">
        <w:rPr>
          <w:sz w:val="24"/>
          <w:lang w:val="da-DK"/>
        </w:rPr>
        <w:tab/>
      </w:r>
      <w:r w:rsidRPr="00FB09C2">
        <w:rPr>
          <w:sz w:val="24"/>
          <w:lang w:val="da-DK"/>
        </w:rPr>
        <w:t>EUT L 354 af 31.12.2008, s. 16.</w:t>
      </w:r>
    </w:p>
  </w:footnote>
  <w:footnote w:id="4">
    <w:p w:rsidR="00541522" w:rsidRPr="00FB09C2" w:rsidRDefault="00541522" w:rsidP="00FB09C2">
      <w:pPr>
        <w:pStyle w:val="FootnoteText"/>
        <w:ind w:left="567" w:hanging="567"/>
        <w:rPr>
          <w:sz w:val="24"/>
          <w:lang w:val="da-DK"/>
        </w:rPr>
      </w:pPr>
      <w:r w:rsidRPr="00FB09C2">
        <w:rPr>
          <w:rStyle w:val="FootnoteReference"/>
          <w:sz w:val="24"/>
          <w:lang w:val="da-DK"/>
        </w:rPr>
        <w:footnoteRef/>
      </w:r>
      <w:r w:rsidR="00FB09C2" w:rsidRPr="00FB09C2">
        <w:rPr>
          <w:sz w:val="24"/>
          <w:lang w:val="da-DK"/>
        </w:rPr>
        <w:t xml:space="preserve"> </w:t>
      </w:r>
      <w:r w:rsidR="00FB09C2" w:rsidRPr="00FB09C2">
        <w:rPr>
          <w:sz w:val="24"/>
          <w:lang w:val="da-DK"/>
        </w:rPr>
        <w:tab/>
      </w:r>
      <w:r w:rsidRPr="00FB09C2">
        <w:rPr>
          <w:sz w:val="24"/>
          <w:lang w:val="da-DK"/>
        </w:rPr>
        <w:t>EUT L 295 af 12.11.2011, s. 1.</w:t>
      </w:r>
    </w:p>
  </w:footnote>
  <w:footnote w:id="5">
    <w:p w:rsidR="00541522" w:rsidRPr="00FB09C2" w:rsidRDefault="00541522" w:rsidP="00FB09C2">
      <w:pPr>
        <w:pStyle w:val="FootnoteText"/>
        <w:ind w:left="567" w:hanging="567"/>
        <w:rPr>
          <w:sz w:val="24"/>
          <w:lang w:val="da-DK"/>
        </w:rPr>
      </w:pPr>
      <w:r w:rsidRPr="00FB09C2">
        <w:rPr>
          <w:rStyle w:val="FootnoteReference"/>
          <w:sz w:val="24"/>
          <w:lang w:val="da-DK"/>
        </w:rPr>
        <w:footnoteRef/>
      </w:r>
      <w:r w:rsidR="00FB09C2" w:rsidRPr="00FB09C2">
        <w:rPr>
          <w:sz w:val="24"/>
          <w:lang w:val="da-DK"/>
        </w:rPr>
        <w:t xml:space="preserve"> </w:t>
      </w:r>
      <w:r w:rsidR="00FB09C2" w:rsidRPr="00FB09C2">
        <w:rPr>
          <w:sz w:val="24"/>
          <w:lang w:val="da-DK"/>
        </w:rPr>
        <w:tab/>
      </w:r>
      <w:r w:rsidRPr="00FB09C2">
        <w:rPr>
          <w:sz w:val="24"/>
          <w:lang w:val="da-DK"/>
        </w:rPr>
        <w:t>EUT L 295 af 12.11.2011, s. 178.</w:t>
      </w:r>
    </w:p>
  </w:footnote>
  <w:footnote w:id="6">
    <w:p w:rsidR="00541522" w:rsidRPr="00FB09C2" w:rsidRDefault="00541522" w:rsidP="00FB09C2">
      <w:pPr>
        <w:pStyle w:val="FootnoteText"/>
        <w:ind w:left="567" w:hanging="567"/>
        <w:rPr>
          <w:sz w:val="24"/>
          <w:lang w:val="da-DK"/>
        </w:rPr>
      </w:pPr>
      <w:r w:rsidRPr="00FB09C2">
        <w:rPr>
          <w:rStyle w:val="FootnoteReference"/>
          <w:sz w:val="24"/>
          <w:lang w:val="da-DK"/>
        </w:rPr>
        <w:footnoteRef/>
      </w:r>
      <w:r w:rsidR="00FB09C2" w:rsidRPr="00FB09C2">
        <w:rPr>
          <w:sz w:val="24"/>
          <w:lang w:val="da-DK"/>
        </w:rPr>
        <w:t xml:space="preserve"> </w:t>
      </w:r>
      <w:r w:rsidR="00FB09C2" w:rsidRPr="00FB09C2">
        <w:rPr>
          <w:sz w:val="24"/>
          <w:lang w:val="da-DK"/>
        </w:rPr>
        <w:tab/>
      </w:r>
      <w:r w:rsidRPr="00FB09C2">
        <w:rPr>
          <w:sz w:val="24"/>
          <w:lang w:val="da-DK"/>
        </w:rPr>
        <w:t>EUT L 80 af 26.3.2010, s. 19.</w:t>
      </w:r>
    </w:p>
  </w:footnote>
  <w:footnote w:id="7">
    <w:p w:rsidR="00541522" w:rsidRPr="00FB09C2" w:rsidRDefault="00541522" w:rsidP="00FB09C2">
      <w:pPr>
        <w:pStyle w:val="FootnoteText"/>
        <w:ind w:left="567" w:hanging="567"/>
        <w:rPr>
          <w:sz w:val="24"/>
          <w:szCs w:val="24"/>
          <w:lang w:val="da-DK"/>
        </w:rPr>
      </w:pPr>
      <w:r w:rsidRPr="00FB09C2">
        <w:rPr>
          <w:rStyle w:val="FootnoteReference"/>
          <w:sz w:val="24"/>
          <w:szCs w:val="24"/>
          <w:lang w:val="da-DK"/>
        </w:rPr>
        <w:footnoteRef/>
      </w:r>
      <w:r w:rsidR="00FB09C2" w:rsidRPr="00FB09C2">
        <w:rPr>
          <w:sz w:val="24"/>
          <w:lang w:val="da-DK"/>
        </w:rPr>
        <w:t xml:space="preserve"> </w:t>
      </w:r>
      <w:r w:rsidR="00FB09C2" w:rsidRPr="00FB09C2">
        <w:rPr>
          <w:sz w:val="24"/>
          <w:lang w:val="da-DK"/>
        </w:rPr>
        <w:tab/>
      </w:r>
      <w:hyperlink r:id="rId1" w:history="1">
        <w:r w:rsidRPr="00FB09C2">
          <w:rPr>
            <w:rStyle w:val="Hyperlink"/>
            <w:color w:val="1155CC"/>
            <w:sz w:val="24"/>
            <w:lang w:val="da-DK"/>
          </w:rPr>
          <w:t>https://www.anses.fr/fr/nanomateriaux-alimentation-premiere-application-methodologie</w:t>
        </w:r>
      </w:hyperlink>
      <w:r w:rsidRPr="00FB09C2">
        <w:rPr>
          <w:rStyle w:val="Hyperlink"/>
          <w:color w:val="1155CC"/>
          <w:sz w:val="24"/>
          <w:lang w:val="da-DK"/>
        </w:rPr>
        <w:t>.</w:t>
      </w:r>
      <w:r w:rsidRPr="00FB09C2">
        <w:rPr>
          <w:color w:val="1155CC"/>
          <w:sz w:val="24"/>
          <w:u w:val="single"/>
          <w:lang w:val="da-DK"/>
        </w:rPr>
        <w:t xml:space="preserve"> </w:t>
      </w:r>
    </w:p>
  </w:footnote>
  <w:footnote w:id="8">
    <w:p w:rsidR="00541522" w:rsidRPr="00FB09C2" w:rsidRDefault="00541522" w:rsidP="00FB09C2">
      <w:pPr>
        <w:pStyle w:val="FootnoteText"/>
        <w:ind w:left="567" w:hanging="567"/>
        <w:rPr>
          <w:sz w:val="24"/>
          <w:szCs w:val="24"/>
          <w:lang w:val="da-DK"/>
        </w:rPr>
      </w:pPr>
      <w:r w:rsidRPr="00FB09C2">
        <w:rPr>
          <w:rStyle w:val="FootnoteReference"/>
          <w:sz w:val="24"/>
          <w:szCs w:val="24"/>
          <w:lang w:val="da-DK"/>
        </w:rPr>
        <w:footnoteRef/>
      </w:r>
      <w:r w:rsidR="00FB09C2" w:rsidRPr="00FB09C2">
        <w:rPr>
          <w:sz w:val="24"/>
          <w:lang w:val="da-DK"/>
        </w:rPr>
        <w:t xml:space="preserve"> </w:t>
      </w:r>
      <w:r w:rsidR="00FB09C2" w:rsidRPr="00FB09C2">
        <w:rPr>
          <w:sz w:val="24"/>
          <w:lang w:val="da-DK"/>
        </w:rPr>
        <w:tab/>
      </w:r>
      <w:hyperlink r:id="rId2" w:history="1">
        <w:r w:rsidRPr="00FB09C2">
          <w:rPr>
            <w:rStyle w:val="Hyperlink"/>
            <w:sz w:val="24"/>
            <w:lang w:val="da-DK"/>
          </w:rPr>
          <w:t>https://www.agirpourlenvironnement.org/communiques-presse/enquete-exclusive-des-analyses-revelent-la-presence-de-nanoparticules-dans-3980/</w:t>
        </w:r>
      </w:hyperlink>
      <w:r w:rsidRPr="00FB09C2">
        <w:rPr>
          <w:rStyle w:val="Hyperlink"/>
          <w:sz w:val="24"/>
          <w:lang w:val="da-DK"/>
        </w:rPr>
        <w:t>.</w:t>
      </w:r>
    </w:p>
  </w:footnote>
  <w:footnote w:id="9">
    <w:p w:rsidR="00541522" w:rsidRPr="00FB09C2" w:rsidRDefault="00541522" w:rsidP="00FB09C2">
      <w:pPr>
        <w:pStyle w:val="FootnoteText"/>
        <w:ind w:left="567" w:hanging="567"/>
        <w:rPr>
          <w:sz w:val="24"/>
          <w:szCs w:val="24"/>
          <w:lang w:val="da-DK"/>
        </w:rPr>
      </w:pPr>
      <w:r w:rsidRPr="00FB09C2">
        <w:rPr>
          <w:rStyle w:val="FootnoteReference"/>
          <w:sz w:val="24"/>
          <w:szCs w:val="24"/>
          <w:lang w:val="da-DK"/>
        </w:rPr>
        <w:footnoteRef/>
      </w:r>
      <w:r w:rsidR="00FB09C2" w:rsidRPr="00FB09C2">
        <w:rPr>
          <w:sz w:val="24"/>
          <w:lang w:val="da-DK"/>
        </w:rPr>
        <w:t xml:space="preserve"> </w:t>
      </w:r>
      <w:r w:rsidR="00FB09C2" w:rsidRPr="00FB09C2">
        <w:rPr>
          <w:sz w:val="24"/>
          <w:lang w:val="da-DK"/>
        </w:rPr>
        <w:tab/>
      </w:r>
      <w:hyperlink r:id="rId3" w:history="1">
        <w:r w:rsidRPr="00FB09C2">
          <w:rPr>
            <w:rStyle w:val="Hyperlink"/>
            <w:color w:val="1155CC"/>
            <w:sz w:val="24"/>
            <w:lang w:val="da-DK"/>
          </w:rPr>
          <w:t>https://www.quechoisir.org/enquete-nanoparticules-taille-mini-doutes-maxi-n50748/</w:t>
        </w:r>
      </w:hyperlink>
      <w:r w:rsidRPr="00FB09C2">
        <w:rPr>
          <w:rStyle w:val="Hyperlink"/>
          <w:color w:val="1155CC"/>
          <w:sz w:val="24"/>
          <w:lang w:val="da-DK"/>
        </w:rPr>
        <w:t>.</w:t>
      </w:r>
      <w:r w:rsidRPr="00FB09C2">
        <w:rPr>
          <w:color w:val="1155CC"/>
          <w:sz w:val="24"/>
          <w:u w:val="single"/>
          <w:lang w:val="da-DK"/>
        </w:rPr>
        <w:t xml:space="preserve"> </w:t>
      </w:r>
    </w:p>
  </w:footnote>
  <w:footnote w:id="10">
    <w:p w:rsidR="00541522" w:rsidRPr="00FB09C2" w:rsidRDefault="00541522" w:rsidP="00FB09C2">
      <w:pPr>
        <w:pStyle w:val="FootnoteText"/>
        <w:ind w:left="567" w:hanging="567"/>
        <w:rPr>
          <w:sz w:val="24"/>
          <w:szCs w:val="24"/>
          <w:lang w:val="da-DK"/>
        </w:rPr>
      </w:pPr>
      <w:r w:rsidRPr="00FB09C2">
        <w:rPr>
          <w:rStyle w:val="FootnoteReference"/>
          <w:sz w:val="24"/>
          <w:szCs w:val="24"/>
          <w:lang w:val="da-DK"/>
        </w:rPr>
        <w:footnoteRef/>
      </w:r>
      <w:r w:rsidR="00FB09C2" w:rsidRPr="00FB09C2">
        <w:rPr>
          <w:sz w:val="24"/>
          <w:lang w:val="da-DK"/>
        </w:rPr>
        <w:t xml:space="preserve"> </w:t>
      </w:r>
      <w:r w:rsidR="00FB09C2" w:rsidRPr="00FB09C2">
        <w:rPr>
          <w:sz w:val="24"/>
          <w:lang w:val="da-DK"/>
        </w:rPr>
        <w:tab/>
      </w:r>
      <w:hyperlink r:id="rId4" w:history="1">
        <w:r w:rsidRPr="00FB09C2">
          <w:rPr>
            <w:rStyle w:val="Hyperlink"/>
            <w:color w:val="1155CC"/>
            <w:sz w:val="24"/>
            <w:lang w:val="da-DK"/>
          </w:rPr>
          <w:t>https://bibliotheque.60millions-mag.com/detail/publication/detail-top-right/561?issue_id=113421&amp;switch_toc=archive</w:t>
        </w:r>
      </w:hyperlink>
      <w:r w:rsidRPr="00FB09C2">
        <w:rPr>
          <w:rStyle w:val="Hyperlink"/>
          <w:color w:val="1155CC"/>
          <w:sz w:val="24"/>
          <w:lang w:val="da-DK"/>
        </w:rPr>
        <w:t>.</w:t>
      </w:r>
    </w:p>
  </w:footnote>
  <w:footnote w:id="11">
    <w:p w:rsidR="00541522" w:rsidRPr="00FB09C2" w:rsidRDefault="00541522" w:rsidP="00FB09C2">
      <w:pPr>
        <w:pStyle w:val="FootnoteText"/>
        <w:ind w:left="567" w:hanging="567"/>
        <w:rPr>
          <w:sz w:val="24"/>
          <w:szCs w:val="24"/>
          <w:lang w:val="da-DK"/>
        </w:rPr>
      </w:pPr>
      <w:r w:rsidRPr="00FB09C2">
        <w:rPr>
          <w:rStyle w:val="FootnoteReference"/>
          <w:sz w:val="24"/>
          <w:szCs w:val="24"/>
          <w:lang w:val="da-DK"/>
        </w:rPr>
        <w:footnoteRef/>
      </w:r>
      <w:r w:rsidR="00FB09C2" w:rsidRPr="00FB09C2">
        <w:rPr>
          <w:sz w:val="24"/>
          <w:lang w:val="da-DK"/>
        </w:rPr>
        <w:t xml:space="preserve"> </w:t>
      </w:r>
      <w:r w:rsidR="00FB09C2" w:rsidRPr="00FB09C2">
        <w:rPr>
          <w:sz w:val="24"/>
          <w:lang w:val="da-DK"/>
        </w:rPr>
        <w:tab/>
      </w:r>
      <w:hyperlink r:id="rId5" w:history="1">
        <w:r w:rsidRPr="00FB09C2">
          <w:rPr>
            <w:rStyle w:val="Hyperlink"/>
            <w:color w:val="1155CC"/>
            <w:sz w:val="24"/>
            <w:lang w:val="da-DK"/>
          </w:rPr>
          <w:t>https://veillenanos.fr/wp-content/uploads/2023/01/Rapport-test-EN-20230113.pdf</w:t>
        </w:r>
      </w:hyperlink>
      <w:r w:rsidRPr="00FB09C2">
        <w:rPr>
          <w:rStyle w:val="Hyperlink"/>
          <w:color w:val="1155CC"/>
          <w:sz w:val="24"/>
          <w:lang w:val="da-DK"/>
        </w:rPr>
        <w:t>.</w:t>
      </w:r>
    </w:p>
  </w:footnote>
  <w:footnote w:id="12">
    <w:p w:rsidR="00541522" w:rsidRPr="00FB09C2" w:rsidRDefault="00541522" w:rsidP="00FB09C2">
      <w:pPr>
        <w:pStyle w:val="FootnoteText"/>
        <w:ind w:left="567" w:hanging="567"/>
        <w:rPr>
          <w:sz w:val="24"/>
          <w:szCs w:val="24"/>
          <w:lang w:val="da-DK"/>
        </w:rPr>
      </w:pPr>
      <w:r w:rsidRPr="00FB09C2">
        <w:rPr>
          <w:rStyle w:val="FootnoteReference"/>
          <w:sz w:val="24"/>
          <w:szCs w:val="24"/>
          <w:lang w:val="da-DK"/>
        </w:rPr>
        <w:footnoteRef/>
      </w:r>
      <w:r w:rsidR="00FB09C2" w:rsidRPr="00FB09C2">
        <w:rPr>
          <w:sz w:val="24"/>
          <w:lang w:val="da-DK"/>
        </w:rPr>
        <w:t xml:space="preserve"> </w:t>
      </w:r>
      <w:r w:rsidR="00FB09C2" w:rsidRPr="00FB09C2">
        <w:rPr>
          <w:sz w:val="24"/>
          <w:lang w:val="da-DK"/>
        </w:rPr>
        <w:tab/>
      </w:r>
      <w:hyperlink r:id="rId6" w:history="1">
        <w:r w:rsidRPr="00FB09C2">
          <w:rPr>
            <w:rStyle w:val="Hyperlink"/>
            <w:color w:val="1155CC"/>
            <w:sz w:val="24"/>
            <w:lang w:val="da-DK"/>
          </w:rPr>
          <w:t>https://www.foodwatch.org/de/potenziell-krebserregender-farbstoff-in-backzutaten-von-dr-oetker</w:t>
        </w:r>
      </w:hyperlink>
      <w:r w:rsidRPr="00FB09C2">
        <w:rPr>
          <w:rStyle w:val="Hyperlink"/>
          <w:color w:val="1155CC"/>
          <w:sz w:val="24"/>
          <w:lang w:val="da-DK"/>
        </w:rPr>
        <w:t>.</w:t>
      </w:r>
    </w:p>
  </w:footnote>
  <w:footnote w:id="13">
    <w:p w:rsidR="00541522" w:rsidRPr="00FB09C2" w:rsidRDefault="00541522" w:rsidP="00FB09C2">
      <w:pPr>
        <w:pStyle w:val="FootnoteText"/>
        <w:ind w:left="567" w:hanging="567"/>
        <w:rPr>
          <w:sz w:val="24"/>
          <w:szCs w:val="24"/>
          <w:lang w:val="da-DK"/>
        </w:rPr>
      </w:pPr>
      <w:r w:rsidRPr="00FB09C2">
        <w:rPr>
          <w:rStyle w:val="FootnoteReference"/>
          <w:sz w:val="24"/>
          <w:szCs w:val="24"/>
          <w:lang w:val="da-DK"/>
        </w:rPr>
        <w:footnoteRef/>
      </w:r>
      <w:r w:rsidR="00FB09C2" w:rsidRPr="00FB09C2">
        <w:rPr>
          <w:sz w:val="24"/>
          <w:lang w:val="da-DK"/>
        </w:rPr>
        <w:t xml:space="preserve"> </w:t>
      </w:r>
      <w:r w:rsidR="00FB09C2" w:rsidRPr="00FB09C2">
        <w:rPr>
          <w:sz w:val="24"/>
          <w:lang w:val="da-DK"/>
        </w:rPr>
        <w:tab/>
      </w:r>
      <w:hyperlink r:id="rId7" w:history="1">
        <w:r w:rsidRPr="00FB09C2">
          <w:rPr>
            <w:rStyle w:val="Hyperlink"/>
            <w:color w:val="1155CC"/>
            <w:sz w:val="24"/>
            <w:lang w:val="da-DK"/>
          </w:rPr>
          <w:t>https://www.bund.net/fileadmin/user_upload_bund/publikationen/chemie/‌nanotechnologie_in_lebensmitteln_hintergrund.pdf</w:t>
        </w:r>
      </w:hyperlink>
      <w:r w:rsidRPr="00FB09C2">
        <w:rPr>
          <w:rStyle w:val="Hyperlink"/>
          <w:color w:val="1155CC"/>
          <w:sz w:val="24"/>
          <w:lang w:val="da-DK"/>
        </w:rPr>
        <w:t>.</w:t>
      </w:r>
    </w:p>
  </w:footnote>
  <w:footnote w:id="14">
    <w:p w:rsidR="00541522" w:rsidRPr="00FB09C2" w:rsidRDefault="00541522" w:rsidP="00FB09C2">
      <w:pPr>
        <w:pStyle w:val="FootnoteText"/>
        <w:ind w:left="567" w:hanging="567"/>
        <w:rPr>
          <w:sz w:val="24"/>
          <w:szCs w:val="24"/>
          <w:lang w:val="da-DK"/>
        </w:rPr>
      </w:pPr>
      <w:r w:rsidRPr="00FB09C2">
        <w:rPr>
          <w:rStyle w:val="FootnoteReference"/>
          <w:sz w:val="24"/>
          <w:szCs w:val="24"/>
          <w:lang w:val="da-DK"/>
        </w:rPr>
        <w:footnoteRef/>
      </w:r>
      <w:r w:rsidR="00FB09C2" w:rsidRPr="00FB09C2">
        <w:rPr>
          <w:sz w:val="24"/>
          <w:lang w:val="da-DK"/>
        </w:rPr>
        <w:t xml:space="preserve"> </w:t>
      </w:r>
      <w:r w:rsidR="00FB09C2" w:rsidRPr="00FB09C2">
        <w:rPr>
          <w:sz w:val="24"/>
          <w:lang w:val="da-DK"/>
        </w:rPr>
        <w:tab/>
      </w:r>
      <w:hyperlink r:id="rId8" w:history="1">
        <w:r w:rsidRPr="00FB09C2">
          <w:rPr>
            <w:rStyle w:val="Hyperlink"/>
            <w:color w:val="1155CC"/>
            <w:sz w:val="24"/>
            <w:lang w:val="da-DK"/>
          </w:rPr>
          <w:t>https://www.test-achats.be/sante/sante-au-quotidien/produits-testes/news/nanoparticules-affichage</w:t>
        </w:r>
      </w:hyperlink>
      <w:r w:rsidRPr="00FB09C2">
        <w:rPr>
          <w:rStyle w:val="Hyperlink"/>
          <w:color w:val="1155CC"/>
          <w:sz w:val="24"/>
          <w:lang w:val="da-DK"/>
        </w:rPr>
        <w:t>.</w:t>
      </w:r>
      <w:r w:rsidRPr="00FB09C2">
        <w:rPr>
          <w:color w:val="1155CC"/>
          <w:sz w:val="24"/>
          <w:u w:val="single"/>
          <w:lang w:val="da-DK"/>
        </w:rPr>
        <w:t xml:space="preserve"> </w:t>
      </w:r>
    </w:p>
  </w:footnote>
  <w:footnote w:id="15">
    <w:p w:rsidR="00541522" w:rsidRPr="00FB09C2" w:rsidRDefault="00541522" w:rsidP="00FB09C2">
      <w:pPr>
        <w:pStyle w:val="FootnoteText"/>
        <w:ind w:left="567" w:hanging="567"/>
        <w:rPr>
          <w:sz w:val="24"/>
          <w:szCs w:val="24"/>
          <w:lang w:val="da-DK"/>
        </w:rPr>
      </w:pPr>
      <w:r w:rsidRPr="00FB09C2">
        <w:rPr>
          <w:rStyle w:val="FootnoteReference"/>
          <w:sz w:val="24"/>
          <w:szCs w:val="24"/>
          <w:lang w:val="da-DK"/>
        </w:rPr>
        <w:footnoteRef/>
      </w:r>
      <w:r w:rsidR="00FB09C2" w:rsidRPr="00FB09C2">
        <w:rPr>
          <w:sz w:val="24"/>
          <w:lang w:val="da-DK"/>
        </w:rPr>
        <w:t xml:space="preserve"> </w:t>
      </w:r>
      <w:r w:rsidR="00FB09C2" w:rsidRPr="00FB09C2">
        <w:rPr>
          <w:sz w:val="24"/>
          <w:lang w:val="da-DK"/>
        </w:rPr>
        <w:tab/>
      </w:r>
      <w:hyperlink r:id="rId9" w:history="1">
        <w:r w:rsidRPr="00FB09C2">
          <w:rPr>
            <w:rStyle w:val="Hyperlink"/>
            <w:color w:val="1155CC"/>
            <w:sz w:val="24"/>
            <w:lang w:val="da-DK"/>
          </w:rPr>
          <w:t>https://www.altroconsumo.it/alimentazione/sicurezza-alimentare/news/nanoparticelle</w:t>
        </w:r>
      </w:hyperlink>
      <w:r w:rsidRPr="00FB09C2">
        <w:rPr>
          <w:rStyle w:val="Hyperlink"/>
          <w:color w:val="1155CC"/>
          <w:sz w:val="24"/>
          <w:lang w:val="da-DK"/>
        </w:rPr>
        <w:t>.</w:t>
      </w:r>
    </w:p>
  </w:footnote>
  <w:footnote w:id="16">
    <w:p w:rsidR="00541522" w:rsidRPr="00FB09C2" w:rsidRDefault="00541522" w:rsidP="00FB09C2">
      <w:pPr>
        <w:ind w:left="567" w:hanging="567"/>
        <w:rPr>
          <w:color w:val="1155CC"/>
          <w:szCs w:val="24"/>
          <w:u w:val="single"/>
        </w:rPr>
      </w:pPr>
      <w:r w:rsidRPr="00FB09C2">
        <w:rPr>
          <w:rStyle w:val="FootnoteReference"/>
          <w:szCs w:val="24"/>
        </w:rPr>
        <w:footnoteRef/>
      </w:r>
      <w:r w:rsidR="00FB09C2" w:rsidRPr="00FB09C2">
        <w:t xml:space="preserve"> </w:t>
      </w:r>
      <w:r w:rsidR="00FB09C2" w:rsidRPr="00FB09C2">
        <w:tab/>
      </w:r>
      <w:hyperlink r:id="rId10" w:history="1">
        <w:r w:rsidRPr="00FB09C2">
          <w:rPr>
            <w:rStyle w:val="Hyperlink"/>
          </w:rPr>
          <w:t>https://www.ocu.org/toda-la-informacion?type=magazine-articles&amp;magazine=ocu%20compra%20maestra&amp;year=2019</w:t>
        </w:r>
      </w:hyperlink>
      <w:r w:rsidRPr="00FB09C2">
        <w:rPr>
          <w:rStyle w:val="Hyperlink"/>
        </w:rPr>
        <w:t>.</w:t>
      </w:r>
    </w:p>
  </w:footnote>
  <w:footnote w:id="17">
    <w:p w:rsidR="00541522" w:rsidRPr="00FB09C2" w:rsidRDefault="00541522" w:rsidP="00FB09C2">
      <w:pPr>
        <w:pStyle w:val="FootnoteText"/>
        <w:ind w:left="567" w:hanging="567"/>
        <w:rPr>
          <w:sz w:val="24"/>
          <w:szCs w:val="24"/>
          <w:lang w:val="da-DK"/>
        </w:rPr>
      </w:pPr>
      <w:r w:rsidRPr="00FB09C2">
        <w:rPr>
          <w:rStyle w:val="FootnoteReference"/>
          <w:sz w:val="24"/>
          <w:szCs w:val="24"/>
          <w:lang w:val="da-DK"/>
        </w:rPr>
        <w:footnoteRef/>
      </w:r>
      <w:r w:rsidR="00FB09C2" w:rsidRPr="00FB09C2">
        <w:rPr>
          <w:sz w:val="24"/>
          <w:lang w:val="da-DK"/>
        </w:rPr>
        <w:t xml:space="preserve"> </w:t>
      </w:r>
      <w:r w:rsidR="00FB09C2" w:rsidRPr="00FB09C2">
        <w:rPr>
          <w:sz w:val="24"/>
          <w:lang w:val="da-DK"/>
        </w:rPr>
        <w:tab/>
      </w:r>
      <w:hyperlink r:id="rId11" w:history="1">
        <w:r w:rsidRPr="00FB09C2">
          <w:rPr>
            <w:rStyle w:val="Hyperlink"/>
            <w:sz w:val="24"/>
            <w:lang w:val="da-DK"/>
          </w:rPr>
          <w:t>https://echa.europa.eu/da/-/what-do-eu-citizens-think-about-nanomaterials-</w:t>
        </w:r>
      </w:hyperlink>
      <w:r w:rsidRPr="00FB09C2">
        <w:rPr>
          <w:rStyle w:val="Hyperlink"/>
          <w:sz w:val="24"/>
          <w:lang w:val="da-DK"/>
        </w:rPr>
        <w:t>.</w:t>
      </w:r>
      <w:r w:rsidRPr="00FB09C2">
        <w:rPr>
          <w:sz w:val="24"/>
          <w:lang w:val="da-DK"/>
        </w:rPr>
        <w:t xml:space="preserve"> </w:t>
      </w:r>
    </w:p>
  </w:footnote>
  <w:footnote w:id="18">
    <w:p w:rsidR="00541522" w:rsidRPr="00FB09C2" w:rsidRDefault="00541522" w:rsidP="00FB09C2">
      <w:pPr>
        <w:pStyle w:val="FootnoteText"/>
        <w:ind w:left="567" w:hanging="567"/>
        <w:rPr>
          <w:sz w:val="24"/>
          <w:szCs w:val="24"/>
          <w:lang w:val="da-DK"/>
        </w:rPr>
      </w:pPr>
      <w:r w:rsidRPr="00FB09C2">
        <w:rPr>
          <w:rStyle w:val="FootnoteReference"/>
          <w:sz w:val="24"/>
          <w:szCs w:val="24"/>
          <w:lang w:val="da-DK"/>
        </w:rPr>
        <w:footnoteRef/>
      </w:r>
      <w:r w:rsidR="00FB09C2" w:rsidRPr="00FB09C2">
        <w:rPr>
          <w:sz w:val="24"/>
          <w:lang w:val="da-DK"/>
        </w:rPr>
        <w:t xml:space="preserve"> </w:t>
      </w:r>
      <w:r w:rsidR="00FB09C2" w:rsidRPr="00FB09C2">
        <w:rPr>
          <w:sz w:val="24"/>
          <w:lang w:val="da-DK"/>
        </w:rPr>
        <w:tab/>
      </w:r>
      <w:r w:rsidRPr="00FB09C2">
        <w:rPr>
          <w:sz w:val="24"/>
          <w:lang w:val="da-DK"/>
        </w:rPr>
        <w:t>EUT C 378 af 9.11.2017, s. 92.</w:t>
      </w:r>
    </w:p>
  </w:footnote>
  <w:footnote w:id="19">
    <w:p w:rsidR="00541522" w:rsidRPr="00FB09C2" w:rsidRDefault="00541522" w:rsidP="00FB09C2">
      <w:pPr>
        <w:pStyle w:val="FootnoteText"/>
        <w:ind w:left="567" w:hanging="567"/>
        <w:rPr>
          <w:sz w:val="24"/>
          <w:szCs w:val="24"/>
          <w:lang w:val="da-DK"/>
        </w:rPr>
      </w:pPr>
      <w:r w:rsidRPr="00FB09C2">
        <w:rPr>
          <w:rStyle w:val="FootnoteReference"/>
          <w:sz w:val="24"/>
          <w:szCs w:val="24"/>
          <w:lang w:val="da-DK"/>
        </w:rPr>
        <w:footnoteRef/>
      </w:r>
      <w:r w:rsidR="00FB09C2" w:rsidRPr="00FB09C2">
        <w:rPr>
          <w:sz w:val="24"/>
          <w:lang w:val="da-DK"/>
        </w:rPr>
        <w:t xml:space="preserve"> </w:t>
      </w:r>
      <w:r w:rsidR="00FB09C2" w:rsidRPr="00FB09C2">
        <w:rPr>
          <w:sz w:val="24"/>
          <w:lang w:val="da-DK"/>
        </w:rPr>
        <w:tab/>
      </w:r>
      <w:r w:rsidRPr="00FB09C2">
        <w:rPr>
          <w:sz w:val="24"/>
          <w:lang w:val="da-DK"/>
        </w:rPr>
        <w:t>EUT C 395 af 29.3.2021, s. 28.</w:t>
      </w:r>
    </w:p>
  </w:footnote>
  <w:footnote w:id="20">
    <w:p w:rsidR="00541522" w:rsidRPr="00FB09C2" w:rsidRDefault="00541522" w:rsidP="00FB09C2">
      <w:pPr>
        <w:pStyle w:val="FootnoteText"/>
        <w:ind w:left="567" w:hanging="567"/>
        <w:rPr>
          <w:sz w:val="24"/>
          <w:szCs w:val="24"/>
          <w:lang w:val="da-DK"/>
        </w:rPr>
      </w:pPr>
      <w:r w:rsidRPr="00FB09C2">
        <w:rPr>
          <w:rStyle w:val="FootnoteReference"/>
          <w:sz w:val="24"/>
          <w:szCs w:val="24"/>
          <w:lang w:val="da-DK"/>
        </w:rPr>
        <w:footnoteRef/>
      </w:r>
      <w:r w:rsidR="00FB09C2" w:rsidRPr="00FB09C2">
        <w:rPr>
          <w:sz w:val="24"/>
          <w:lang w:val="da-DK"/>
        </w:rPr>
        <w:t xml:space="preserve"> </w:t>
      </w:r>
      <w:r w:rsidR="00FB09C2" w:rsidRPr="00FB09C2">
        <w:rPr>
          <w:sz w:val="24"/>
          <w:lang w:val="da-DK"/>
        </w:rPr>
        <w:tab/>
      </w:r>
      <w:hyperlink r:id="rId12" w:history="1">
        <w:r w:rsidRPr="00FB09C2">
          <w:rPr>
            <w:rStyle w:val="Hyperlink"/>
            <w:sz w:val="24"/>
            <w:lang w:val="da-DK"/>
          </w:rPr>
          <w:t>https://www.efsa.europa.eu/sites/default/files/assets/corporatenanotechnology121003.pdf</w:t>
        </w:r>
      </w:hyperlink>
      <w:r w:rsidRPr="00FB09C2">
        <w:rPr>
          <w:rStyle w:val="Hyperlink"/>
          <w:sz w:val="24"/>
          <w:lang w:val="da-DK"/>
        </w:rPr>
        <w:t>.</w:t>
      </w:r>
    </w:p>
  </w:footnote>
  <w:footnote w:id="21">
    <w:p w:rsidR="00541522" w:rsidRPr="00FB09C2" w:rsidRDefault="00541522" w:rsidP="00FB09C2">
      <w:pPr>
        <w:pStyle w:val="FootnoteText"/>
        <w:ind w:left="567" w:hanging="567"/>
        <w:rPr>
          <w:sz w:val="24"/>
          <w:szCs w:val="24"/>
          <w:lang w:val="da-DK"/>
        </w:rPr>
      </w:pPr>
      <w:r w:rsidRPr="00FB09C2">
        <w:rPr>
          <w:rStyle w:val="FootnoteReference"/>
          <w:sz w:val="24"/>
          <w:szCs w:val="24"/>
          <w:lang w:val="da-DK"/>
        </w:rPr>
        <w:footnoteRef/>
      </w:r>
      <w:r w:rsidR="00FB09C2" w:rsidRPr="00FB09C2">
        <w:rPr>
          <w:sz w:val="24"/>
          <w:lang w:val="da-DK"/>
        </w:rPr>
        <w:t xml:space="preserve"> </w:t>
      </w:r>
      <w:r w:rsidR="00FB09C2" w:rsidRPr="00FB09C2">
        <w:rPr>
          <w:sz w:val="24"/>
          <w:lang w:val="da-DK"/>
        </w:rPr>
        <w:tab/>
      </w:r>
      <w:hyperlink r:id="rId13" w:history="1">
        <w:r w:rsidRPr="00FB09C2">
          <w:rPr>
            <w:rStyle w:val="Hyperlink"/>
            <w:color w:val="1155CC"/>
            <w:sz w:val="24"/>
            <w:lang w:val="da-DK"/>
          </w:rPr>
          <w:t>https://veillenanos.fr/en/dossier/nanos-and-health/nanos-health-risks/</w:t>
        </w:r>
      </w:hyperlink>
      <w:r w:rsidRPr="00FB09C2">
        <w:rPr>
          <w:rStyle w:val="Hyperlink"/>
          <w:color w:val="1155CC"/>
          <w:sz w:val="24"/>
          <w:lang w:val="da-DK"/>
        </w:rPr>
        <w:t>.</w:t>
      </w:r>
    </w:p>
  </w:footnote>
  <w:footnote w:id="22">
    <w:p w:rsidR="00541522" w:rsidRPr="00FB09C2" w:rsidRDefault="00541522" w:rsidP="00FB09C2">
      <w:pPr>
        <w:pStyle w:val="FootnoteText"/>
        <w:ind w:left="567" w:hanging="567"/>
        <w:rPr>
          <w:sz w:val="24"/>
          <w:szCs w:val="24"/>
          <w:lang w:val="da-DK"/>
        </w:rPr>
      </w:pPr>
      <w:r w:rsidRPr="00FB09C2">
        <w:rPr>
          <w:rStyle w:val="FootnoteReference"/>
          <w:sz w:val="24"/>
          <w:szCs w:val="24"/>
          <w:lang w:val="da-DK"/>
        </w:rPr>
        <w:footnoteRef/>
      </w:r>
      <w:r w:rsidR="00FB09C2" w:rsidRPr="00FB09C2">
        <w:rPr>
          <w:sz w:val="24"/>
          <w:lang w:val="da-DK"/>
        </w:rPr>
        <w:t xml:space="preserve"> </w:t>
      </w:r>
      <w:r w:rsidR="00FB09C2" w:rsidRPr="00FB09C2">
        <w:rPr>
          <w:sz w:val="24"/>
          <w:lang w:val="da-DK"/>
        </w:rPr>
        <w:tab/>
      </w:r>
      <w:r w:rsidRPr="00FB09C2">
        <w:rPr>
          <w:sz w:val="24"/>
          <w:lang w:val="da-DK"/>
        </w:rPr>
        <w:t xml:space="preserve">Udtalelse fra Anses (2023): Definition of </w:t>
      </w:r>
      <w:proofErr w:type="spellStart"/>
      <w:r w:rsidRPr="00FB09C2">
        <w:rPr>
          <w:sz w:val="24"/>
          <w:lang w:val="da-DK"/>
        </w:rPr>
        <w:t>nanomaterials</w:t>
      </w:r>
      <w:proofErr w:type="spellEnd"/>
      <w:r w:rsidRPr="00FB09C2">
        <w:rPr>
          <w:sz w:val="24"/>
          <w:lang w:val="da-DK"/>
        </w:rPr>
        <w:t xml:space="preserve">: </w:t>
      </w:r>
      <w:proofErr w:type="spellStart"/>
      <w:r w:rsidRPr="00FB09C2">
        <w:rPr>
          <w:sz w:val="24"/>
          <w:lang w:val="da-DK"/>
        </w:rPr>
        <w:t>analysis</w:t>
      </w:r>
      <w:proofErr w:type="spellEnd"/>
      <w:r w:rsidRPr="00FB09C2">
        <w:rPr>
          <w:sz w:val="24"/>
          <w:lang w:val="da-DK"/>
        </w:rPr>
        <w:t xml:space="preserve">, </w:t>
      </w:r>
      <w:proofErr w:type="spellStart"/>
      <w:r w:rsidRPr="00FB09C2">
        <w:rPr>
          <w:sz w:val="24"/>
          <w:lang w:val="da-DK"/>
        </w:rPr>
        <w:t>challenges</w:t>
      </w:r>
      <w:proofErr w:type="spellEnd"/>
      <w:r w:rsidRPr="00FB09C2">
        <w:rPr>
          <w:sz w:val="24"/>
          <w:lang w:val="da-DK"/>
        </w:rPr>
        <w:t xml:space="preserve"> and </w:t>
      </w:r>
      <w:proofErr w:type="spellStart"/>
      <w:r w:rsidRPr="00FB09C2">
        <w:rPr>
          <w:sz w:val="24"/>
          <w:lang w:val="da-DK"/>
        </w:rPr>
        <w:t>controversies</w:t>
      </w:r>
      <w:proofErr w:type="spellEnd"/>
      <w:r w:rsidRPr="00FB09C2">
        <w:rPr>
          <w:sz w:val="24"/>
          <w:lang w:val="da-DK"/>
        </w:rPr>
        <w:t>,</w:t>
      </w:r>
      <w:hyperlink r:id="rId14" w:history="1">
        <w:r w:rsidRPr="00FB09C2">
          <w:rPr>
            <w:rStyle w:val="Hyperlink"/>
            <w:sz w:val="24"/>
            <w:lang w:val="da-DK"/>
          </w:rPr>
          <w:t xml:space="preserve"> </w:t>
        </w:r>
      </w:hyperlink>
      <w:hyperlink r:id="rId15" w:history="1">
        <w:r w:rsidRPr="00FB09C2">
          <w:rPr>
            <w:rStyle w:val="Hyperlink"/>
            <w:color w:val="1155CC"/>
            <w:sz w:val="24"/>
            <w:lang w:val="da-DK"/>
          </w:rPr>
          <w:t>https://www.anses.fr/en/system/files/AP2018SA0168RaEN.pdf</w:t>
        </w:r>
      </w:hyperlink>
      <w:r w:rsidRPr="00FB09C2">
        <w:rPr>
          <w:rStyle w:val="Hyperlink"/>
          <w:color w:val="1155CC"/>
          <w:sz w:val="24"/>
          <w:lang w:val="da-DK"/>
        </w:rPr>
        <w:t>.</w:t>
      </w:r>
    </w:p>
  </w:footnote>
  <w:footnote w:id="23">
    <w:p w:rsidR="00541522" w:rsidRPr="00FB09C2" w:rsidRDefault="00541522" w:rsidP="00FB09C2">
      <w:pPr>
        <w:pStyle w:val="FootnoteText"/>
        <w:ind w:left="567" w:hanging="567"/>
        <w:rPr>
          <w:sz w:val="24"/>
          <w:szCs w:val="24"/>
          <w:lang w:val="da-DK"/>
        </w:rPr>
      </w:pPr>
      <w:r w:rsidRPr="00FB09C2">
        <w:rPr>
          <w:rStyle w:val="FootnoteReference"/>
          <w:sz w:val="24"/>
          <w:szCs w:val="24"/>
          <w:lang w:val="da-DK"/>
        </w:rPr>
        <w:footnoteRef/>
      </w:r>
      <w:r w:rsidR="00FB09C2" w:rsidRPr="00FB09C2">
        <w:rPr>
          <w:sz w:val="24"/>
          <w:lang w:val="da-DK"/>
        </w:rPr>
        <w:t xml:space="preserve"> </w:t>
      </w:r>
      <w:r w:rsidR="00FB09C2" w:rsidRPr="00FB09C2">
        <w:rPr>
          <w:sz w:val="24"/>
          <w:lang w:val="da-DK"/>
        </w:rPr>
        <w:tab/>
      </w:r>
      <w:r w:rsidRPr="00FB09C2">
        <w:rPr>
          <w:sz w:val="24"/>
          <w:lang w:val="da-DK"/>
        </w:rPr>
        <w:t xml:space="preserve">Kommissionens henstilling af 10. juni 2022 om definitionen af </w:t>
      </w:r>
      <w:proofErr w:type="spellStart"/>
      <w:r w:rsidRPr="00FB09C2">
        <w:rPr>
          <w:sz w:val="24"/>
          <w:lang w:val="da-DK"/>
        </w:rPr>
        <w:t>nanomaterialer</w:t>
      </w:r>
      <w:proofErr w:type="spellEnd"/>
      <w:r w:rsidRPr="00FB09C2">
        <w:rPr>
          <w:sz w:val="24"/>
          <w:lang w:val="da-DK"/>
        </w:rPr>
        <w:t xml:space="preserve"> (EUT C 229 af 14.6.2022, s. 1).</w:t>
      </w:r>
    </w:p>
  </w:footnote>
  <w:footnote w:id="24">
    <w:p w:rsidR="00541522" w:rsidRPr="00B8035D" w:rsidRDefault="00541522" w:rsidP="00FB09C2">
      <w:pPr>
        <w:pStyle w:val="FootnoteText"/>
        <w:ind w:left="567" w:hanging="567"/>
        <w:rPr>
          <w:sz w:val="24"/>
          <w:szCs w:val="24"/>
        </w:rPr>
      </w:pPr>
      <w:r w:rsidRPr="00FB09C2">
        <w:rPr>
          <w:rStyle w:val="FootnoteReference"/>
          <w:sz w:val="24"/>
          <w:szCs w:val="24"/>
          <w:lang w:val="da-DK"/>
        </w:rPr>
        <w:footnoteRef/>
      </w:r>
      <w:r w:rsidR="00FB09C2" w:rsidRPr="00B8035D">
        <w:rPr>
          <w:sz w:val="24"/>
        </w:rPr>
        <w:t xml:space="preserve"> </w:t>
      </w:r>
      <w:r w:rsidR="00FB09C2" w:rsidRPr="00B8035D">
        <w:rPr>
          <w:sz w:val="24"/>
        </w:rPr>
        <w:tab/>
      </w:r>
      <w:r w:rsidRPr="00B8035D">
        <w:rPr>
          <w:sz w:val="24"/>
        </w:rPr>
        <w:t>Anses (2020): Nanomatériaux dans les produits destinés à l'alimentation. Rapport d’expertise collective,</w:t>
      </w:r>
      <w:hyperlink r:id="rId16" w:history="1">
        <w:r w:rsidRPr="00B8035D">
          <w:rPr>
            <w:rStyle w:val="Hyperlink"/>
            <w:sz w:val="24"/>
          </w:rPr>
          <w:t xml:space="preserve"> </w:t>
        </w:r>
      </w:hyperlink>
      <w:hyperlink r:id="rId17" w:history="1">
        <w:r w:rsidRPr="00B8035D">
          <w:rPr>
            <w:rStyle w:val="Hyperlink"/>
            <w:color w:val="1155CC"/>
            <w:sz w:val="24"/>
          </w:rPr>
          <w:t>https://www.anses.fr/fr/system/files/ERCA2016SA0226Ra.pdf</w:t>
        </w:r>
      </w:hyperlink>
      <w:r w:rsidRPr="00B8035D">
        <w:rPr>
          <w:sz w:val="24"/>
        </w:rPr>
        <w:t xml:space="preserve"> (s. 86).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B09C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B09C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B09C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25/2024"/>
    <w:docVar w:name="dvlangue" w:val="DA"/>
    <w:docVar w:name="dvnumam" w:val="0"/>
    <w:docVar w:name="dvpe" w:val="760.689"/>
    <w:docVar w:name="dvtitre" w:val="Europa-Parlamentets beslutning af xx. april 2024 om Kommissionens delegerede forordning af 14. marts 2024 om ændring af Europa-Parlamentets og Rådets forordning (EU) 2015/2283 om nye fødevarer for så vidt angår definitionen af &quot;industrielt fremstillede nanomaterialer&quot;(C(2024)01612 – 2024/2691(DEA))"/>
  </w:docVars>
  <w:rsids>
    <w:rsidRoot w:val="00475B15"/>
    <w:rsid w:val="00002272"/>
    <w:rsid w:val="00064002"/>
    <w:rsid w:val="000677B9"/>
    <w:rsid w:val="000831BA"/>
    <w:rsid w:val="000A42CC"/>
    <w:rsid w:val="000E7DD9"/>
    <w:rsid w:val="0010095E"/>
    <w:rsid w:val="00125B37"/>
    <w:rsid w:val="00187494"/>
    <w:rsid w:val="001F32AE"/>
    <w:rsid w:val="002767FF"/>
    <w:rsid w:val="002B18FE"/>
    <w:rsid w:val="002B5493"/>
    <w:rsid w:val="002B7847"/>
    <w:rsid w:val="00343214"/>
    <w:rsid w:val="00361C00"/>
    <w:rsid w:val="00395FA1"/>
    <w:rsid w:val="003E15D4"/>
    <w:rsid w:val="00411CCE"/>
    <w:rsid w:val="0041666E"/>
    <w:rsid w:val="00421060"/>
    <w:rsid w:val="00471C19"/>
    <w:rsid w:val="00475B15"/>
    <w:rsid w:val="004867E3"/>
    <w:rsid w:val="00494A28"/>
    <w:rsid w:val="004C0004"/>
    <w:rsid w:val="004C5D52"/>
    <w:rsid w:val="0050519A"/>
    <w:rsid w:val="005072A1"/>
    <w:rsid w:val="00514517"/>
    <w:rsid w:val="00541522"/>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75C29"/>
    <w:rsid w:val="00B8035D"/>
    <w:rsid w:val="00BD48FE"/>
    <w:rsid w:val="00BD7BD8"/>
    <w:rsid w:val="00BE6ADC"/>
    <w:rsid w:val="00C05BFE"/>
    <w:rsid w:val="00C23CD4"/>
    <w:rsid w:val="00C3164C"/>
    <w:rsid w:val="00C61C0C"/>
    <w:rsid w:val="00C941CB"/>
    <w:rsid w:val="00CC2357"/>
    <w:rsid w:val="00CF071A"/>
    <w:rsid w:val="00D058B8"/>
    <w:rsid w:val="00D56C11"/>
    <w:rsid w:val="00D834A0"/>
    <w:rsid w:val="00D872DF"/>
    <w:rsid w:val="00D91E21"/>
    <w:rsid w:val="00DA7FCD"/>
    <w:rsid w:val="00E35002"/>
    <w:rsid w:val="00E365E1"/>
    <w:rsid w:val="00E61350"/>
    <w:rsid w:val="00E820A4"/>
    <w:rsid w:val="00EB006A"/>
    <w:rsid w:val="00EB4772"/>
    <w:rsid w:val="00ED169E"/>
    <w:rsid w:val="00ED4235"/>
    <w:rsid w:val="00F04346"/>
    <w:rsid w:val="00F075DC"/>
    <w:rsid w:val="00F149E9"/>
    <w:rsid w:val="00F5134D"/>
    <w:rsid w:val="00F74202"/>
    <w:rsid w:val="00F87713"/>
    <w:rsid w:val="00FB09C2"/>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91D294"/>
  <w15:chartTrackingRefBased/>
  <w15:docId w15:val="{0454620C-9655-4C8A-9F4A-B04DD08C63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41522"/>
    <w:pPr>
      <w:spacing w:before="480" w:after="240"/>
    </w:pPr>
  </w:style>
  <w:style w:type="paragraph" w:customStyle="1" w:styleId="NormalHanging12a">
    <w:name w:val="NormalHanging12a"/>
    <w:basedOn w:val="Normal"/>
    <w:rsid w:val="00541522"/>
    <w:pPr>
      <w:spacing w:after="240"/>
      <w:ind w:left="567" w:hanging="567"/>
    </w:pPr>
  </w:style>
  <w:style w:type="character" w:styleId="Hyperlink">
    <w:name w:val="Hyperlink"/>
    <w:basedOn w:val="DefaultParagraphFont"/>
    <w:unhideWhenUsed/>
    <w:rsid w:val="00541522"/>
    <w:rPr>
      <w:color w:val="0563C1" w:themeColor="hyperlink"/>
      <w:u w:val="single"/>
    </w:rPr>
  </w:style>
  <w:style w:type="paragraph" w:styleId="BalloonText">
    <w:name w:val="Balloon Text"/>
    <w:basedOn w:val="Normal"/>
    <w:link w:val="BalloonTextChar"/>
    <w:rsid w:val="00E35002"/>
    <w:rPr>
      <w:rFonts w:ascii="Segoe UI" w:hAnsi="Segoe UI" w:cs="Segoe UI"/>
      <w:sz w:val="18"/>
      <w:szCs w:val="18"/>
    </w:rPr>
  </w:style>
  <w:style w:type="character" w:customStyle="1" w:styleId="BalloonTextChar">
    <w:name w:val="Balloon Text Char"/>
    <w:basedOn w:val="DefaultParagraphFont"/>
    <w:link w:val="BalloonText"/>
    <w:rsid w:val="00E35002"/>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test-achats.be/sante/sante-au-quotidien/produits-testes/news/nanoparticules-affichage" TargetMode="External"/><Relationship Id="rId13" Type="http://schemas.openxmlformats.org/officeDocument/2006/relationships/hyperlink" Target="https://veillenanos.fr/en/dossier/nanos-and-health/nanos-health-risks/" TargetMode="External"/><Relationship Id="rId3" Type="http://schemas.openxmlformats.org/officeDocument/2006/relationships/hyperlink" Target="https://www.quechoisir.org/enquete-nanoparticules-taille-mini-doutes-maxi-n50748/" TargetMode="External"/><Relationship Id="rId7" Type="http://schemas.openxmlformats.org/officeDocument/2006/relationships/hyperlink" Target="https://www.bund.net/fileadmin/user_upload_bund/publikationen/chemie/nanotechnologie_in_lebensmitteln_hintergrund.pdf" TargetMode="External"/><Relationship Id="rId12" Type="http://schemas.openxmlformats.org/officeDocument/2006/relationships/hyperlink" Target="https://www.efsa.europa.eu/sites/default/files/assets/corporatenanotechnology121003.pdf" TargetMode="External"/><Relationship Id="rId17" Type="http://schemas.openxmlformats.org/officeDocument/2006/relationships/hyperlink" Target="https://www.anses.fr/fr/system/files/ERCA2016SA0226Ra.pdf" TargetMode="External"/><Relationship Id="rId2" Type="http://schemas.openxmlformats.org/officeDocument/2006/relationships/hyperlink" Target="https://www.agirpourlenvironnement.org/communiques-presse/enquete-exclusive-des-analyses-revelent-la-presence-de-nanoparticules-dans-3980/" TargetMode="External"/><Relationship Id="rId16" Type="http://schemas.openxmlformats.org/officeDocument/2006/relationships/hyperlink" Target="https://www.anses.fr/fr/system/files/ERCA2016SA0226Ra.pdf" TargetMode="External"/><Relationship Id="rId1" Type="http://schemas.openxmlformats.org/officeDocument/2006/relationships/hyperlink" Target="https://www.anses.fr/fr/nanomateriaux-alimentation-premiere-application-methodologie" TargetMode="External"/><Relationship Id="rId6" Type="http://schemas.openxmlformats.org/officeDocument/2006/relationships/hyperlink" Target="https://www.foodwatch.org/de/potenziell-krebserregender-farbstoff-in-backzutaten-von-dr-oetker" TargetMode="External"/><Relationship Id="rId11" Type="http://schemas.openxmlformats.org/officeDocument/2006/relationships/hyperlink" Target="https://echa.europa.eu/da/-/what-do-eu-citizens-think-about-nanomaterials-" TargetMode="External"/><Relationship Id="rId5" Type="http://schemas.openxmlformats.org/officeDocument/2006/relationships/hyperlink" Target="https://veillenanos.fr/wp-content/uploads/2023/01/Rapport-test-EN-20230113.pdf" TargetMode="External"/><Relationship Id="rId15" Type="http://schemas.openxmlformats.org/officeDocument/2006/relationships/hyperlink" Target="https://www.anses.fr/en/system/files/AP2018SA0168RaEN.pdf" TargetMode="External"/><Relationship Id="rId10" Type="http://schemas.openxmlformats.org/officeDocument/2006/relationships/hyperlink" Target="https://www.ocu.org/toda-la-informacion?type=magazine-articles&amp;magazine=ocu%20compra%20maestra&amp;year=2019" TargetMode="External"/><Relationship Id="rId4" Type="http://schemas.openxmlformats.org/officeDocument/2006/relationships/hyperlink" Target="https://bibliotheque.60millions-mag.com/detail/publication/detail-top-right/561?issue_id=113421&amp;switch_toc=archive" TargetMode="External"/><Relationship Id="rId9" Type="http://schemas.openxmlformats.org/officeDocument/2006/relationships/hyperlink" Target="https://www.altroconsumo.it/alimentazione/sicurezza-alimentare/news/nanoparticelle" TargetMode="External"/><Relationship Id="rId14" Type="http://schemas.openxmlformats.org/officeDocument/2006/relationships/hyperlink" Target="https://www.anses.fr/en/system/files/AP2018SA0168Ra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ECFF61-1422-4C28-960D-6EE679BCD6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1651</Words>
  <Characters>10299</Characters>
  <Application>Microsoft Office Word</Application>
  <DocSecurity>0</DocSecurity>
  <Lines>257</Lines>
  <Paragraphs>137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JENSEN Pia Gunnersen</cp:lastModifiedBy>
  <cp:revision>2</cp:revision>
  <cp:lastPrinted>2004-11-19T15:42:00Z</cp:lastPrinted>
  <dcterms:created xsi:type="dcterms:W3CDTF">2024-06-13T09:55:00Z</dcterms:created>
  <dcterms:modified xsi:type="dcterms:W3CDTF">2024-06-13T09:55:00Z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B9-0225/2024</vt:lpwstr>
  </property>
  <property fmtid="{D5CDD505-2E9C-101B-9397-08002B2CF9AE}" pid="4" name="&lt;Type&gt;">
    <vt:lpwstr>RR</vt:lpwstr>
  </property>
</Properties>
</file>