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C24" w:rsidTr="0010095E">
        <w:trPr>
          <w:trHeight w:hRule="exact" w:val="1418"/>
        </w:trPr>
        <w:tc>
          <w:tcPr>
            <w:tcW w:w="6804" w:type="dxa"/>
            <w:shd w:val="clear" w:color="auto" w:fill="auto"/>
            <w:vAlign w:val="center"/>
          </w:tcPr>
          <w:p w:rsidR="00751A4A" w:rsidRPr="00EE6C24" w:rsidRDefault="007A646E" w:rsidP="0010095E">
            <w:pPr>
              <w:pStyle w:val="EPName"/>
            </w:pPr>
            <w:r w:rsidRPr="00EE6C24">
              <w:t>Euroopa Parlament</w:t>
            </w:r>
          </w:p>
          <w:p w:rsidR="00751A4A" w:rsidRPr="00EE6C24" w:rsidRDefault="00817416" w:rsidP="00756632">
            <w:pPr>
              <w:pStyle w:val="EPTerm"/>
              <w:rPr>
                <w:rStyle w:val="HideTWBExt"/>
                <w:noProof w:val="0"/>
                <w:vanish w:val="0"/>
                <w:color w:val="auto"/>
              </w:rPr>
            </w:pPr>
            <w:r w:rsidRPr="00EE6C24">
              <w:t>2019-2024</w:t>
            </w:r>
          </w:p>
        </w:tc>
        <w:tc>
          <w:tcPr>
            <w:tcW w:w="2268" w:type="dxa"/>
            <w:shd w:val="clear" w:color="auto" w:fill="auto"/>
          </w:tcPr>
          <w:p w:rsidR="00751A4A" w:rsidRPr="00EE6C24" w:rsidRDefault="00187494" w:rsidP="0010095E">
            <w:pPr>
              <w:pStyle w:val="EPLogo"/>
            </w:pPr>
            <w:r w:rsidRPr="00EE6C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6C24" w:rsidRDefault="00D058B8" w:rsidP="004C5D52">
      <w:pPr>
        <w:pStyle w:val="LineTop"/>
      </w:pPr>
    </w:p>
    <w:p w:rsidR="00680577" w:rsidRPr="00EE6C24" w:rsidRDefault="007A646E" w:rsidP="00680577">
      <w:pPr>
        <w:pStyle w:val="EPBodyTA1"/>
      </w:pPr>
      <w:r w:rsidRPr="00EE6C24">
        <w:t>VASTUVÕETUD TEKSTID</w:t>
      </w:r>
    </w:p>
    <w:p w:rsidR="00D058B8" w:rsidRPr="00EE6C24" w:rsidRDefault="00D058B8" w:rsidP="00D058B8">
      <w:pPr>
        <w:pStyle w:val="LineBottom"/>
      </w:pPr>
    </w:p>
    <w:p w:rsidR="007A646E" w:rsidRPr="00EE6C24" w:rsidRDefault="007A646E" w:rsidP="007A646E">
      <w:pPr>
        <w:pStyle w:val="ATHeading1"/>
      </w:pPr>
      <w:bookmarkStart w:id="0" w:name="TANumber"/>
      <w:r w:rsidRPr="00EE6C24">
        <w:t>P9_TA(2024)0</w:t>
      </w:r>
      <w:r w:rsidR="002A6F5D" w:rsidRPr="00EE6C24">
        <w:t>316</w:t>
      </w:r>
      <w:bookmarkEnd w:id="0"/>
    </w:p>
    <w:p w:rsidR="007A646E" w:rsidRPr="00EE6C24" w:rsidRDefault="00FA49F4" w:rsidP="007A646E">
      <w:pPr>
        <w:pStyle w:val="ATHeading2"/>
      </w:pPr>
      <w:r w:rsidRPr="00EE6C24">
        <w:t xml:space="preserve">Vastuväide delegeeritud õigusaktile: </w:t>
      </w:r>
      <w:proofErr w:type="spellStart"/>
      <w:r w:rsidRPr="00EE6C24">
        <w:t>uuendtoit</w:t>
      </w:r>
      <w:proofErr w:type="spellEnd"/>
      <w:r w:rsidRPr="00EE6C24">
        <w:t xml:space="preserve"> – </w:t>
      </w:r>
      <w:proofErr w:type="spellStart"/>
      <w:r w:rsidRPr="00EE6C24">
        <w:t>tehisnanomaterjali</w:t>
      </w:r>
      <w:proofErr w:type="spellEnd"/>
      <w:r w:rsidRPr="00EE6C24">
        <w:t xml:space="preserve"> määratlus</w:t>
      </w:r>
    </w:p>
    <w:p w:rsidR="007A646E" w:rsidRPr="00EE6C24" w:rsidRDefault="007A646E" w:rsidP="007A646E">
      <w:pPr>
        <w:rPr>
          <w:i/>
          <w:vanish/>
        </w:rPr>
      </w:pPr>
      <w:r w:rsidRPr="00EE6C24">
        <w:rPr>
          <w:i/>
        </w:rPr>
        <w:fldChar w:fldCharType="begin"/>
      </w:r>
      <w:r w:rsidRPr="00EE6C24">
        <w:rPr>
          <w:i/>
        </w:rPr>
        <w:instrText xml:space="preserve"> TC"(</w:instrText>
      </w:r>
      <w:bookmarkStart w:id="1" w:name="DocNumber"/>
      <w:r w:rsidRPr="00EE6C24">
        <w:rPr>
          <w:i/>
        </w:rPr>
        <w:instrText>B9-0225/2024</w:instrText>
      </w:r>
      <w:bookmarkEnd w:id="1"/>
      <w:r w:rsidRPr="00EE6C24">
        <w:rPr>
          <w:i/>
        </w:rPr>
        <w:instrText xml:space="preserve">)"\l3 \n&gt; \* MERGEFORMAT </w:instrText>
      </w:r>
      <w:r w:rsidRPr="00EE6C24">
        <w:rPr>
          <w:i/>
        </w:rPr>
        <w:fldChar w:fldCharType="end"/>
      </w:r>
    </w:p>
    <w:p w:rsidR="007A646E" w:rsidRPr="00EE6C24" w:rsidRDefault="007A646E" w:rsidP="007A646E">
      <w:pPr>
        <w:rPr>
          <w:vanish/>
        </w:rPr>
      </w:pPr>
      <w:bookmarkStart w:id="2" w:name="PE"/>
      <w:r w:rsidRPr="00EE6C24">
        <w:rPr>
          <w:vanish/>
        </w:rPr>
        <w:t>PE760.689</w:t>
      </w:r>
      <w:bookmarkEnd w:id="2"/>
    </w:p>
    <w:p w:rsidR="007A646E" w:rsidRPr="00EE6C24" w:rsidRDefault="00FA49F4" w:rsidP="00FA49F4">
      <w:pPr>
        <w:pStyle w:val="ATHeading3"/>
      </w:pPr>
      <w:bookmarkStart w:id="3" w:name="Sujet"/>
      <w:r w:rsidRPr="00EE6C24">
        <w:t>Euroopa Parlamendi 24</w:t>
      </w:r>
      <w:r w:rsidR="007A646E" w:rsidRPr="00EE6C24">
        <w:t>.</w:t>
      </w:r>
      <w:r w:rsidRPr="00EE6C24">
        <w:t> aprilli 2024. </w:t>
      </w:r>
      <w:r w:rsidR="007A646E" w:rsidRPr="00EE6C24">
        <w:t>aasta resolutsioon komisjoni 14. märtsi 2024. aasta delegeeritud määruse kohta, millega muudetakse Euroopa Par</w:t>
      </w:r>
      <w:r w:rsidRPr="00EE6C24">
        <w:t>lamendi ja nõukogu määrust (EL) </w:t>
      </w:r>
      <w:r w:rsidR="007A646E" w:rsidRPr="00EE6C24">
        <w:t xml:space="preserve">2015/2283 (mis käsitleb </w:t>
      </w:r>
      <w:proofErr w:type="spellStart"/>
      <w:r w:rsidR="007A646E" w:rsidRPr="00EE6C24">
        <w:t>uuendtoitu</w:t>
      </w:r>
      <w:proofErr w:type="spellEnd"/>
      <w:r w:rsidR="007A646E" w:rsidRPr="00EE6C24">
        <w:t xml:space="preserve">) </w:t>
      </w:r>
      <w:proofErr w:type="spellStart"/>
      <w:r w:rsidR="007A646E" w:rsidRPr="00EE6C24">
        <w:t>tehisnanomaterjali</w:t>
      </w:r>
      <w:proofErr w:type="spellEnd"/>
      <w:r w:rsidR="007A646E" w:rsidRPr="00EE6C24">
        <w:t xml:space="preserve"> määratluse osas</w:t>
      </w:r>
      <w:bookmarkEnd w:id="3"/>
      <w:r w:rsidR="007A646E" w:rsidRPr="00EE6C24">
        <w:t xml:space="preserve"> </w:t>
      </w:r>
      <w:bookmarkStart w:id="4" w:name="References"/>
      <w:r w:rsidR="007A646E" w:rsidRPr="00EE6C24">
        <w:t>(C(2024)01612 – 2024/2691(DEA))</w:t>
      </w:r>
      <w:bookmarkEnd w:id="4"/>
    </w:p>
    <w:p w:rsidR="00314A26" w:rsidRPr="00EE6C24" w:rsidRDefault="00314A26" w:rsidP="00314A26">
      <w:pPr>
        <w:pStyle w:val="EPComma"/>
      </w:pPr>
      <w:bookmarkStart w:id="5" w:name="TextBodyBegin"/>
      <w:bookmarkEnd w:id="5"/>
      <w:r w:rsidRPr="00EE6C24">
        <w:rPr>
          <w:i/>
        </w:rPr>
        <w:t>Euroopa Parlament</w:t>
      </w:r>
      <w:r w:rsidRPr="00EE6C24">
        <w:t>,</w:t>
      </w:r>
    </w:p>
    <w:p w:rsidR="00314A26" w:rsidRPr="00EE6C24" w:rsidRDefault="00314A26" w:rsidP="00314A26">
      <w:pPr>
        <w:pStyle w:val="NormalHanging12a"/>
      </w:pPr>
      <w:r w:rsidRPr="00EE6C24">
        <w:t>–</w:t>
      </w:r>
      <w:r w:rsidRPr="00EE6C24">
        <w:tab/>
        <w:t>võttes arvesse komisjoni 14. märtsi 2024. aasta delegeeritud määrust, millega muudetakse Euroopa Par</w:t>
      </w:r>
      <w:r w:rsidR="00FA49F4" w:rsidRPr="00EE6C24">
        <w:t>lamendi ja nõukogu määrust (EL) </w:t>
      </w:r>
      <w:r w:rsidRPr="00EE6C24">
        <w:t xml:space="preserve">2015/2283 (mis käsitleb </w:t>
      </w:r>
      <w:proofErr w:type="spellStart"/>
      <w:r w:rsidRPr="00EE6C24">
        <w:t>uuendtoitu</w:t>
      </w:r>
      <w:proofErr w:type="spellEnd"/>
      <w:r w:rsidRPr="00EE6C24">
        <w:t xml:space="preserve">) </w:t>
      </w:r>
      <w:proofErr w:type="spellStart"/>
      <w:r w:rsidRPr="00EE6C24">
        <w:t>tehisnanomaterjali</w:t>
      </w:r>
      <w:proofErr w:type="spellEnd"/>
      <w:r w:rsidRPr="00EE6C24">
        <w:t xml:space="preserve"> määratluse osas (C(2024)01612),</w:t>
      </w:r>
    </w:p>
    <w:p w:rsidR="00314A26" w:rsidRPr="00EE6C24" w:rsidRDefault="00314A26" w:rsidP="00314A26">
      <w:pPr>
        <w:pStyle w:val="NormalHanging12a"/>
      </w:pPr>
      <w:r w:rsidRPr="00EE6C24">
        <w:t>–</w:t>
      </w:r>
      <w:r w:rsidRPr="00EE6C24">
        <w:tab/>
        <w:t>võttes arvesse Euroopa Liidu toimimise lepingu (ELi toimimise leping) artiklit 290,</w:t>
      </w:r>
    </w:p>
    <w:p w:rsidR="00314A26" w:rsidRPr="00EE6C24" w:rsidRDefault="00314A26" w:rsidP="00314A26">
      <w:pPr>
        <w:pStyle w:val="NormalHanging12a"/>
        <w:rPr>
          <w:noProof/>
        </w:rPr>
      </w:pPr>
      <w:r w:rsidRPr="00EE6C24">
        <w:t>–</w:t>
      </w:r>
      <w:r w:rsidRPr="00EE6C24">
        <w:tab/>
        <w:t>võttes arvesse Euroopa Parlamendi ja nõukogu 25. no</w:t>
      </w:r>
      <w:r w:rsidR="00FA49F4" w:rsidRPr="00EE6C24">
        <w:t>vembri 2015. aasta määrust (EL) </w:t>
      </w:r>
      <w:r w:rsidRPr="00EE6C24">
        <w:t xml:space="preserve">2015/2283 (mis käsitleb </w:t>
      </w:r>
      <w:proofErr w:type="spellStart"/>
      <w:r w:rsidRPr="00EE6C24">
        <w:t>uuendtoitu</w:t>
      </w:r>
      <w:proofErr w:type="spellEnd"/>
      <w:r w:rsidRPr="00EE6C24">
        <w:t>, millega muudetakse Euroopa Par</w:t>
      </w:r>
      <w:r w:rsidR="00FA49F4" w:rsidRPr="00EE6C24">
        <w:t>lamendi ja nõukogu määrust (EL) </w:t>
      </w:r>
      <w:r w:rsidRPr="00EE6C24">
        <w:t>nr 1169/2011 ning tunnistatakse kehtetuks Euroopa Pa</w:t>
      </w:r>
      <w:r w:rsidR="00FA49F4" w:rsidRPr="00EE6C24">
        <w:t>rlamendi ja nõukogu määrus (EÜ) </w:t>
      </w:r>
      <w:r w:rsidRPr="00EE6C24">
        <w:t>nr </w:t>
      </w:r>
      <w:r w:rsidR="00FA49F4" w:rsidRPr="00EE6C24">
        <w:t>258/97 ja komisjoni määrus (EÜ) </w:t>
      </w:r>
      <w:r w:rsidRPr="00EE6C24">
        <w:t>nr 1852/2001)</w:t>
      </w:r>
      <w:r w:rsidRPr="00EE6C24">
        <w:rPr>
          <w:rStyle w:val="FootnoteReference"/>
          <w:noProof/>
          <w:color w:val="000000"/>
          <w:szCs w:val="24"/>
        </w:rPr>
        <w:footnoteReference w:id="1"/>
      </w:r>
      <w:r w:rsidRPr="00EE6C24">
        <w:t>, eelkõige selle artiklit 31 ja artikli 32 lõiget 6,</w:t>
      </w:r>
    </w:p>
    <w:p w:rsidR="00314A26" w:rsidRPr="00EE6C24" w:rsidRDefault="00314A26" w:rsidP="00314A26">
      <w:pPr>
        <w:pStyle w:val="NormalHanging12a"/>
      </w:pPr>
      <w:r w:rsidRPr="00EE6C24">
        <w:t>–</w:t>
      </w:r>
      <w:r w:rsidRPr="00EE6C24">
        <w:tab/>
        <w:t>võttes arvesse Euroopa Parlamendi ja nõukogu 25. ok</w:t>
      </w:r>
      <w:r w:rsidR="00FA49F4" w:rsidRPr="00EE6C24">
        <w:t>toobri 2011. aasta määrust (EL) </w:t>
      </w:r>
      <w:r w:rsidRPr="00EE6C24">
        <w:t>nr 1169/2011 (milles käsitletakse toidualase teabe esitamist tarbijatele ning millega muudetakse Euroopa Par</w:t>
      </w:r>
      <w:r w:rsidR="00FA49F4" w:rsidRPr="00EE6C24">
        <w:t>lamendi ja nõukogu määrusi (EÜ) nr 1924/2006 ja (EÜ) </w:t>
      </w:r>
      <w:r w:rsidRPr="00EE6C24">
        <w:t>nr 1925/2006 ning tunnistatakse kehtetuks komisjoni direktiiv 87/250/EMÜ, nõukogu direktiiv 90/496/EMÜ, komisjoni direktiiv 1999/10/EÜ, Euroopa Parlamendi ja nõukogu direktiiv 2000/13/EÜ, komisjoni direktiivid 2002/67/EÜ ja 2008/</w:t>
      </w:r>
      <w:r w:rsidR="00FA49F4" w:rsidRPr="00EE6C24">
        <w:t>5/EÜ ning komisjoni määrus (EÜ) </w:t>
      </w:r>
      <w:r w:rsidRPr="00EE6C24">
        <w:t>nr 608/2004)</w:t>
      </w:r>
      <w:r w:rsidRPr="00EE6C24">
        <w:rPr>
          <w:rStyle w:val="FootnoteReference"/>
          <w:noProof/>
          <w:color w:val="000000"/>
          <w:szCs w:val="24"/>
        </w:rPr>
        <w:footnoteReference w:id="2"/>
      </w:r>
      <w:r w:rsidRPr="00EE6C24">
        <w:t>, eriti selle artikli 18 lõiget 3,</w:t>
      </w:r>
    </w:p>
    <w:p w:rsidR="00314A26" w:rsidRPr="00EE6C24" w:rsidRDefault="00314A26" w:rsidP="00314A26">
      <w:pPr>
        <w:pStyle w:val="NormalHanging12a"/>
      </w:pPr>
      <w:r w:rsidRPr="00EE6C24">
        <w:t>–</w:t>
      </w:r>
      <w:r w:rsidRPr="00EE6C24">
        <w:tab/>
        <w:t>võttes arvesse Euroopa Parlamendi ja nõukogu 16. detsembri 2008.</w:t>
      </w:r>
      <w:r w:rsidR="00FA49F4" w:rsidRPr="00EE6C24">
        <w:t> aasta määrust (EÜ) </w:t>
      </w:r>
      <w:r w:rsidRPr="00EE6C24">
        <w:t>nr 1333/2008 toidu lisaainete kohta</w:t>
      </w:r>
      <w:r w:rsidRPr="00EE6C24">
        <w:rPr>
          <w:rStyle w:val="FootnoteReference"/>
          <w:color w:val="000000"/>
          <w:szCs w:val="24"/>
        </w:rPr>
        <w:footnoteReference w:id="3"/>
      </w:r>
      <w:r w:rsidRPr="00EE6C24">
        <w:t>,</w:t>
      </w:r>
    </w:p>
    <w:p w:rsidR="00314A26" w:rsidRPr="00EE6C24" w:rsidRDefault="00314A26" w:rsidP="00314A26">
      <w:pPr>
        <w:pStyle w:val="NormalHanging12a"/>
      </w:pPr>
      <w:r w:rsidRPr="00EE6C24">
        <w:t>–</w:t>
      </w:r>
      <w:r w:rsidRPr="00EE6C24">
        <w:tab/>
        <w:t>võttes arvesse liidu loetelusid, mis kehtestati komisjoni 11. nove</w:t>
      </w:r>
      <w:r w:rsidR="00FA49F4" w:rsidRPr="00EE6C24">
        <w:t>mbri 2011. aasta määrusega (EL) </w:t>
      </w:r>
      <w:r w:rsidRPr="00EE6C24">
        <w:t>nr 1129/2011, millega muudetakse Euroopa Par</w:t>
      </w:r>
      <w:r w:rsidR="00FA49F4" w:rsidRPr="00EE6C24">
        <w:t>lamendi ja nõukogu määruse (EÜ) </w:t>
      </w:r>
      <w:r w:rsidRPr="00EE6C24">
        <w:t xml:space="preserve">nr 1333/2008 II lisa ja kehtestatakse Euroopa Liidu toidu lisaainete </w:t>
      </w:r>
      <w:r w:rsidRPr="00EE6C24">
        <w:lastRenderedPageBreak/>
        <w:t>loetelu</w:t>
      </w:r>
      <w:r w:rsidRPr="00EE6C24">
        <w:rPr>
          <w:rStyle w:val="FootnoteReference"/>
          <w:color w:val="000000"/>
          <w:szCs w:val="24"/>
        </w:rPr>
        <w:footnoteReference w:id="4"/>
      </w:r>
      <w:r w:rsidRPr="00EE6C24">
        <w:t>, ja komisjoni 11. nove</w:t>
      </w:r>
      <w:r w:rsidR="00FA49F4" w:rsidRPr="00EE6C24">
        <w:t>mbri 2011. aasta määrusega (EL) </w:t>
      </w:r>
      <w:r w:rsidRPr="00EE6C24">
        <w:t>nr 1130/2011, millega muudetakse Euroopa Par</w:t>
      </w:r>
      <w:r w:rsidR="00FA49F4" w:rsidRPr="00EE6C24">
        <w:t>lamendi ja nõukogu määruse (EÜ) </w:t>
      </w:r>
      <w:r w:rsidRPr="00EE6C24">
        <w:t>nr 1333/2008 (toidu lisaainete kohta) III lisa, et kehtestada nende toidu lisaainete liidu loetelu, mida on lubatud kasutada toidu lisaainetes, toiduensüümides ning toidu lõhna- ja maitseainetes</w:t>
      </w:r>
      <w:r w:rsidRPr="00EE6C24">
        <w:rPr>
          <w:rStyle w:val="FootnoteReference"/>
          <w:color w:val="000000"/>
          <w:szCs w:val="24"/>
        </w:rPr>
        <w:footnoteReference w:id="5"/>
      </w:r>
      <w:r w:rsidRPr="00EE6C24">
        <w:t>,</w:t>
      </w:r>
    </w:p>
    <w:p w:rsidR="00314A26" w:rsidRPr="00EE6C24" w:rsidRDefault="00314A26" w:rsidP="00314A26">
      <w:pPr>
        <w:pStyle w:val="NormalHanging12a"/>
      </w:pPr>
      <w:r w:rsidRPr="00EE6C24">
        <w:t>–</w:t>
      </w:r>
      <w:r w:rsidRPr="00EE6C24">
        <w:tab/>
        <w:t>võttes arvesse komisjoni 25. </w:t>
      </w:r>
      <w:r w:rsidR="00FA49F4" w:rsidRPr="00EE6C24">
        <w:t>märtsi 2010. aasta määrust (EL) </w:t>
      </w:r>
      <w:r w:rsidRPr="00EE6C24">
        <w:t>nr 257/2010 (millega kehtestatakse toidus lubatud lisaainete uue hindamise kava kooskõlas Euroopa Parla</w:t>
      </w:r>
      <w:r w:rsidR="00FA49F4" w:rsidRPr="00EE6C24">
        <w:t>mendi ja nõukogu määrusega (EÜ) </w:t>
      </w:r>
      <w:r w:rsidRPr="00EE6C24">
        <w:t>nr 1333/2008 toidu lisaainete kohta)</w:t>
      </w:r>
      <w:r w:rsidRPr="00EE6C24">
        <w:rPr>
          <w:rStyle w:val="FootnoteReference"/>
          <w:color w:val="000000"/>
          <w:szCs w:val="24"/>
        </w:rPr>
        <w:footnoteReference w:id="6"/>
      </w:r>
      <w:r w:rsidRPr="00EE6C24">
        <w:t>,</w:t>
      </w:r>
    </w:p>
    <w:p w:rsidR="00314A26" w:rsidRPr="00EE6C24" w:rsidRDefault="00314A26" w:rsidP="00314A26">
      <w:pPr>
        <w:pStyle w:val="NormalHanging12a"/>
      </w:pPr>
      <w:r w:rsidRPr="00EE6C24">
        <w:t>–</w:t>
      </w:r>
      <w:r w:rsidRPr="00EE6C24">
        <w:tab/>
        <w:t>võttes arves</w:t>
      </w:r>
      <w:r w:rsidR="00FA49F4" w:rsidRPr="00EE6C24">
        <w:t>se kodukorra artikli 111 lõiget </w:t>
      </w:r>
      <w:r w:rsidRPr="00EE6C24">
        <w:t>3,</w:t>
      </w:r>
    </w:p>
    <w:p w:rsidR="00314A26" w:rsidRPr="00EE6C24" w:rsidRDefault="00314A26" w:rsidP="00314A26">
      <w:pPr>
        <w:pStyle w:val="NormalHanging12a"/>
      </w:pPr>
      <w:r w:rsidRPr="00EE6C24">
        <w:t>–</w:t>
      </w:r>
      <w:r w:rsidRPr="00EE6C24">
        <w:tab/>
        <w:t>võttes arvesse keskkonna-, rahvatervise ja toiduohutuse komisjoni resolutsiooni ettepanekut,</w:t>
      </w:r>
    </w:p>
    <w:p w:rsidR="00314A26" w:rsidRPr="00EE6C24" w:rsidRDefault="00314A26" w:rsidP="00314A26">
      <w:pPr>
        <w:pStyle w:val="NormalHanging12a"/>
      </w:pPr>
      <w:r w:rsidRPr="00EE6C24">
        <w:t>A.</w:t>
      </w:r>
      <w:r w:rsidRPr="00EE6C24">
        <w:tab/>
        <w:t>a</w:t>
      </w:r>
      <w:r w:rsidR="00FA49F4" w:rsidRPr="00EE6C24">
        <w:t>rvestades, et määruse (EL) </w:t>
      </w:r>
      <w:r w:rsidRPr="00EE6C24">
        <w:t xml:space="preserve">nr 1169/2011 artikli 18 lõikes 3 on sätestatud, et tarbija teavitamise tagamiseks tuleb kõik </w:t>
      </w:r>
      <w:proofErr w:type="spellStart"/>
      <w:r w:rsidRPr="00EE6C24">
        <w:t>tehisnanomaterjali</w:t>
      </w:r>
      <w:proofErr w:type="spellEnd"/>
      <w:r w:rsidRPr="00EE6C24">
        <w:t xml:space="preserve"> kujul esinevad toidu koostisosad märkida selgelt toidu koostisosade loetelus; arvestades, et sellele vastaval</w:t>
      </w:r>
      <w:r w:rsidR="00FA49F4" w:rsidRPr="00EE6C24">
        <w:t>t määratletakse määruses (EL) </w:t>
      </w:r>
      <w:r w:rsidRPr="00EE6C24">
        <w:t>nr 1169/2011 „</w:t>
      </w:r>
      <w:proofErr w:type="spellStart"/>
      <w:r w:rsidRPr="00EE6C24">
        <w:t>tehisnanomaterjal</w:t>
      </w:r>
      <w:proofErr w:type="spellEnd"/>
      <w:r w:rsidRPr="00EE6C24">
        <w:t xml:space="preserve">“, nagu </w:t>
      </w:r>
      <w:r w:rsidR="00FA49F4" w:rsidRPr="00EE6C24">
        <w:t>see on määratletud määruse (EL) </w:t>
      </w:r>
      <w:r w:rsidRPr="00EE6C24">
        <w:t>2015/2283 artikli 3 lõike 2 punktis f;</w:t>
      </w:r>
    </w:p>
    <w:p w:rsidR="00314A26" w:rsidRPr="00EE6C24" w:rsidRDefault="00FA49F4" w:rsidP="00314A26">
      <w:pPr>
        <w:pStyle w:val="NormalHanging12a"/>
      </w:pPr>
      <w:r w:rsidRPr="00EE6C24">
        <w:t>B.</w:t>
      </w:r>
      <w:r w:rsidRPr="00EE6C24">
        <w:tab/>
        <w:t>arvestades, et määruse (EL) </w:t>
      </w:r>
      <w:r w:rsidR="00314A26" w:rsidRPr="00EE6C24">
        <w:t xml:space="preserve">2015/2283 artikliga 31 antakse komisjonile kõnealuse määruse eesmärkide saavutamiseks õigus muuta delegeeritud õigusaktidega selles määruses osutatud </w:t>
      </w:r>
      <w:proofErr w:type="spellStart"/>
      <w:r w:rsidR="00314A26" w:rsidRPr="00EE6C24">
        <w:t>tehisnanomaterjali</w:t>
      </w:r>
      <w:proofErr w:type="spellEnd"/>
      <w:r w:rsidR="00314A26" w:rsidRPr="00EE6C24">
        <w:t xml:space="preserve"> määratlust, et kohandada seda tehnika ja teaduse arenguga või rahvusvaheliselt kokkulepitud määratlustega;</w:t>
      </w:r>
    </w:p>
    <w:p w:rsidR="00314A26" w:rsidRPr="00EE6C24" w:rsidRDefault="00314A26" w:rsidP="00314A26">
      <w:pPr>
        <w:pStyle w:val="NormalHanging12a"/>
      </w:pPr>
      <w:r w:rsidRPr="00EE6C24">
        <w:t>C.</w:t>
      </w:r>
      <w:r w:rsidRPr="00EE6C24">
        <w:tab/>
        <w:t>arvestades, et täielikes liidu loeteludes, mis kehtestati määr</w:t>
      </w:r>
      <w:r w:rsidR="00FA49F4" w:rsidRPr="00EE6C24">
        <w:t>ustega (EL) nr 1129/2011 ja (EL) </w:t>
      </w:r>
      <w:r w:rsidRPr="00EE6C24">
        <w:t>nr 1130/2011, sätestati toidu lisaained, mida oli lub</w:t>
      </w:r>
      <w:r w:rsidR="00FA49F4" w:rsidRPr="00EE6C24">
        <w:t>atud kasutada enne määruse (EÜ) </w:t>
      </w:r>
      <w:r w:rsidRPr="00EE6C24">
        <w:t>nr 1333/2008 jõustumist pärast seda, kui on kontrollitud nende ainete vastavust viimati nimetatud määruse sätetele;</w:t>
      </w:r>
    </w:p>
    <w:p w:rsidR="00314A26" w:rsidRPr="00EE6C24" w:rsidRDefault="00314A26" w:rsidP="00314A26">
      <w:pPr>
        <w:pStyle w:val="NormalHanging12a"/>
        <w:rPr>
          <w:i/>
        </w:rPr>
      </w:pPr>
      <w:r w:rsidRPr="00EE6C24">
        <w:rPr>
          <w:i/>
        </w:rPr>
        <w:t>Määratluse tagajärjed</w:t>
      </w:r>
    </w:p>
    <w:p w:rsidR="00314A26" w:rsidRPr="00EE6C24" w:rsidRDefault="00314A26" w:rsidP="00314A26">
      <w:pPr>
        <w:pStyle w:val="NormalHanging12a"/>
      </w:pPr>
      <w:r w:rsidRPr="00EE6C24">
        <w:t>D.</w:t>
      </w:r>
      <w:r w:rsidRPr="00EE6C24">
        <w:tab/>
        <w:t>arvestades, et komisjoni delegeeritud määruse „</w:t>
      </w:r>
      <w:proofErr w:type="spellStart"/>
      <w:r w:rsidRPr="00EE6C24">
        <w:t>tehisnanomaterjali</w:t>
      </w:r>
      <w:proofErr w:type="spellEnd"/>
      <w:r w:rsidRPr="00EE6C24">
        <w:t>“ määratlusega määratakse kindlaks, kas toit tuleb märgistada koostisosade loetelus kui „[</w:t>
      </w:r>
      <w:proofErr w:type="spellStart"/>
      <w:r w:rsidRPr="00EE6C24">
        <w:t>nan</w:t>
      </w:r>
      <w:r w:rsidR="00FA49F4" w:rsidRPr="00EE6C24">
        <w:t>o</w:t>
      </w:r>
      <w:proofErr w:type="spellEnd"/>
      <w:r w:rsidR="00FA49F4" w:rsidRPr="00EE6C24">
        <w:t>]“, nagu osutatud määruse (EL) </w:t>
      </w:r>
      <w:r w:rsidRPr="00EE6C24">
        <w:t>nr 1169/2011 artikli 18 lõikes 3;</w:t>
      </w:r>
    </w:p>
    <w:p w:rsidR="00314A26" w:rsidRPr="00EE6C24" w:rsidRDefault="00314A26" w:rsidP="00314A26">
      <w:pPr>
        <w:pStyle w:val="NormalHanging12a"/>
      </w:pPr>
      <w:r w:rsidRPr="00EE6C24">
        <w:t>E.</w:t>
      </w:r>
      <w:r w:rsidRPr="00EE6C24">
        <w:tab/>
        <w:t xml:space="preserve">arvestades, et komisjoni delegeeritud määruse eesmärk on lahendada praegusest määratlusest tulenevaid tõlgendamisprobleeme, lisades objektiivsed elemendid, et teha kindlaks, kas </w:t>
      </w:r>
      <w:proofErr w:type="spellStart"/>
      <w:r w:rsidRPr="00EE6C24">
        <w:t>nanomaterjal</w:t>
      </w:r>
      <w:proofErr w:type="spellEnd"/>
      <w:r w:rsidRPr="00EE6C24">
        <w:t xml:space="preserve"> on „tehis“ või mitte, näiteks asendades mõiste „tahtlikult toodetud [materjal]“ mõistega „toodetud“;</w:t>
      </w:r>
    </w:p>
    <w:p w:rsidR="00314A26" w:rsidRPr="00EE6C24" w:rsidRDefault="00314A26" w:rsidP="00314A26">
      <w:pPr>
        <w:pStyle w:val="NormalHanging12a"/>
      </w:pPr>
      <w:r w:rsidRPr="00EE6C24">
        <w:t>F.</w:t>
      </w:r>
      <w:r w:rsidRPr="00EE6C24">
        <w:tab/>
        <w:t xml:space="preserve">arvestades, et komisjoni delegeeritud määrusega välistatakse muus kui tahkes olekus osakeste, nagu </w:t>
      </w:r>
      <w:proofErr w:type="spellStart"/>
      <w:r w:rsidRPr="00EE6C24">
        <w:t>mitsellid</w:t>
      </w:r>
      <w:proofErr w:type="spellEnd"/>
      <w:r w:rsidRPr="00EE6C24">
        <w:t xml:space="preserve">, </w:t>
      </w:r>
      <w:proofErr w:type="spellStart"/>
      <w:r w:rsidRPr="00EE6C24">
        <w:t>liposoomid</w:t>
      </w:r>
      <w:proofErr w:type="spellEnd"/>
      <w:r w:rsidRPr="00EE6C24">
        <w:t xml:space="preserve"> või </w:t>
      </w:r>
      <w:proofErr w:type="spellStart"/>
      <w:r w:rsidRPr="00EE6C24">
        <w:t>nanoskaalas</w:t>
      </w:r>
      <w:proofErr w:type="spellEnd"/>
      <w:r w:rsidRPr="00EE6C24">
        <w:t xml:space="preserve"> piisad emulsioonides, ning selliste koostisosade, mis sisaldavad vähem kui 50 % alla 100 </w:t>
      </w:r>
      <w:proofErr w:type="spellStart"/>
      <w:r w:rsidRPr="00EE6C24">
        <w:t>nm</w:t>
      </w:r>
      <w:proofErr w:type="spellEnd"/>
      <w:r w:rsidRPr="00EE6C24">
        <w:t xml:space="preserve"> suurusega osakesi, käsitlemine toidus </w:t>
      </w:r>
      <w:proofErr w:type="spellStart"/>
      <w:r w:rsidRPr="00EE6C24">
        <w:t>nanomaterjalidena</w:t>
      </w:r>
      <w:proofErr w:type="spellEnd"/>
      <w:r w:rsidRPr="00EE6C24">
        <w:t>;</w:t>
      </w:r>
    </w:p>
    <w:p w:rsidR="00314A26" w:rsidRPr="00EE6C24" w:rsidRDefault="00314A26" w:rsidP="00314A26">
      <w:pPr>
        <w:pStyle w:val="NormalHanging12a"/>
      </w:pPr>
      <w:r w:rsidRPr="00EE6C24">
        <w:t>G.</w:t>
      </w:r>
      <w:r w:rsidRPr="00EE6C24">
        <w:tab/>
        <w:t xml:space="preserve">arvestades, et </w:t>
      </w:r>
      <w:proofErr w:type="spellStart"/>
      <w:r w:rsidRPr="00EE6C24">
        <w:t>nanoskaalas</w:t>
      </w:r>
      <w:proofErr w:type="spellEnd"/>
      <w:r w:rsidRPr="00EE6C24">
        <w:t xml:space="preserve"> mõõtmetega osakeste suhtarvu vähemalt 50 % </w:t>
      </w:r>
      <w:proofErr w:type="spellStart"/>
      <w:r w:rsidRPr="00EE6C24">
        <w:t>vaikepiirmäär</w:t>
      </w:r>
      <w:proofErr w:type="spellEnd"/>
      <w:r w:rsidRPr="00EE6C24">
        <w:t xml:space="preserve"> on meelevaldne ja vähem kaitsev, kui mõnede liikmesriikide, näiteks </w:t>
      </w:r>
      <w:r w:rsidR="00FA49F4" w:rsidRPr="00EE6C24">
        <w:t xml:space="preserve">Prantsusmaa </w:t>
      </w:r>
      <w:r w:rsidR="00FA49F4" w:rsidRPr="00EE6C24">
        <w:lastRenderedPageBreak/>
        <w:t>poolne määruse (EL) </w:t>
      </w:r>
      <w:r w:rsidRPr="00EE6C24">
        <w:t>2015/2283 määratluse tõlgendus; arvestades, et määruses ei nähta ette suurusjaotuse piirmäära alla 100 </w:t>
      </w:r>
      <w:proofErr w:type="spellStart"/>
      <w:r w:rsidRPr="00EE6C24">
        <w:t>nm</w:t>
      </w:r>
      <w:proofErr w:type="spellEnd"/>
      <w:r w:rsidRPr="00EE6C24">
        <w:t xml:space="preserve"> osakeste jaoks;</w:t>
      </w:r>
    </w:p>
    <w:p w:rsidR="00314A26" w:rsidRPr="00EE6C24" w:rsidRDefault="00314A26" w:rsidP="00FA49F4">
      <w:pPr>
        <w:spacing w:after="240"/>
        <w:ind w:left="567" w:hanging="567"/>
        <w:rPr>
          <w:szCs w:val="24"/>
        </w:rPr>
      </w:pPr>
      <w:r w:rsidRPr="00EE6C24">
        <w:t>H.</w:t>
      </w:r>
      <w:r w:rsidRPr="00EE6C24">
        <w:tab/>
        <w:t>arvestades, et kavandatud mä</w:t>
      </w:r>
      <w:r w:rsidR="00FA49F4" w:rsidRPr="00EE6C24">
        <w:t>äratlusega jäetaks määruse (EL) </w:t>
      </w:r>
      <w:r w:rsidRPr="00EE6C24">
        <w:t xml:space="preserve">nr 1169/2011 kohaldamisalast potentsiaalselt välja paljud </w:t>
      </w:r>
      <w:proofErr w:type="spellStart"/>
      <w:r w:rsidRPr="00EE6C24">
        <w:t>nanoained</w:t>
      </w:r>
      <w:proofErr w:type="spellEnd"/>
      <w:r w:rsidRPr="00EE6C24">
        <w:t>, mille suhtes ei kohaldataks seega „[</w:t>
      </w:r>
      <w:proofErr w:type="spellStart"/>
      <w:r w:rsidRPr="00EE6C24">
        <w:t>nano</w:t>
      </w:r>
      <w:proofErr w:type="spellEnd"/>
      <w:r w:rsidRPr="00EE6C24">
        <w:t xml:space="preserve">]“ märgistamise kohustust; arvestades, et komisjon märgib seletuskirja punktis 3, et „toidus kasutatavate </w:t>
      </w:r>
      <w:proofErr w:type="spellStart"/>
      <w:r w:rsidRPr="00EE6C24">
        <w:t>nanoosakesi</w:t>
      </w:r>
      <w:proofErr w:type="spellEnd"/>
      <w:r w:rsidRPr="00EE6C24">
        <w:t xml:space="preserve"> sisaldada võivate materjalide arv on piiratud ja enamik neist materjalidest (kui mitte kõik) ei ole uudsed“ ning et „[s]eega puudutab delegeeritud õigusakti võimalik mõju ainult väga piiratud arvu materjale“;</w:t>
      </w:r>
    </w:p>
    <w:p w:rsidR="00314A26" w:rsidRPr="00EE6C24" w:rsidRDefault="00314A26" w:rsidP="00FA49F4">
      <w:pPr>
        <w:spacing w:after="240"/>
        <w:ind w:left="567" w:hanging="567"/>
        <w:rPr>
          <w:color w:val="0D0D0D"/>
          <w:szCs w:val="24"/>
        </w:rPr>
      </w:pPr>
      <w:r w:rsidRPr="00EE6C24">
        <w:t xml:space="preserve">I. </w:t>
      </w:r>
      <w:r w:rsidRPr="00EE6C24">
        <w:tab/>
        <w:t xml:space="preserve">arvestades, et praegu on nimelt toidu lisaained need, mis võivad toidus esineda </w:t>
      </w:r>
      <w:proofErr w:type="spellStart"/>
      <w:r w:rsidRPr="00EE6C24">
        <w:t>nanomaterjalidena</w:t>
      </w:r>
      <w:proofErr w:type="spellEnd"/>
      <w:r w:rsidRPr="00EE6C24">
        <w:t xml:space="preserve">; arvestades, et </w:t>
      </w:r>
      <w:r w:rsidRPr="00EE6C24">
        <w:rPr>
          <w:color w:val="0D0D0D"/>
        </w:rPr>
        <w:t>Prantsusmaa toidu-, keskkonna- ning töötervishoiu- ja tööohutusamet</w:t>
      </w:r>
      <w:r w:rsidR="00FA49F4" w:rsidRPr="00EE6C24">
        <w:t xml:space="preserve"> (ANSES) on loetlenud 37 </w:t>
      </w:r>
      <w:proofErr w:type="spellStart"/>
      <w:r w:rsidRPr="00EE6C24">
        <w:t>nanoainet</w:t>
      </w:r>
      <w:proofErr w:type="spellEnd"/>
      <w:r w:rsidRPr="00EE6C24">
        <w:t>, mida kasutatakse rohkem kui 900 toiduaines</w:t>
      </w:r>
      <w:r w:rsidRPr="00EE6C24">
        <w:rPr>
          <w:rStyle w:val="FootnoteReference"/>
          <w:szCs w:val="24"/>
        </w:rPr>
        <w:footnoteReference w:id="7"/>
      </w:r>
      <w:r w:rsidRPr="00EE6C24">
        <w:t>;</w:t>
      </w:r>
      <w:r w:rsidRPr="00EE6C24">
        <w:rPr>
          <w:color w:val="0D0D0D"/>
        </w:rPr>
        <w:t xml:space="preserve"> arvestades, et tarbijaorganisatsioonide ja valitsusväliste organisatsioonide (</w:t>
      </w:r>
      <w:proofErr w:type="spellStart"/>
      <w:r w:rsidRPr="00EE6C24">
        <w:rPr>
          <w:color w:val="0D0D0D"/>
        </w:rPr>
        <w:t>Agir</w:t>
      </w:r>
      <w:proofErr w:type="spellEnd"/>
      <w:r w:rsidRPr="00EE6C24">
        <w:rPr>
          <w:color w:val="0D0D0D"/>
        </w:rPr>
        <w:t xml:space="preserve"> </w:t>
      </w:r>
      <w:proofErr w:type="spellStart"/>
      <w:r w:rsidRPr="00EE6C24">
        <w:rPr>
          <w:color w:val="0D0D0D"/>
        </w:rPr>
        <w:t>pour</w:t>
      </w:r>
      <w:proofErr w:type="spellEnd"/>
      <w:r w:rsidRPr="00EE6C24">
        <w:rPr>
          <w:color w:val="0D0D0D"/>
        </w:rPr>
        <w:t xml:space="preserve"> </w:t>
      </w:r>
      <w:proofErr w:type="spellStart"/>
      <w:r w:rsidRPr="00EE6C24">
        <w:rPr>
          <w:color w:val="0D0D0D"/>
        </w:rPr>
        <w:t>l’Environnement</w:t>
      </w:r>
      <w:proofErr w:type="spellEnd"/>
      <w:r w:rsidRPr="00EE6C24">
        <w:rPr>
          <w:rStyle w:val="FootnoteReference"/>
          <w:color w:val="0D0D0D"/>
          <w:szCs w:val="24"/>
        </w:rPr>
        <w:footnoteReference w:id="8"/>
      </w:r>
      <w:r w:rsidRPr="00EE6C24">
        <w:rPr>
          <w:color w:val="0D0D0D"/>
        </w:rPr>
        <w:t xml:space="preserve">, </w:t>
      </w:r>
      <w:proofErr w:type="spellStart"/>
      <w:r w:rsidRPr="00EE6C24">
        <w:rPr>
          <w:color w:val="0D0D0D"/>
        </w:rPr>
        <w:t>Que</w:t>
      </w:r>
      <w:proofErr w:type="spellEnd"/>
      <w:r w:rsidRPr="00EE6C24">
        <w:rPr>
          <w:color w:val="0D0D0D"/>
        </w:rPr>
        <w:t xml:space="preserve"> </w:t>
      </w:r>
      <w:proofErr w:type="spellStart"/>
      <w:r w:rsidRPr="00EE6C24">
        <w:rPr>
          <w:color w:val="0D0D0D"/>
        </w:rPr>
        <w:t>Choisir</w:t>
      </w:r>
      <w:proofErr w:type="spellEnd"/>
      <w:r w:rsidRPr="00EE6C24">
        <w:rPr>
          <w:rStyle w:val="FootnoteReference"/>
          <w:color w:val="0D0D0D"/>
          <w:szCs w:val="24"/>
        </w:rPr>
        <w:footnoteReference w:id="9"/>
      </w:r>
      <w:r w:rsidRPr="00EE6C24">
        <w:rPr>
          <w:color w:val="0D0D0D"/>
        </w:rPr>
        <w:t>, 60 </w:t>
      </w:r>
      <w:proofErr w:type="spellStart"/>
      <w:r w:rsidRPr="00EE6C24">
        <w:rPr>
          <w:color w:val="0D0D0D"/>
        </w:rPr>
        <w:t>Millions</w:t>
      </w:r>
      <w:proofErr w:type="spellEnd"/>
      <w:r w:rsidRPr="00EE6C24">
        <w:rPr>
          <w:color w:val="0D0D0D"/>
        </w:rPr>
        <w:t xml:space="preserve"> de </w:t>
      </w:r>
      <w:proofErr w:type="spellStart"/>
      <w:r w:rsidRPr="00EE6C24">
        <w:rPr>
          <w:color w:val="0D0D0D"/>
        </w:rPr>
        <w:t>consommateurs</w:t>
      </w:r>
      <w:proofErr w:type="spellEnd"/>
      <w:r w:rsidRPr="00EE6C24">
        <w:rPr>
          <w:rStyle w:val="FootnoteReference"/>
          <w:color w:val="0D0D0D"/>
          <w:szCs w:val="24"/>
        </w:rPr>
        <w:footnoteReference w:id="10"/>
      </w:r>
      <w:r w:rsidRPr="00EE6C24">
        <w:rPr>
          <w:color w:val="0D0D0D"/>
        </w:rPr>
        <w:t>, AVICENN</w:t>
      </w:r>
      <w:r w:rsidRPr="00EE6C24">
        <w:rPr>
          <w:rStyle w:val="FootnoteReference"/>
          <w:color w:val="0D0D0D"/>
          <w:szCs w:val="24"/>
        </w:rPr>
        <w:footnoteReference w:id="11"/>
      </w:r>
      <w:r w:rsidRPr="00EE6C24">
        <w:rPr>
          <w:color w:val="0D0D0D"/>
        </w:rPr>
        <w:t xml:space="preserve"> Prantsusmaal, </w:t>
      </w:r>
      <w:proofErr w:type="spellStart"/>
      <w:r w:rsidRPr="00EE6C24">
        <w:rPr>
          <w:color w:val="0D0D0D"/>
        </w:rPr>
        <w:t>Foodwatch</w:t>
      </w:r>
      <w:proofErr w:type="spellEnd"/>
      <w:r w:rsidRPr="00EE6C24">
        <w:rPr>
          <w:rStyle w:val="FootnoteReference"/>
          <w:color w:val="0D0D0D"/>
          <w:szCs w:val="24"/>
        </w:rPr>
        <w:footnoteReference w:id="12"/>
      </w:r>
      <w:r w:rsidRPr="00EE6C24">
        <w:rPr>
          <w:color w:val="0D0D0D"/>
        </w:rPr>
        <w:t xml:space="preserve"> ja </w:t>
      </w:r>
      <w:proofErr w:type="spellStart"/>
      <w:r w:rsidRPr="00EE6C24">
        <w:rPr>
          <w:color w:val="0D0D0D"/>
        </w:rPr>
        <w:t>Bund</w:t>
      </w:r>
      <w:proofErr w:type="spellEnd"/>
      <w:r w:rsidRPr="00EE6C24">
        <w:rPr>
          <w:rStyle w:val="FootnoteReference"/>
          <w:color w:val="0D0D0D"/>
          <w:szCs w:val="24"/>
        </w:rPr>
        <w:footnoteReference w:id="13"/>
      </w:r>
      <w:r w:rsidRPr="00EE6C24">
        <w:rPr>
          <w:color w:val="0D0D0D"/>
        </w:rPr>
        <w:t xml:space="preserve"> Saksamaal, </w:t>
      </w:r>
      <w:proofErr w:type="spellStart"/>
      <w:r w:rsidRPr="00EE6C24">
        <w:rPr>
          <w:color w:val="0D0D0D"/>
        </w:rPr>
        <w:t>Testachats</w:t>
      </w:r>
      <w:proofErr w:type="spellEnd"/>
      <w:r w:rsidRPr="00EE6C24">
        <w:rPr>
          <w:rStyle w:val="FootnoteReference"/>
          <w:color w:val="0D0D0D"/>
          <w:szCs w:val="24"/>
        </w:rPr>
        <w:footnoteReference w:id="14"/>
      </w:r>
      <w:r w:rsidRPr="00EE6C24">
        <w:rPr>
          <w:color w:val="0D0D0D"/>
        </w:rPr>
        <w:t xml:space="preserve"> Belgias ning </w:t>
      </w:r>
      <w:proofErr w:type="spellStart"/>
      <w:r w:rsidRPr="00EE6C24">
        <w:rPr>
          <w:color w:val="0D0D0D"/>
        </w:rPr>
        <w:t>Altroconsumo</w:t>
      </w:r>
      <w:proofErr w:type="spellEnd"/>
      <w:r w:rsidRPr="00EE6C24">
        <w:rPr>
          <w:rStyle w:val="FootnoteReference"/>
          <w:color w:val="0D0D0D"/>
          <w:szCs w:val="24"/>
        </w:rPr>
        <w:footnoteReference w:id="15"/>
      </w:r>
      <w:r w:rsidRPr="00EE6C24">
        <w:rPr>
          <w:color w:val="0D0D0D"/>
        </w:rPr>
        <w:t xml:space="preserve"> Itaalias ja OCU</w:t>
      </w:r>
      <w:r w:rsidRPr="00EE6C24">
        <w:rPr>
          <w:rStyle w:val="FootnoteReference"/>
          <w:color w:val="0D0D0D"/>
          <w:szCs w:val="24"/>
        </w:rPr>
        <w:footnoteReference w:id="16"/>
      </w:r>
      <w:r w:rsidRPr="00EE6C24">
        <w:rPr>
          <w:color w:val="0D0D0D"/>
        </w:rPr>
        <w:t xml:space="preserve"> Hispaanias) tehtud katsed on korduvalt näidanud, et esineb toidu lisaaineid, mis sisaldavad märkimisväärsel määral </w:t>
      </w:r>
      <w:proofErr w:type="spellStart"/>
      <w:r w:rsidRPr="00EE6C24">
        <w:rPr>
          <w:color w:val="0D0D0D"/>
        </w:rPr>
        <w:t>nanoosakesi</w:t>
      </w:r>
      <w:proofErr w:type="spellEnd"/>
      <w:r w:rsidRPr="00EE6C24">
        <w:rPr>
          <w:color w:val="0D0D0D"/>
        </w:rPr>
        <w:t xml:space="preserve">, näiteks piimatoodetes, pagaritoodetes ja mõnedes hommikuhelvestes kasutatav toiduvärv raudoksiid (E172) võib sisaldada </w:t>
      </w:r>
      <w:proofErr w:type="spellStart"/>
      <w:r w:rsidRPr="00EE6C24">
        <w:rPr>
          <w:color w:val="0D0D0D"/>
        </w:rPr>
        <w:t>nanoosakesi</w:t>
      </w:r>
      <w:proofErr w:type="spellEnd"/>
      <w:r w:rsidRPr="00EE6C24">
        <w:rPr>
          <w:color w:val="0D0D0D"/>
        </w:rPr>
        <w:t xml:space="preserve"> alla 50 % piirmäära</w:t>
      </w:r>
      <w:r w:rsidRPr="00EE6C24">
        <w:rPr>
          <w:color w:val="000000"/>
        </w:rPr>
        <w:t xml:space="preserve">; </w:t>
      </w:r>
      <w:r w:rsidRPr="00EE6C24">
        <w:rPr>
          <w:color w:val="0D0D0D"/>
        </w:rPr>
        <w:t>arvestades, et see näitab, et teatavate toidu koostisosade kui „[</w:t>
      </w:r>
      <w:proofErr w:type="spellStart"/>
      <w:r w:rsidRPr="00EE6C24">
        <w:rPr>
          <w:color w:val="0D0D0D"/>
        </w:rPr>
        <w:t>nano</w:t>
      </w:r>
      <w:proofErr w:type="spellEnd"/>
      <w:r w:rsidRPr="00EE6C24">
        <w:rPr>
          <w:color w:val="0D0D0D"/>
        </w:rPr>
        <w:t>]“ märgistuse puudumine on peamiselt tingitud kehtivate õigusaktide puudulikust täitmise tagamisest ja palju vähem tõlgendamisprobleemidest;</w:t>
      </w:r>
    </w:p>
    <w:p w:rsidR="00314A26" w:rsidRPr="00EE6C24" w:rsidRDefault="00314A26" w:rsidP="00FA49F4">
      <w:pPr>
        <w:spacing w:after="240"/>
        <w:ind w:left="567" w:hanging="567"/>
        <w:rPr>
          <w:color w:val="0D0D0D"/>
          <w:szCs w:val="24"/>
        </w:rPr>
      </w:pPr>
      <w:r w:rsidRPr="00EE6C24">
        <w:rPr>
          <w:color w:val="0D0D0D"/>
        </w:rPr>
        <w:t>J.</w:t>
      </w:r>
      <w:r w:rsidRPr="00EE6C24">
        <w:rPr>
          <w:color w:val="0D0D0D"/>
        </w:rPr>
        <w:tab/>
        <w:t xml:space="preserve">arvestades, et Euroopa Kemikaaliameti tellitud 2020. aasta uuring näitas, et kodanikud nõuavad </w:t>
      </w:r>
      <w:proofErr w:type="spellStart"/>
      <w:r w:rsidRPr="00EE6C24">
        <w:rPr>
          <w:color w:val="0D0D0D"/>
        </w:rPr>
        <w:t>nanomaterjale</w:t>
      </w:r>
      <w:proofErr w:type="spellEnd"/>
      <w:r w:rsidRPr="00EE6C24">
        <w:rPr>
          <w:color w:val="0D0D0D"/>
        </w:rPr>
        <w:t xml:space="preserve"> sisaldavate igapäevatoodete paremat märgistamist</w:t>
      </w:r>
      <w:r w:rsidRPr="00EE6C24">
        <w:rPr>
          <w:rStyle w:val="FootnoteReference"/>
          <w:color w:val="0D0D0D"/>
          <w:szCs w:val="24"/>
        </w:rPr>
        <w:footnoteReference w:id="17"/>
      </w:r>
      <w:r w:rsidRPr="00EE6C24">
        <w:rPr>
          <w:color w:val="0D0D0D"/>
        </w:rPr>
        <w:t>;</w:t>
      </w:r>
    </w:p>
    <w:p w:rsidR="00314A26" w:rsidRPr="00EE6C24" w:rsidRDefault="00314A26" w:rsidP="00FA49F4">
      <w:pPr>
        <w:spacing w:after="240"/>
        <w:rPr>
          <w:i/>
          <w:szCs w:val="24"/>
        </w:rPr>
      </w:pPr>
      <w:r w:rsidRPr="00EE6C24">
        <w:rPr>
          <w:i/>
        </w:rPr>
        <w:t>Vastuolud soovituste ja uute teaduslike edusammudega</w:t>
      </w:r>
    </w:p>
    <w:p w:rsidR="00314A26" w:rsidRPr="00EE6C24" w:rsidRDefault="00314A26" w:rsidP="00FA49F4">
      <w:pPr>
        <w:spacing w:after="240"/>
        <w:ind w:left="567" w:hanging="567"/>
        <w:rPr>
          <w:szCs w:val="24"/>
        </w:rPr>
      </w:pPr>
      <w:r w:rsidRPr="00EE6C24">
        <w:t xml:space="preserve">K. </w:t>
      </w:r>
      <w:r w:rsidRPr="00EE6C24">
        <w:tab/>
        <w:t>arvestades, et oma 12. märtsi 2014. aasta resolutsioonis komisjoni 12. detsembri 2013. aasta delegeeritud määruse kohta, millega muudetakse Euroopa Par</w:t>
      </w:r>
      <w:r w:rsidR="00FA49F4" w:rsidRPr="00EE6C24">
        <w:t>lamendi ja nõukogu määrust (EL) </w:t>
      </w:r>
      <w:r w:rsidRPr="00EE6C24">
        <w:t xml:space="preserve">nr 1169/2011 (milles käsitletakse toidualase teabe esitamist tarbijatele) seoses </w:t>
      </w:r>
      <w:proofErr w:type="spellStart"/>
      <w:r w:rsidRPr="00EE6C24">
        <w:t>tehisnanomaterjali</w:t>
      </w:r>
      <w:proofErr w:type="spellEnd"/>
      <w:r w:rsidRPr="00EE6C24">
        <w:t xml:space="preserve"> määratlusega</w:t>
      </w:r>
      <w:r w:rsidRPr="00EE6C24">
        <w:rPr>
          <w:rStyle w:val="FootnoteReference"/>
          <w:szCs w:val="24"/>
        </w:rPr>
        <w:footnoteReference w:id="18"/>
      </w:r>
      <w:r w:rsidRPr="00EE6C24">
        <w:t xml:space="preserve">, esitas Euroopa Parlament </w:t>
      </w:r>
      <w:r w:rsidRPr="00EE6C24">
        <w:lastRenderedPageBreak/>
        <w:t>vastuväiteid samasuguse 50 % piirmääraga väga sarnasele määratlusele, millega jäeti välja kõik toidu lisaained, väites et määratlus „on vastuolus direktiivi põhieesmärgiga tagada jätkuvalt kodanike tervise ja huvide kaitse kõrge tase, andes kodanikele aluse teadliku otsuse tegemiseks“; arvestades, et Euroopa Parlament palus komisjonil esitada uue delegeeritud õigusakti, milles võetakse arvesse parlamendi seisukohta;</w:t>
      </w:r>
    </w:p>
    <w:p w:rsidR="00314A26" w:rsidRPr="00EE6C24" w:rsidRDefault="00314A26" w:rsidP="00FA49F4">
      <w:pPr>
        <w:spacing w:after="240"/>
        <w:ind w:left="567" w:hanging="567"/>
        <w:rPr>
          <w:szCs w:val="24"/>
        </w:rPr>
      </w:pPr>
      <w:r w:rsidRPr="00EE6C24">
        <w:t xml:space="preserve">L. </w:t>
      </w:r>
      <w:r w:rsidRPr="00EE6C24">
        <w:tab/>
        <w:t xml:space="preserve">arvestades, et oma 8. oktoobri 2020. aasta resolutsioonis komisjoni määruse eelnõu kohta, </w:t>
      </w:r>
      <w:r w:rsidR="00FA49F4" w:rsidRPr="00EE6C24">
        <w:t>millega muudetakse määruse (EL) </w:t>
      </w:r>
      <w:r w:rsidRPr="00EE6C24">
        <w:t>nr 231/2012 (millega kehtestatakse Euroopa Par</w:t>
      </w:r>
      <w:r w:rsidR="00FA49F4" w:rsidRPr="00EE6C24">
        <w:t>lamendi ja nõukogu määruse (EÜ) </w:t>
      </w:r>
      <w:r w:rsidRPr="00EE6C24">
        <w:t>nr 1333/2008 II ja III lisas loetletud toidu lisaainete spetsifikatsioonid) lisa seoses titaandioksiidi (E 171) spetsifikatsioonidega</w:t>
      </w:r>
      <w:r w:rsidRPr="00EE6C24">
        <w:rPr>
          <w:rStyle w:val="FootnoteReference"/>
          <w:szCs w:val="24"/>
        </w:rPr>
        <w:footnoteReference w:id="19"/>
      </w:r>
      <w:r w:rsidRPr="00EE6C24">
        <w:t>, esitas Euroopa Parlament vastuväiteid komisjoni määruse eelnõule, millega antakse luba toidus kasutamiseks ettenähtud titaandioksiidi (E 171) partiidele, mis sisaldavad vähem kui 50 % alla 100 </w:t>
      </w:r>
      <w:proofErr w:type="spellStart"/>
      <w:r w:rsidRPr="00EE6C24">
        <w:t>nm</w:t>
      </w:r>
      <w:proofErr w:type="spellEnd"/>
      <w:r w:rsidRPr="00EE6C24">
        <w:t xml:space="preserve"> suurusega osakesi;</w:t>
      </w:r>
    </w:p>
    <w:p w:rsidR="00314A26" w:rsidRPr="00EE6C24" w:rsidRDefault="00314A26" w:rsidP="00FA49F4">
      <w:pPr>
        <w:spacing w:after="240"/>
        <w:ind w:left="567" w:hanging="567"/>
        <w:rPr>
          <w:szCs w:val="24"/>
        </w:rPr>
      </w:pPr>
      <w:r w:rsidRPr="00EE6C24">
        <w:t xml:space="preserve">M. </w:t>
      </w:r>
      <w:r w:rsidRPr="00EE6C24">
        <w:tab/>
        <w:t>arvestades, et Euroopa Toiduohutusamet soovitas</w:t>
      </w:r>
      <w:r w:rsidRPr="00EE6C24">
        <w:rPr>
          <w:rStyle w:val="FootnoteReference"/>
          <w:szCs w:val="24"/>
        </w:rPr>
        <w:footnoteReference w:id="20"/>
      </w:r>
      <w:r w:rsidRPr="00EE6C24">
        <w:t xml:space="preserve">, et praegust ohutuse alast ebakindlust arvesse võttes tuleks toiduga seotud kasutusalade puhul kaaluda praegu soovituses kavandatud piirmäära (50 %) asemel madalamat </w:t>
      </w:r>
      <w:proofErr w:type="spellStart"/>
      <w:r w:rsidRPr="00EE6C24">
        <w:t>nanoosakeste</w:t>
      </w:r>
      <w:proofErr w:type="spellEnd"/>
      <w:r w:rsidRPr="00EE6C24">
        <w:t xml:space="preserve"> arvu piirmäära, nt 10 %;</w:t>
      </w:r>
    </w:p>
    <w:p w:rsidR="00314A26" w:rsidRPr="00EE6C24" w:rsidRDefault="00314A26" w:rsidP="00FA49F4">
      <w:pPr>
        <w:spacing w:after="240"/>
        <w:ind w:left="567" w:hanging="567"/>
        <w:rPr>
          <w:szCs w:val="24"/>
        </w:rPr>
      </w:pPr>
      <w:r w:rsidRPr="00EE6C24">
        <w:t xml:space="preserve">N. </w:t>
      </w:r>
      <w:r w:rsidRPr="00EE6C24">
        <w:tab/>
        <w:t xml:space="preserve">arvestades, et akadeemilised organisatsioonid, avaliku sektori asutused, valitsusvälised tarbija- ja keskkonnaorganisatsioonid ning ametiühingud pooldasid komisjoniga peetavates konsultatsioonides määratlust, mis hõlmaks kõiki materjale, olgu need siis toodetud, juhuslikult tekkinud või looduslikud, ja </w:t>
      </w:r>
      <w:proofErr w:type="spellStart"/>
      <w:r w:rsidRPr="00EE6C24">
        <w:t>vaikepiirmäära</w:t>
      </w:r>
      <w:proofErr w:type="spellEnd"/>
      <w:r w:rsidRPr="00EE6C24">
        <w:t xml:space="preserve"> vähemalt 10 % osakestest arvulises suurusjaotuses;</w:t>
      </w:r>
    </w:p>
    <w:p w:rsidR="00314A26" w:rsidRPr="00EE6C24" w:rsidRDefault="00FA49F4" w:rsidP="00FA49F4">
      <w:pPr>
        <w:spacing w:after="240"/>
        <w:ind w:left="567" w:hanging="567"/>
        <w:rPr>
          <w:color w:val="0D0D0D"/>
          <w:szCs w:val="24"/>
        </w:rPr>
      </w:pPr>
      <w:r w:rsidRPr="00EE6C24">
        <w:rPr>
          <w:color w:val="0D0D0D"/>
        </w:rPr>
        <w:t xml:space="preserve">O. </w:t>
      </w:r>
      <w:r w:rsidRPr="00EE6C24">
        <w:rPr>
          <w:color w:val="0D0D0D"/>
        </w:rPr>
        <w:tab/>
        <w:t>arvestades, et alates 2014. </w:t>
      </w:r>
      <w:r w:rsidR="00314A26" w:rsidRPr="00EE6C24">
        <w:rPr>
          <w:color w:val="0D0D0D"/>
        </w:rPr>
        <w:t xml:space="preserve">aastast kinnitavad uued teaduslikud edusammud ja teadmised, et </w:t>
      </w:r>
      <w:proofErr w:type="spellStart"/>
      <w:r w:rsidR="00314A26" w:rsidRPr="00EE6C24">
        <w:rPr>
          <w:color w:val="0D0D0D"/>
        </w:rPr>
        <w:t>nanomaterjalid</w:t>
      </w:r>
      <w:proofErr w:type="spellEnd"/>
      <w:r w:rsidR="00314A26" w:rsidRPr="00EE6C24">
        <w:rPr>
          <w:color w:val="0D0D0D"/>
        </w:rPr>
        <w:t xml:space="preserve"> võivad ületada füsioloogilisi tõkkeid ja on sageli ohtlikumad kui mikro- või makroolekus ained</w:t>
      </w:r>
      <w:r w:rsidR="00314A26" w:rsidRPr="00EE6C24">
        <w:rPr>
          <w:rStyle w:val="FootnoteReference"/>
          <w:color w:val="0D0D0D"/>
          <w:szCs w:val="24"/>
        </w:rPr>
        <w:footnoteReference w:id="21"/>
      </w:r>
      <w:r w:rsidR="00314A26" w:rsidRPr="00EE6C24">
        <w:rPr>
          <w:color w:val="0D0D0D"/>
        </w:rPr>
        <w:t>;</w:t>
      </w:r>
    </w:p>
    <w:p w:rsidR="00314A26" w:rsidRPr="00EE6C24" w:rsidRDefault="00314A26" w:rsidP="00FA49F4">
      <w:pPr>
        <w:spacing w:after="240"/>
        <w:ind w:left="567" w:hanging="567"/>
        <w:rPr>
          <w:color w:val="0D0D0D"/>
          <w:szCs w:val="24"/>
        </w:rPr>
      </w:pPr>
      <w:r w:rsidRPr="00EE6C24">
        <w:rPr>
          <w:color w:val="0D0D0D"/>
        </w:rPr>
        <w:t xml:space="preserve">P. </w:t>
      </w:r>
      <w:r w:rsidRPr="00EE6C24">
        <w:rPr>
          <w:color w:val="0D0D0D"/>
        </w:rPr>
        <w:tab/>
        <w:t>arvestades, et ANSES avaldas 2023. aasta aprillis üksikasjaliku aruande</w:t>
      </w:r>
      <w:r w:rsidRPr="00EE6C24">
        <w:rPr>
          <w:rStyle w:val="FootnoteReference"/>
          <w:color w:val="0D0D0D"/>
          <w:szCs w:val="24"/>
        </w:rPr>
        <w:footnoteReference w:id="22"/>
      </w:r>
      <w:r w:rsidRPr="00EE6C24">
        <w:rPr>
          <w:color w:val="0D0D0D"/>
        </w:rPr>
        <w:t>, milles märgitakse, et komisjoni 10. juuni 2022. aasta soovituses</w:t>
      </w:r>
      <w:r w:rsidRPr="00EE6C24">
        <w:rPr>
          <w:rStyle w:val="FootnoteReference"/>
          <w:color w:val="0D0D0D"/>
          <w:szCs w:val="24"/>
        </w:rPr>
        <w:footnoteReference w:id="23"/>
      </w:r>
      <w:r w:rsidRPr="00EE6C24">
        <w:rPr>
          <w:color w:val="0D0D0D"/>
        </w:rPr>
        <w:t xml:space="preserve"> sätestatud </w:t>
      </w:r>
      <w:proofErr w:type="spellStart"/>
      <w:r w:rsidRPr="00EE6C24">
        <w:rPr>
          <w:color w:val="0D0D0D"/>
        </w:rPr>
        <w:t>nanomaterjalide</w:t>
      </w:r>
      <w:proofErr w:type="spellEnd"/>
      <w:r w:rsidRPr="00EE6C24">
        <w:rPr>
          <w:color w:val="0D0D0D"/>
        </w:rPr>
        <w:t xml:space="preserve"> määratlus, mis</w:t>
      </w:r>
      <w:r w:rsidR="00FA49F4" w:rsidRPr="00EE6C24">
        <w:rPr>
          <w:color w:val="0D0D0D"/>
        </w:rPr>
        <w:t xml:space="preserve"> on olnud aluseks määruses (EL) </w:t>
      </w:r>
      <w:r w:rsidRPr="00EE6C24">
        <w:rPr>
          <w:color w:val="0D0D0D"/>
        </w:rPr>
        <w:t xml:space="preserve">2015/2283 sätestatud </w:t>
      </w:r>
      <w:proofErr w:type="spellStart"/>
      <w:r w:rsidRPr="00EE6C24">
        <w:rPr>
          <w:color w:val="0D0D0D"/>
        </w:rPr>
        <w:t>tehisnanomaterjalide</w:t>
      </w:r>
      <w:proofErr w:type="spellEnd"/>
      <w:r w:rsidRPr="00EE6C24">
        <w:rPr>
          <w:color w:val="0D0D0D"/>
        </w:rPr>
        <w:t xml:space="preserve"> määratluse muutmisele valdkondlikes määrustes, eelkõige toidu puhul, oleks kahjulik tervise- ja keskkonnariskide tõkestamise seisukohast; </w:t>
      </w:r>
      <w:r w:rsidRPr="00EE6C24">
        <w:t>arvestades, et ANSES rõhutas, et horisontaalses „[</w:t>
      </w:r>
      <w:proofErr w:type="spellStart"/>
      <w:r w:rsidRPr="00EE6C24">
        <w:t>nano</w:t>
      </w:r>
      <w:proofErr w:type="spellEnd"/>
      <w:r w:rsidRPr="00EE6C24">
        <w:t xml:space="preserve">]“ määratluses sisalduv </w:t>
      </w:r>
      <w:proofErr w:type="spellStart"/>
      <w:r w:rsidRPr="00EE6C24">
        <w:t>nanoosakeste</w:t>
      </w:r>
      <w:proofErr w:type="spellEnd"/>
      <w:r w:rsidRPr="00EE6C24">
        <w:t xml:space="preserve"> arvu piirmäär 50 % ei põhine usaldusväärsetel teaduslikel argumentidel, ning soovitas kehtestada sellele piirmäärale madalama väärtuse;</w:t>
      </w:r>
    </w:p>
    <w:p w:rsidR="00314A26" w:rsidRPr="00EE6C24" w:rsidRDefault="00314A26" w:rsidP="00FA49F4">
      <w:pPr>
        <w:spacing w:after="240"/>
        <w:ind w:left="567" w:hanging="567"/>
        <w:rPr>
          <w:color w:val="0D0D0D"/>
          <w:szCs w:val="24"/>
        </w:rPr>
      </w:pPr>
      <w:r w:rsidRPr="00EE6C24">
        <w:rPr>
          <w:color w:val="0D0D0D"/>
        </w:rPr>
        <w:t xml:space="preserve">Q. </w:t>
      </w:r>
      <w:r w:rsidRPr="00EE6C24">
        <w:rPr>
          <w:color w:val="0D0D0D"/>
        </w:rPr>
        <w:tab/>
        <w:t xml:space="preserve">arvestades, et toidu </w:t>
      </w:r>
      <w:proofErr w:type="spellStart"/>
      <w:r w:rsidRPr="00EE6C24">
        <w:rPr>
          <w:color w:val="0D0D0D"/>
        </w:rPr>
        <w:t>nanokoostisosade</w:t>
      </w:r>
      <w:proofErr w:type="spellEnd"/>
      <w:r w:rsidRPr="00EE6C24">
        <w:rPr>
          <w:color w:val="0D0D0D"/>
        </w:rPr>
        <w:t xml:space="preserve"> tuvastamine </w:t>
      </w:r>
      <w:proofErr w:type="spellStart"/>
      <w:r w:rsidRPr="00EE6C24">
        <w:rPr>
          <w:color w:val="0D0D0D"/>
        </w:rPr>
        <w:t>nanoosakeste</w:t>
      </w:r>
      <w:proofErr w:type="spellEnd"/>
      <w:r w:rsidRPr="00EE6C24">
        <w:rPr>
          <w:color w:val="0D0D0D"/>
        </w:rPr>
        <w:t xml:space="preserve"> arvu 10 % piirmäära alusel on teostatav, kuna see on läviväärtus, mida Prantsusmaa tarbijaküsimuste, konkurentsi ja pettusevastase võitluse peadirektoraat om</w:t>
      </w:r>
      <w:bookmarkStart w:id="6" w:name="_GoBack"/>
      <w:bookmarkEnd w:id="6"/>
      <w:r w:rsidRPr="00EE6C24">
        <w:rPr>
          <w:color w:val="0D0D0D"/>
        </w:rPr>
        <w:t xml:space="preserve">a kontrollitegevuses praegu </w:t>
      </w:r>
      <w:r w:rsidRPr="00EE6C24">
        <w:rPr>
          <w:color w:val="0D0D0D"/>
        </w:rPr>
        <w:lastRenderedPageBreak/>
        <w:t>kohaldab</w:t>
      </w:r>
      <w:r w:rsidRPr="00EE6C24">
        <w:rPr>
          <w:rStyle w:val="FootnoteReference"/>
          <w:color w:val="0D0D0D"/>
          <w:szCs w:val="24"/>
        </w:rPr>
        <w:footnoteReference w:id="24"/>
      </w:r>
      <w:r w:rsidRPr="00EE6C24">
        <w:rPr>
          <w:color w:val="0D0D0D"/>
        </w:rPr>
        <w:t>;</w:t>
      </w:r>
    </w:p>
    <w:p w:rsidR="00314A26" w:rsidRPr="00EE6C24" w:rsidRDefault="00314A26" w:rsidP="00FA49F4">
      <w:pPr>
        <w:spacing w:after="240"/>
        <w:rPr>
          <w:i/>
          <w:color w:val="0D0D0D"/>
          <w:szCs w:val="24"/>
        </w:rPr>
      </w:pPr>
      <w:r w:rsidRPr="00EE6C24">
        <w:rPr>
          <w:i/>
          <w:color w:val="0D0D0D"/>
        </w:rPr>
        <w:t>Ettevaatusprintsiip</w:t>
      </w:r>
    </w:p>
    <w:p w:rsidR="00314A26" w:rsidRPr="00EE6C24" w:rsidRDefault="00314A26" w:rsidP="00FA49F4">
      <w:pPr>
        <w:spacing w:after="240"/>
        <w:ind w:left="567" w:hanging="567"/>
        <w:rPr>
          <w:color w:val="0D0D0D"/>
          <w:szCs w:val="24"/>
        </w:rPr>
      </w:pPr>
      <w:r w:rsidRPr="00EE6C24">
        <w:rPr>
          <w:color w:val="0D0D0D"/>
        </w:rPr>
        <w:t>R.</w:t>
      </w:r>
      <w:r w:rsidRPr="00EE6C24">
        <w:rPr>
          <w:color w:val="0D0D0D"/>
        </w:rPr>
        <w:tab/>
        <w:t>arvestades, et ELi toimimise lepingu artikli 191 lõikes 2 on sätestatud ettevaatusprintsiip kui üks liidu aluspõhimõtteid;</w:t>
      </w:r>
    </w:p>
    <w:p w:rsidR="00314A26" w:rsidRPr="00EE6C24" w:rsidRDefault="00314A26" w:rsidP="00FA49F4">
      <w:pPr>
        <w:spacing w:after="240"/>
        <w:ind w:left="567" w:hanging="567"/>
        <w:rPr>
          <w:szCs w:val="24"/>
        </w:rPr>
      </w:pPr>
      <w:r w:rsidRPr="00EE6C24">
        <w:t xml:space="preserve">S. </w:t>
      </w:r>
      <w:r w:rsidRPr="00EE6C24">
        <w:tab/>
        <w:t>arvestades, et ELi toimimise lepingu artikli 168 lõikes 1 sätestatakse, et „kogu liidu poliitika ja meetmete määratlemisel ja rakendamisel tagatakse inimeste tervise kõrgetasemeline kaitse“;</w:t>
      </w:r>
    </w:p>
    <w:p w:rsidR="00314A26" w:rsidRPr="00EE6C24" w:rsidRDefault="00314A26" w:rsidP="00FA49F4">
      <w:pPr>
        <w:pStyle w:val="NormalHanging12a"/>
        <w:rPr>
          <w:szCs w:val="24"/>
        </w:rPr>
      </w:pPr>
      <w:r w:rsidRPr="00EE6C24">
        <w:t>1.</w:t>
      </w:r>
      <w:r w:rsidRPr="00EE6C24">
        <w:tab/>
        <w:t>esitab komisjoni delegeeritud määrusele vastuväiteid;</w:t>
      </w:r>
    </w:p>
    <w:p w:rsidR="00314A26" w:rsidRPr="00EE6C24" w:rsidRDefault="00314A26" w:rsidP="00FA49F4">
      <w:pPr>
        <w:pStyle w:val="NormalHanging12a"/>
        <w:rPr>
          <w:szCs w:val="24"/>
        </w:rPr>
      </w:pPr>
      <w:r w:rsidRPr="00EE6C24">
        <w:t>2.</w:t>
      </w:r>
      <w:r w:rsidRPr="00EE6C24">
        <w:tab/>
        <w:t xml:space="preserve">teeb presidendile ülesandeks edastada käesolev resolutsioon komisjonile ning teatada talle, et delegeeritud määrus </w:t>
      </w:r>
      <w:r w:rsidR="00FA49F4" w:rsidRPr="00EE6C24">
        <w:t>ei saa jõustuda;</w:t>
      </w:r>
    </w:p>
    <w:p w:rsidR="00314A26" w:rsidRPr="00EE6C24" w:rsidRDefault="00314A26" w:rsidP="00FA49F4">
      <w:pPr>
        <w:spacing w:after="240"/>
        <w:ind w:left="567" w:hanging="567"/>
        <w:rPr>
          <w:szCs w:val="24"/>
        </w:rPr>
      </w:pPr>
      <w:r w:rsidRPr="00EE6C24">
        <w:t xml:space="preserve">3. </w:t>
      </w:r>
      <w:r w:rsidRPr="00EE6C24">
        <w:tab/>
        <w:t>on seisukohal, et komisjoni delegeeritud määru</w:t>
      </w:r>
      <w:r w:rsidR="00FA49F4" w:rsidRPr="00EE6C24">
        <w:t>s ei ole kooskõlas määruse (EL) </w:t>
      </w:r>
      <w:r w:rsidRPr="00EE6C24">
        <w:t>2015/2283 eesmärgi ega sisuga ning et see ületab kõnealuse määruse artikliga 31 komisjonile delegeeritud volitusi;</w:t>
      </w:r>
    </w:p>
    <w:p w:rsidR="00314A26" w:rsidRPr="00EE6C24" w:rsidRDefault="00314A26" w:rsidP="00FA49F4">
      <w:pPr>
        <w:spacing w:after="240"/>
        <w:ind w:left="567" w:hanging="567"/>
        <w:rPr>
          <w:szCs w:val="24"/>
        </w:rPr>
      </w:pPr>
      <w:r w:rsidRPr="00EE6C24">
        <w:t xml:space="preserve">4. </w:t>
      </w:r>
      <w:r w:rsidRPr="00EE6C24">
        <w:tab/>
        <w:t>peab kahetsusväärseks, et kavandatud 50 % piirmäära puhul ei võeta arvesse tehnika ja teaduse arengut;</w:t>
      </w:r>
    </w:p>
    <w:p w:rsidR="00314A26" w:rsidRPr="00EE6C24" w:rsidRDefault="00314A26" w:rsidP="00FA49F4">
      <w:pPr>
        <w:pStyle w:val="NormalHanging12a"/>
        <w:rPr>
          <w:szCs w:val="24"/>
        </w:rPr>
      </w:pPr>
      <w:r w:rsidRPr="00EE6C24">
        <w:t xml:space="preserve">5. </w:t>
      </w:r>
      <w:r w:rsidRPr="00EE6C24">
        <w:tab/>
        <w:t>palub komisjonil kohaldada ettevaatusprintsiipi, tagada tarbijate ohutus ja teavitamine ning võtta arvesse terviseühtsuse põhimõtet;</w:t>
      </w:r>
    </w:p>
    <w:p w:rsidR="00E365E1" w:rsidRPr="00EE6C24" w:rsidRDefault="00314A26" w:rsidP="00FA49F4">
      <w:pPr>
        <w:pStyle w:val="NormalHanging12a"/>
      </w:pPr>
      <w:r w:rsidRPr="00EE6C24">
        <w:t>6.</w:t>
      </w:r>
      <w:r w:rsidRPr="00EE6C24">
        <w:tab/>
        <w:t>teeb presidendile ülesandeks edastada käesolev resolutsioon nõukogule ning liikmesriikide valitsustele ja parlamentidele.</w:t>
      </w:r>
      <w:bookmarkStart w:id="7" w:name="TextBodyEnd"/>
      <w:bookmarkEnd w:id="7"/>
    </w:p>
    <w:sectPr w:rsidR="00E365E1" w:rsidRPr="00EE6C24" w:rsidSect="00BE00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46E" w:rsidRPr="00BE00A1" w:rsidRDefault="007A646E">
      <w:r w:rsidRPr="00BE00A1">
        <w:separator/>
      </w:r>
    </w:p>
  </w:endnote>
  <w:endnote w:type="continuationSeparator" w:id="0">
    <w:p w:rsidR="007A646E" w:rsidRPr="00BE00A1" w:rsidRDefault="007A646E">
      <w:r w:rsidRPr="00BE00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46E" w:rsidRPr="00BE00A1" w:rsidRDefault="007A646E">
      <w:r w:rsidRPr="00BE00A1">
        <w:separator/>
      </w:r>
    </w:p>
  </w:footnote>
  <w:footnote w:type="continuationSeparator" w:id="0">
    <w:p w:rsidR="007A646E" w:rsidRPr="00BE00A1" w:rsidRDefault="007A646E">
      <w:r w:rsidRPr="00BE00A1">
        <w:continuationSeparator/>
      </w:r>
    </w:p>
  </w:footnote>
  <w:footnote w:id="1">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327, 11.12.2015, lk 1.</w:t>
      </w:r>
    </w:p>
  </w:footnote>
  <w:footnote w:id="2">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304, 22.11.2011, lk </w:t>
      </w:r>
      <w:r w:rsidRPr="00BE00A1">
        <w:rPr>
          <w:sz w:val="24"/>
          <w:lang w:val="et-EE"/>
        </w:rPr>
        <w:t>18.</w:t>
      </w:r>
    </w:p>
  </w:footnote>
  <w:footnote w:id="3">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354, 31.12.2008, lk </w:t>
      </w:r>
      <w:r w:rsidRPr="00BE00A1">
        <w:rPr>
          <w:sz w:val="24"/>
          <w:lang w:val="et-EE"/>
        </w:rPr>
        <w:t>16.</w:t>
      </w:r>
    </w:p>
  </w:footnote>
  <w:footnote w:id="4">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w:t>
      </w:r>
      <w:r w:rsidRPr="00BE00A1">
        <w:rPr>
          <w:sz w:val="24"/>
          <w:lang w:val="et-EE"/>
        </w:rPr>
        <w:t>295, 12.11.2011, lk 1.</w:t>
      </w:r>
    </w:p>
  </w:footnote>
  <w:footnote w:id="5">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w:t>
      </w:r>
      <w:r w:rsidRPr="00BE00A1">
        <w:rPr>
          <w:sz w:val="24"/>
          <w:lang w:val="et-EE"/>
        </w:rPr>
        <w:t>295, 12.11.2011, lk 178.</w:t>
      </w:r>
    </w:p>
  </w:footnote>
  <w:footnote w:id="6">
    <w:p w:rsidR="00314A26" w:rsidRPr="00BE00A1" w:rsidRDefault="00314A26" w:rsidP="00BE00A1">
      <w:pPr>
        <w:pStyle w:val="FootnoteText"/>
        <w:ind w:left="567" w:hanging="567"/>
        <w:rPr>
          <w:sz w:val="24"/>
          <w:lang w:val="et-EE"/>
        </w:rPr>
      </w:pPr>
      <w:r w:rsidRPr="00BE00A1">
        <w:rPr>
          <w:rStyle w:val="FootnoteReference"/>
          <w:sz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L </w:t>
      </w:r>
      <w:r w:rsidRPr="00BE00A1">
        <w:rPr>
          <w:sz w:val="24"/>
          <w:lang w:val="et-EE"/>
        </w:rPr>
        <w:t xml:space="preserve">80, 26.3.2010, </w:t>
      </w:r>
      <w:r w:rsidR="00FA49F4">
        <w:rPr>
          <w:sz w:val="24"/>
          <w:lang w:val="et-EE"/>
        </w:rPr>
        <w:t>lk </w:t>
      </w:r>
      <w:r w:rsidRPr="00BE00A1">
        <w:rPr>
          <w:sz w:val="24"/>
          <w:lang w:val="et-EE"/>
        </w:rPr>
        <w:t>19.</w:t>
      </w:r>
    </w:p>
  </w:footnote>
  <w:footnote w:id="7">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1" w:history="1">
        <w:r w:rsidRPr="00BE00A1">
          <w:rPr>
            <w:rStyle w:val="Hyperlink"/>
            <w:color w:val="1155CC"/>
            <w:sz w:val="24"/>
            <w:lang w:val="et-EE"/>
          </w:rPr>
          <w:t>https://www.anses.fr/fr/nanomateriaux-alimentation-premiere-application-methodologie</w:t>
        </w:r>
      </w:hyperlink>
    </w:p>
  </w:footnote>
  <w:footnote w:id="8">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2" w:history="1">
        <w:r w:rsidRPr="00BE00A1">
          <w:rPr>
            <w:rStyle w:val="Hyperlink"/>
            <w:sz w:val="24"/>
            <w:lang w:val="et-EE"/>
          </w:rPr>
          <w:t>https://www.agirpourlenvironnement.org/communiques-presse/enquete-exclusive-des-analyses-revelent-la-presence-de-nanoparticules-dans-3980/</w:t>
        </w:r>
      </w:hyperlink>
    </w:p>
  </w:footnote>
  <w:footnote w:id="9">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3" w:history="1">
        <w:r w:rsidRPr="00BE00A1">
          <w:rPr>
            <w:rStyle w:val="Hyperlink"/>
            <w:color w:val="1155CC"/>
            <w:sz w:val="24"/>
            <w:lang w:val="et-EE"/>
          </w:rPr>
          <w:t>https://www.quechoisir.org/enquete-nanoparticules-taille-mini-doutes-maxi-n50748/</w:t>
        </w:r>
      </w:hyperlink>
    </w:p>
  </w:footnote>
  <w:footnote w:id="10">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4" w:history="1">
        <w:r w:rsidRPr="00BE00A1">
          <w:rPr>
            <w:rStyle w:val="Hyperlink"/>
            <w:color w:val="1155CC"/>
            <w:sz w:val="24"/>
            <w:lang w:val="et-EE"/>
          </w:rPr>
          <w:t>https://bibliotheque.60millions-mag.com/detail/publication/detail-top-right/561?issue_id=113421&amp;switch_toc=archive</w:t>
        </w:r>
      </w:hyperlink>
    </w:p>
  </w:footnote>
  <w:footnote w:id="11">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5" w:history="1">
        <w:r w:rsidRPr="00BE00A1">
          <w:rPr>
            <w:rStyle w:val="Hyperlink"/>
            <w:color w:val="1155CC"/>
            <w:sz w:val="24"/>
            <w:lang w:val="et-EE"/>
          </w:rPr>
          <w:t>https://veillenanos.fr/wp-content/uploads/2023/01/Rapport-test-EN-20230113.pdf</w:t>
        </w:r>
      </w:hyperlink>
    </w:p>
  </w:footnote>
  <w:footnote w:id="12">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6" w:history="1">
        <w:r w:rsidRPr="00BE00A1">
          <w:rPr>
            <w:rStyle w:val="Hyperlink"/>
            <w:color w:val="1155CC"/>
            <w:sz w:val="24"/>
            <w:lang w:val="et-EE"/>
          </w:rPr>
          <w:t>https://www.foodwatch.org/de/potenziell-krebserregender-farbstoff-in-backzutaten-von-dr-oetker</w:t>
        </w:r>
      </w:hyperlink>
    </w:p>
  </w:footnote>
  <w:footnote w:id="13">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7" w:history="1">
        <w:r w:rsidR="00FA49F4" w:rsidRPr="000F6E20">
          <w:rPr>
            <w:rStyle w:val="Hyperlink"/>
            <w:sz w:val="24"/>
            <w:lang w:val="et-EE"/>
          </w:rPr>
          <w:t>https://www.bund.net/fileadmin/user_upload_bund/publikationen/chemie/</w:t>
        </w:r>
        <w:r w:rsidR="00FA49F4" w:rsidRPr="000F6E20">
          <w:rPr>
            <w:rStyle w:val="Hyperlink"/>
            <w:sz w:val="24"/>
            <w:lang w:val="et-EE"/>
          </w:rPr>
          <w:br/>
          <w:t>nanotechnologie_in_lebensmitteln_hintergrund.pdf</w:t>
        </w:r>
      </w:hyperlink>
    </w:p>
  </w:footnote>
  <w:footnote w:id="14">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8" w:history="1">
        <w:r w:rsidRPr="00BE00A1">
          <w:rPr>
            <w:rStyle w:val="Hyperlink"/>
            <w:color w:val="1155CC"/>
            <w:sz w:val="24"/>
            <w:lang w:val="et-EE"/>
          </w:rPr>
          <w:t>https://www.test-achats.be/sante/sante-au-quotidien/produits-testes/news/nanoparticules-affichage</w:t>
        </w:r>
      </w:hyperlink>
    </w:p>
  </w:footnote>
  <w:footnote w:id="15">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9" w:history="1">
        <w:r w:rsidRPr="00BE00A1">
          <w:rPr>
            <w:rStyle w:val="Hyperlink"/>
            <w:color w:val="1155CC"/>
            <w:sz w:val="24"/>
            <w:lang w:val="et-EE"/>
          </w:rPr>
          <w:t>https://www.altroconsumo.it/alimentazione/sicurezza-alimentare/news/nanoparticelle</w:t>
        </w:r>
      </w:hyperlink>
    </w:p>
  </w:footnote>
  <w:footnote w:id="16">
    <w:p w:rsidR="00314A26" w:rsidRPr="00BE00A1" w:rsidRDefault="00314A26" w:rsidP="00BE00A1">
      <w:pPr>
        <w:ind w:left="567" w:hanging="567"/>
        <w:rPr>
          <w:color w:val="1155CC"/>
          <w:szCs w:val="24"/>
          <w:u w:val="single"/>
        </w:rPr>
      </w:pPr>
      <w:r w:rsidRPr="00BE00A1">
        <w:rPr>
          <w:rStyle w:val="FootnoteReference"/>
          <w:szCs w:val="24"/>
        </w:rPr>
        <w:footnoteRef/>
      </w:r>
      <w:r w:rsidR="00BE00A1" w:rsidRPr="00BE00A1">
        <w:t xml:space="preserve"> </w:t>
      </w:r>
      <w:r w:rsidR="00BE00A1" w:rsidRPr="00BE00A1">
        <w:tab/>
      </w:r>
      <w:hyperlink r:id="rId10" w:history="1">
        <w:r w:rsidRPr="00BE00A1">
          <w:rPr>
            <w:rStyle w:val="Hyperlink"/>
          </w:rPr>
          <w:t>https://www.ocu.org/toda-la-informacion?type=magazine-articles&amp;magazine=ocu%20compra%20maestra&amp;year=2019</w:t>
        </w:r>
      </w:hyperlink>
    </w:p>
  </w:footnote>
  <w:footnote w:id="17">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11" w:history="1">
        <w:r w:rsidRPr="00BE00A1">
          <w:rPr>
            <w:rStyle w:val="Hyperlink"/>
            <w:sz w:val="24"/>
            <w:lang w:val="et-EE"/>
          </w:rPr>
          <w:t>https://echa.europa.eu/-/what-do-eu-citizens-think-about-nanomaterials-</w:t>
        </w:r>
      </w:hyperlink>
    </w:p>
  </w:footnote>
  <w:footnote w:id="18">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w:t>
      </w:r>
      <w:r w:rsidR="009139E0">
        <w:rPr>
          <w:sz w:val="24"/>
          <w:lang w:val="et-EE"/>
        </w:rPr>
        <w:t>C 378, 9.11.</w:t>
      </w:r>
      <w:r w:rsidRPr="00BE00A1">
        <w:rPr>
          <w:sz w:val="24"/>
          <w:lang w:val="et-EE"/>
        </w:rPr>
        <w:t>2017, lk 92.</w:t>
      </w:r>
    </w:p>
  </w:footnote>
  <w:footnote w:id="19">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r w:rsidR="00FA49F4">
        <w:rPr>
          <w:sz w:val="24"/>
          <w:lang w:val="et-EE"/>
        </w:rPr>
        <w:t>ELT </w:t>
      </w:r>
      <w:r w:rsidRPr="00BE00A1">
        <w:rPr>
          <w:sz w:val="24"/>
          <w:lang w:val="et-EE"/>
        </w:rPr>
        <w:t>C 395, 29.3</w:t>
      </w:r>
      <w:r w:rsidR="009139E0">
        <w:rPr>
          <w:sz w:val="24"/>
          <w:lang w:val="et-EE"/>
        </w:rPr>
        <w:t>.</w:t>
      </w:r>
      <w:r w:rsidRPr="00BE00A1">
        <w:rPr>
          <w:sz w:val="24"/>
          <w:lang w:val="et-EE"/>
        </w:rPr>
        <w:t>2021, lk 28.</w:t>
      </w:r>
    </w:p>
  </w:footnote>
  <w:footnote w:id="20">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12" w:history="1">
        <w:r w:rsidR="00FA49F4" w:rsidRPr="0057347C">
          <w:rPr>
            <w:rStyle w:val="Hyperlink"/>
            <w:sz w:val="24"/>
            <w:lang w:val="et-EE"/>
          </w:rPr>
          <w:t>https://www.efsa.europa.eu/sites/default/files/assets/</w:t>
        </w:r>
        <w:r w:rsidR="00FA49F4" w:rsidRPr="0057347C">
          <w:rPr>
            <w:rStyle w:val="Hyperlink"/>
            <w:sz w:val="24"/>
            <w:lang w:val="et-EE"/>
          </w:rPr>
          <w:br/>
          <w:t>corporatenanotechnology121003.pdf</w:t>
        </w:r>
      </w:hyperlink>
    </w:p>
  </w:footnote>
  <w:footnote w:id="21">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hyperlink r:id="rId13" w:history="1">
        <w:r w:rsidRPr="00BE00A1">
          <w:rPr>
            <w:rStyle w:val="Hyperlink"/>
            <w:color w:val="1155CC"/>
            <w:sz w:val="24"/>
            <w:lang w:val="et-EE"/>
          </w:rPr>
          <w:t>https://veillenanos.fr/en/dossier/nanos-and-health/nanos-health-risks/</w:t>
        </w:r>
      </w:hyperlink>
    </w:p>
  </w:footnote>
  <w:footnote w:id="22">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proofErr w:type="spellStart"/>
      <w:r w:rsidRPr="00BE00A1">
        <w:rPr>
          <w:sz w:val="24"/>
          <w:lang w:val="et-EE"/>
        </w:rPr>
        <w:t>Ansesi</w:t>
      </w:r>
      <w:proofErr w:type="spellEnd"/>
      <w:r w:rsidRPr="00BE00A1">
        <w:rPr>
          <w:sz w:val="24"/>
          <w:lang w:val="et-EE"/>
        </w:rPr>
        <w:t xml:space="preserve"> arvamus (2023): „</w:t>
      </w:r>
      <w:proofErr w:type="spellStart"/>
      <w:r w:rsidRPr="00BE00A1">
        <w:rPr>
          <w:sz w:val="24"/>
          <w:lang w:val="et-EE"/>
        </w:rPr>
        <w:t>Definition</w:t>
      </w:r>
      <w:proofErr w:type="spellEnd"/>
      <w:r w:rsidRPr="00BE00A1">
        <w:rPr>
          <w:sz w:val="24"/>
          <w:lang w:val="et-EE"/>
        </w:rPr>
        <w:t xml:space="preserve"> of </w:t>
      </w:r>
      <w:proofErr w:type="spellStart"/>
      <w:r w:rsidRPr="00BE00A1">
        <w:rPr>
          <w:sz w:val="24"/>
          <w:lang w:val="et-EE"/>
        </w:rPr>
        <w:t>nanomaterials</w:t>
      </w:r>
      <w:proofErr w:type="spellEnd"/>
      <w:r w:rsidRPr="00BE00A1">
        <w:rPr>
          <w:sz w:val="24"/>
          <w:lang w:val="et-EE"/>
        </w:rPr>
        <w:t xml:space="preserve">: </w:t>
      </w:r>
      <w:proofErr w:type="spellStart"/>
      <w:r w:rsidRPr="00BE00A1">
        <w:rPr>
          <w:sz w:val="24"/>
          <w:lang w:val="et-EE"/>
        </w:rPr>
        <w:t>analysis</w:t>
      </w:r>
      <w:proofErr w:type="spellEnd"/>
      <w:r w:rsidRPr="00BE00A1">
        <w:rPr>
          <w:sz w:val="24"/>
          <w:lang w:val="et-EE"/>
        </w:rPr>
        <w:t xml:space="preserve">, </w:t>
      </w:r>
      <w:proofErr w:type="spellStart"/>
      <w:r w:rsidRPr="00BE00A1">
        <w:rPr>
          <w:sz w:val="24"/>
          <w:lang w:val="et-EE"/>
        </w:rPr>
        <w:t>challenges</w:t>
      </w:r>
      <w:proofErr w:type="spellEnd"/>
      <w:r w:rsidRPr="00BE00A1">
        <w:rPr>
          <w:sz w:val="24"/>
          <w:lang w:val="et-EE"/>
        </w:rPr>
        <w:t xml:space="preserve"> and </w:t>
      </w:r>
      <w:proofErr w:type="spellStart"/>
      <w:r w:rsidRPr="00BE00A1">
        <w:rPr>
          <w:sz w:val="24"/>
          <w:lang w:val="et-EE"/>
        </w:rPr>
        <w:t>controversies</w:t>
      </w:r>
      <w:proofErr w:type="spellEnd"/>
      <w:r w:rsidRPr="00BE00A1">
        <w:rPr>
          <w:sz w:val="24"/>
          <w:lang w:val="et-EE"/>
        </w:rPr>
        <w:t>“ (</w:t>
      </w:r>
      <w:proofErr w:type="spellStart"/>
      <w:r w:rsidRPr="00BE00A1">
        <w:rPr>
          <w:sz w:val="24"/>
          <w:lang w:val="et-EE"/>
        </w:rPr>
        <w:t>Nanomaterjalide</w:t>
      </w:r>
      <w:proofErr w:type="spellEnd"/>
      <w:r w:rsidRPr="00BE00A1">
        <w:rPr>
          <w:sz w:val="24"/>
          <w:lang w:val="et-EE"/>
        </w:rPr>
        <w:t xml:space="preserve"> määratlus: analüüs, probleemid ja vastuolud),</w:t>
      </w:r>
      <w:hyperlink r:id="rId14" w:history="1">
        <w:r w:rsidRPr="00BE00A1">
          <w:rPr>
            <w:rStyle w:val="Hyperlink"/>
            <w:sz w:val="24"/>
            <w:lang w:val="et-EE"/>
          </w:rPr>
          <w:t xml:space="preserve"> </w:t>
        </w:r>
      </w:hyperlink>
      <w:hyperlink r:id="rId15" w:history="1">
        <w:r w:rsidRPr="00BE00A1">
          <w:rPr>
            <w:rStyle w:val="Hyperlink"/>
            <w:color w:val="1155CC"/>
            <w:sz w:val="24"/>
            <w:lang w:val="et-EE"/>
          </w:rPr>
          <w:t>https://www.anses.fr/en/system/files/AP2018SA0168RaEN.pdf</w:t>
        </w:r>
      </w:hyperlink>
      <w:r w:rsidRPr="00BE00A1">
        <w:rPr>
          <w:rStyle w:val="Hyperlink"/>
          <w:color w:val="1155CC"/>
          <w:sz w:val="24"/>
          <w:lang w:val="et-EE"/>
        </w:rPr>
        <w:t>.</w:t>
      </w:r>
    </w:p>
  </w:footnote>
  <w:footnote w:id="23">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r w:rsidR="00FA49F4">
        <w:rPr>
          <w:sz w:val="24"/>
          <w:lang w:val="et-EE"/>
        </w:rPr>
        <w:t>Komisjoni 10. juuni 2022. </w:t>
      </w:r>
      <w:r w:rsidRPr="00BE00A1">
        <w:rPr>
          <w:sz w:val="24"/>
          <w:lang w:val="et-EE"/>
        </w:rPr>
        <w:t xml:space="preserve">aasta soovitus </w:t>
      </w:r>
      <w:proofErr w:type="spellStart"/>
      <w:r w:rsidRPr="00BE00A1">
        <w:rPr>
          <w:sz w:val="24"/>
          <w:lang w:val="et-EE"/>
        </w:rPr>
        <w:t>nanomaterjali</w:t>
      </w:r>
      <w:proofErr w:type="spellEnd"/>
      <w:r w:rsidRPr="00BE00A1">
        <w:rPr>
          <w:sz w:val="24"/>
          <w:lang w:val="et-EE"/>
        </w:rPr>
        <w:t xml:space="preserve"> määratluse kohta (ELT C 229, 14.6.2022, lk 1).</w:t>
      </w:r>
    </w:p>
  </w:footnote>
  <w:footnote w:id="24">
    <w:p w:rsidR="00314A26" w:rsidRPr="00BE00A1" w:rsidRDefault="00314A26" w:rsidP="00BE00A1">
      <w:pPr>
        <w:pStyle w:val="FootnoteText"/>
        <w:ind w:left="567" w:hanging="567"/>
        <w:rPr>
          <w:sz w:val="24"/>
          <w:szCs w:val="24"/>
          <w:lang w:val="et-EE"/>
        </w:rPr>
      </w:pPr>
      <w:r w:rsidRPr="00BE00A1">
        <w:rPr>
          <w:rStyle w:val="FootnoteReference"/>
          <w:sz w:val="24"/>
          <w:szCs w:val="24"/>
          <w:lang w:val="et-EE"/>
        </w:rPr>
        <w:footnoteRef/>
      </w:r>
      <w:r w:rsidR="00BE00A1" w:rsidRPr="00BE00A1">
        <w:rPr>
          <w:sz w:val="24"/>
          <w:lang w:val="et-EE"/>
        </w:rPr>
        <w:t xml:space="preserve"> </w:t>
      </w:r>
      <w:r w:rsidR="00BE00A1" w:rsidRPr="00BE00A1">
        <w:rPr>
          <w:sz w:val="24"/>
          <w:lang w:val="et-EE"/>
        </w:rPr>
        <w:tab/>
      </w:r>
      <w:proofErr w:type="spellStart"/>
      <w:r w:rsidRPr="00BE00A1">
        <w:rPr>
          <w:sz w:val="24"/>
          <w:lang w:val="et-EE"/>
        </w:rPr>
        <w:t>Anses</w:t>
      </w:r>
      <w:proofErr w:type="spellEnd"/>
      <w:r w:rsidRPr="00BE00A1">
        <w:rPr>
          <w:sz w:val="24"/>
          <w:lang w:val="et-EE"/>
        </w:rPr>
        <w:t xml:space="preserve"> (2020): </w:t>
      </w:r>
      <w:proofErr w:type="spellStart"/>
      <w:r w:rsidRPr="00BE00A1">
        <w:rPr>
          <w:sz w:val="24"/>
          <w:lang w:val="et-EE"/>
        </w:rPr>
        <w:t>Nanomatériaux</w:t>
      </w:r>
      <w:proofErr w:type="spellEnd"/>
      <w:r w:rsidRPr="00BE00A1">
        <w:rPr>
          <w:sz w:val="24"/>
          <w:lang w:val="et-EE"/>
        </w:rPr>
        <w:t xml:space="preserve"> </w:t>
      </w:r>
      <w:proofErr w:type="spellStart"/>
      <w:r w:rsidRPr="00BE00A1">
        <w:rPr>
          <w:sz w:val="24"/>
          <w:lang w:val="et-EE"/>
        </w:rPr>
        <w:t>dans</w:t>
      </w:r>
      <w:proofErr w:type="spellEnd"/>
      <w:r w:rsidRPr="00BE00A1">
        <w:rPr>
          <w:sz w:val="24"/>
          <w:lang w:val="et-EE"/>
        </w:rPr>
        <w:t xml:space="preserve"> </w:t>
      </w:r>
      <w:proofErr w:type="spellStart"/>
      <w:r w:rsidRPr="00BE00A1">
        <w:rPr>
          <w:sz w:val="24"/>
          <w:lang w:val="et-EE"/>
        </w:rPr>
        <w:t>les</w:t>
      </w:r>
      <w:proofErr w:type="spellEnd"/>
      <w:r w:rsidRPr="00BE00A1">
        <w:rPr>
          <w:sz w:val="24"/>
          <w:lang w:val="et-EE"/>
        </w:rPr>
        <w:t xml:space="preserve"> </w:t>
      </w:r>
      <w:proofErr w:type="spellStart"/>
      <w:r w:rsidRPr="00BE00A1">
        <w:rPr>
          <w:sz w:val="24"/>
          <w:lang w:val="et-EE"/>
        </w:rPr>
        <w:t>produits</w:t>
      </w:r>
      <w:proofErr w:type="spellEnd"/>
      <w:r w:rsidRPr="00BE00A1">
        <w:rPr>
          <w:sz w:val="24"/>
          <w:lang w:val="et-EE"/>
        </w:rPr>
        <w:t xml:space="preserve"> </w:t>
      </w:r>
      <w:proofErr w:type="spellStart"/>
      <w:r w:rsidRPr="00BE00A1">
        <w:rPr>
          <w:sz w:val="24"/>
          <w:lang w:val="et-EE"/>
        </w:rPr>
        <w:t>destinés</w:t>
      </w:r>
      <w:proofErr w:type="spellEnd"/>
      <w:r w:rsidRPr="00BE00A1">
        <w:rPr>
          <w:sz w:val="24"/>
          <w:lang w:val="et-EE"/>
        </w:rPr>
        <w:t xml:space="preserve"> à </w:t>
      </w:r>
      <w:proofErr w:type="spellStart"/>
      <w:r w:rsidRPr="00BE00A1">
        <w:rPr>
          <w:sz w:val="24"/>
          <w:lang w:val="et-EE"/>
        </w:rPr>
        <w:t>l’alimentation</w:t>
      </w:r>
      <w:proofErr w:type="spellEnd"/>
      <w:r w:rsidRPr="00BE00A1">
        <w:rPr>
          <w:sz w:val="24"/>
          <w:lang w:val="et-EE"/>
        </w:rPr>
        <w:t xml:space="preserve">. </w:t>
      </w:r>
      <w:proofErr w:type="spellStart"/>
      <w:r w:rsidRPr="00BE00A1">
        <w:rPr>
          <w:sz w:val="24"/>
          <w:lang w:val="et-EE"/>
        </w:rPr>
        <w:t>Rapport</w:t>
      </w:r>
      <w:proofErr w:type="spellEnd"/>
      <w:r w:rsidRPr="00BE00A1">
        <w:rPr>
          <w:sz w:val="24"/>
          <w:lang w:val="et-EE"/>
        </w:rPr>
        <w:t xml:space="preserve"> </w:t>
      </w:r>
      <w:proofErr w:type="spellStart"/>
      <w:r w:rsidRPr="00BE00A1">
        <w:rPr>
          <w:sz w:val="24"/>
          <w:lang w:val="et-EE"/>
        </w:rPr>
        <w:t>d’expertise</w:t>
      </w:r>
      <w:proofErr w:type="spellEnd"/>
      <w:r w:rsidRPr="00BE00A1">
        <w:rPr>
          <w:sz w:val="24"/>
          <w:lang w:val="et-EE"/>
        </w:rPr>
        <w:t xml:space="preserve"> </w:t>
      </w:r>
      <w:proofErr w:type="spellStart"/>
      <w:r w:rsidRPr="00BE00A1">
        <w:rPr>
          <w:sz w:val="24"/>
          <w:lang w:val="et-EE"/>
        </w:rPr>
        <w:t>collective</w:t>
      </w:r>
      <w:proofErr w:type="spellEnd"/>
      <w:r w:rsidRPr="00BE00A1">
        <w:rPr>
          <w:sz w:val="24"/>
          <w:lang w:val="et-EE"/>
        </w:rPr>
        <w:t>,</w:t>
      </w:r>
      <w:hyperlink r:id="rId16" w:history="1">
        <w:r w:rsidRPr="00BE00A1">
          <w:rPr>
            <w:rStyle w:val="Hyperlink"/>
            <w:sz w:val="24"/>
            <w:lang w:val="et-EE"/>
          </w:rPr>
          <w:t xml:space="preserve"> </w:t>
        </w:r>
      </w:hyperlink>
      <w:hyperlink r:id="rId17" w:history="1">
        <w:r w:rsidRPr="00BE00A1">
          <w:rPr>
            <w:rStyle w:val="Hyperlink"/>
            <w:color w:val="1155CC"/>
            <w:sz w:val="24"/>
            <w:lang w:val="et-EE"/>
          </w:rPr>
          <w:t>https://www.anses.fr/fr/system/files/ERCA2016SA0226Ra.pdf</w:t>
        </w:r>
      </w:hyperlink>
      <w:r w:rsidRPr="00BE00A1">
        <w:rPr>
          <w:sz w:val="24"/>
          <w:lang w:val="et-EE"/>
        </w:rPr>
        <w:t xml:space="preserve"> (p.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00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ET"/>
    <w:docVar w:name="dvnumam" w:val="0"/>
    <w:docVar w:name="dvpe" w:val="760.689"/>
    <w:docVar w:name="dvtitre" w:val="Euroopa Parlamendi .... 2024. aasta resolutsioon komisjoni 14. märtsi 2024. aasta delegeeritud määruse kohta, millega muudetakse Euroopa Parlamendi ja nõukogu määrust (EL) 2015/2283 (mis käsitleb uuendtoitu) tehisnanomaterjali määratluse osas(C(2024)01612 – 2024/2691(DEA))"/>
  </w:docVars>
  <w:rsids>
    <w:rsidRoot w:val="007A646E"/>
    <w:rsid w:val="00002272"/>
    <w:rsid w:val="00064002"/>
    <w:rsid w:val="000677B9"/>
    <w:rsid w:val="000831BA"/>
    <w:rsid w:val="000A42CC"/>
    <w:rsid w:val="000E7DD9"/>
    <w:rsid w:val="000F6E20"/>
    <w:rsid w:val="0010095E"/>
    <w:rsid w:val="00125B37"/>
    <w:rsid w:val="00187494"/>
    <w:rsid w:val="001F32AE"/>
    <w:rsid w:val="002767FF"/>
    <w:rsid w:val="002A6F5D"/>
    <w:rsid w:val="002B18FE"/>
    <w:rsid w:val="002B5493"/>
    <w:rsid w:val="00314A2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646E"/>
    <w:rsid w:val="007D1690"/>
    <w:rsid w:val="007E22AD"/>
    <w:rsid w:val="00817416"/>
    <w:rsid w:val="00842779"/>
    <w:rsid w:val="00865F67"/>
    <w:rsid w:val="00881A7B"/>
    <w:rsid w:val="008840E5"/>
    <w:rsid w:val="00887B3E"/>
    <w:rsid w:val="008C2AC6"/>
    <w:rsid w:val="009139E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0A1"/>
    <w:rsid w:val="00BE6ADC"/>
    <w:rsid w:val="00C05BFE"/>
    <w:rsid w:val="00C23CD4"/>
    <w:rsid w:val="00C61C0C"/>
    <w:rsid w:val="00C906E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C24"/>
    <w:rsid w:val="00F04346"/>
    <w:rsid w:val="00F075DC"/>
    <w:rsid w:val="00F149E9"/>
    <w:rsid w:val="00F5134D"/>
    <w:rsid w:val="00F74202"/>
    <w:rsid w:val="00F87713"/>
    <w:rsid w:val="00FA49F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C0DBB"/>
  <w15:chartTrackingRefBased/>
  <w15:docId w15:val="{CD9744EC-6283-4823-801B-F9602227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4A26"/>
    <w:pPr>
      <w:spacing w:before="480" w:after="240"/>
    </w:pPr>
  </w:style>
  <w:style w:type="paragraph" w:customStyle="1" w:styleId="NormalHanging12a">
    <w:name w:val="NormalHanging12a"/>
    <w:basedOn w:val="Normal"/>
    <w:rsid w:val="00314A26"/>
    <w:pPr>
      <w:spacing w:after="240"/>
      <w:ind w:left="567" w:hanging="567"/>
    </w:pPr>
  </w:style>
  <w:style w:type="character" w:styleId="Hyperlink">
    <w:name w:val="Hyperlink"/>
    <w:basedOn w:val="DefaultParagraphFont"/>
    <w:unhideWhenUsed/>
    <w:rsid w:val="00314A26"/>
    <w:rPr>
      <w:color w:val="0563C1" w:themeColor="hyperlink"/>
      <w:u w:val="single"/>
    </w:rPr>
  </w:style>
  <w:style w:type="paragraph" w:styleId="BalloonText">
    <w:name w:val="Balloon Text"/>
    <w:basedOn w:val="Normal"/>
    <w:link w:val="BalloonTextChar"/>
    <w:rsid w:val="00FA49F4"/>
    <w:rPr>
      <w:rFonts w:ascii="Segoe UI" w:hAnsi="Segoe UI" w:cs="Segoe UI"/>
      <w:sz w:val="18"/>
      <w:szCs w:val="18"/>
    </w:rPr>
  </w:style>
  <w:style w:type="character" w:customStyle="1" w:styleId="BalloonTextChar">
    <w:name w:val="Balloon Text Char"/>
    <w:basedOn w:val="DefaultParagraphFont"/>
    <w:link w:val="BalloonText"/>
    <w:rsid w:val="00FA49F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4689F-420F-40D1-9C4A-C19E874C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9486</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2024-06-11T15:19:00Z</dcterms:created>
  <dcterms:modified xsi:type="dcterms:W3CDTF">2024-06-11T15:19:00Z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B9-0225/2024</vt:lpwstr>
  </property>
  <property fmtid="{D5CDD505-2E9C-101B-9397-08002B2CF9AE}" pid="4" name="&lt;Type&gt;">
    <vt:lpwstr>RR</vt:lpwstr>
  </property>
</Properties>
</file>