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E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1E82" w:rsidRDefault="00546A60" w:rsidP="0010095E">
            <w:pPr>
              <w:pStyle w:val="EPName"/>
            </w:pPr>
            <w:r w:rsidRPr="00101E82">
              <w:t>Europski parlament</w:t>
            </w:r>
          </w:p>
          <w:p w:rsidR="00751A4A" w:rsidRPr="00101E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1E8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1E82" w:rsidRDefault="00187494" w:rsidP="0010095E">
            <w:pPr>
              <w:pStyle w:val="EPLogo"/>
            </w:pPr>
            <w:r w:rsidRPr="00101E8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1E82" w:rsidRDefault="00D058B8" w:rsidP="004C5D52">
      <w:pPr>
        <w:pStyle w:val="LineTop"/>
      </w:pPr>
    </w:p>
    <w:p w:rsidR="00680577" w:rsidRPr="00101E82" w:rsidRDefault="00546A60" w:rsidP="00680577">
      <w:pPr>
        <w:pStyle w:val="EPBodyTA1"/>
      </w:pPr>
      <w:r w:rsidRPr="00101E82">
        <w:t>USVOJENI TEKSTOVI</w:t>
      </w:r>
    </w:p>
    <w:p w:rsidR="00D058B8" w:rsidRPr="00101E82" w:rsidRDefault="00D058B8" w:rsidP="00D058B8">
      <w:pPr>
        <w:pStyle w:val="LineBottom"/>
      </w:pPr>
    </w:p>
    <w:p w:rsidR="00546A60" w:rsidRPr="00101E82" w:rsidRDefault="00546A60" w:rsidP="00546A60">
      <w:pPr>
        <w:pStyle w:val="ATHeading1"/>
      </w:pPr>
      <w:bookmarkStart w:id="0" w:name="TANumber"/>
      <w:r w:rsidRPr="00101E82">
        <w:t>P9_TA(2024)0</w:t>
      </w:r>
      <w:r w:rsidR="00B74D0B">
        <w:t>316</w:t>
      </w:r>
      <w:bookmarkEnd w:id="0"/>
    </w:p>
    <w:p w:rsidR="00546A60" w:rsidRPr="00101E82" w:rsidRDefault="00546A60" w:rsidP="00546A60">
      <w:pPr>
        <w:pStyle w:val="ATHeading2"/>
      </w:pPr>
      <w:bookmarkStart w:id="1" w:name="title"/>
      <w:r w:rsidRPr="00101E82">
        <w:t>Prigovor</w:t>
      </w:r>
      <w:r w:rsidR="00090CCF">
        <w:t>i</w:t>
      </w:r>
      <w:r w:rsidRPr="00101E82">
        <w:t xml:space="preserve"> </w:t>
      </w:r>
      <w:r w:rsidR="00CA3345">
        <w:t>na delegirani akt:</w:t>
      </w:r>
      <w:r w:rsidRPr="00101E82">
        <w:t xml:space="preserve"> </w:t>
      </w:r>
      <w:r w:rsidR="00CA3345">
        <w:t xml:space="preserve">nova hrana </w:t>
      </w:r>
      <w:r w:rsidRPr="00101E82">
        <w:t xml:space="preserve">- definicija „sintetiziranih </w:t>
      </w:r>
      <w:proofErr w:type="spellStart"/>
      <w:r w:rsidRPr="00101E82">
        <w:t>nanomaterijala</w:t>
      </w:r>
      <w:proofErr w:type="spellEnd"/>
      <w:r w:rsidRPr="00101E82">
        <w:t>”</w:t>
      </w:r>
      <w:bookmarkEnd w:id="1"/>
    </w:p>
    <w:p w:rsidR="00546A60" w:rsidRPr="00101E82" w:rsidRDefault="00546A60" w:rsidP="00546A60">
      <w:pPr>
        <w:rPr>
          <w:i/>
          <w:vanish/>
        </w:rPr>
      </w:pPr>
      <w:r w:rsidRPr="00101E82">
        <w:rPr>
          <w:i/>
        </w:rPr>
        <w:fldChar w:fldCharType="begin"/>
      </w:r>
      <w:r w:rsidRPr="00101E82">
        <w:rPr>
          <w:i/>
        </w:rPr>
        <w:instrText xml:space="preserve"> TC"(</w:instrText>
      </w:r>
      <w:bookmarkStart w:id="2" w:name="DocNumber"/>
      <w:r w:rsidRPr="00101E82">
        <w:rPr>
          <w:i/>
        </w:rPr>
        <w:instrText>B9-0225/2024</w:instrText>
      </w:r>
      <w:bookmarkEnd w:id="2"/>
      <w:r w:rsidRPr="00101E82">
        <w:rPr>
          <w:i/>
        </w:rPr>
        <w:instrText xml:space="preserve">)"\l3 \n&gt; \* MERGEFORMAT </w:instrText>
      </w:r>
      <w:r w:rsidRPr="00101E82">
        <w:rPr>
          <w:i/>
        </w:rPr>
        <w:fldChar w:fldCharType="end"/>
      </w:r>
    </w:p>
    <w:p w:rsidR="00546A60" w:rsidRPr="00101E82" w:rsidRDefault="00546A60" w:rsidP="00546A60">
      <w:pPr>
        <w:rPr>
          <w:vanish/>
        </w:rPr>
      </w:pPr>
      <w:bookmarkStart w:id="3" w:name="PE"/>
      <w:r w:rsidRPr="00101E82">
        <w:rPr>
          <w:vanish/>
        </w:rPr>
        <w:t>PE760.689</w:t>
      </w:r>
      <w:bookmarkEnd w:id="3"/>
    </w:p>
    <w:p w:rsidR="00546A60" w:rsidRPr="00101E82" w:rsidRDefault="00546A60" w:rsidP="00546A60">
      <w:pPr>
        <w:pStyle w:val="ATHeading3"/>
      </w:pPr>
      <w:bookmarkStart w:id="4" w:name="Sujet"/>
      <w:r w:rsidRPr="00101E82">
        <w:t>Rezolu</w:t>
      </w:r>
      <w:r w:rsidR="00101E82">
        <w:t>cija Europskog parlamenta od 24</w:t>
      </w:r>
      <w:r w:rsidRPr="00101E82">
        <w:t xml:space="preserve">. </w:t>
      </w:r>
      <w:r w:rsidR="00101E82">
        <w:t xml:space="preserve">travnja </w:t>
      </w:r>
      <w:r w:rsidRPr="00101E82">
        <w:t>2024. o Delegiranoj uredbi Komisije od 14. ožujka 202</w:t>
      </w:r>
      <w:r w:rsidR="00AA6244">
        <w:t>4</w:t>
      </w:r>
      <w:r w:rsidRPr="00101E82">
        <w:t xml:space="preserve">. o izmjeni Uredbe (EU) 2015/2283 Europskog parlamenta i Vijeća o novoj hrani u pogledu definicije „sintetiziranih </w:t>
      </w:r>
      <w:proofErr w:type="spellStart"/>
      <w:r w:rsidRPr="00101E82">
        <w:t>nanomaterijala</w:t>
      </w:r>
      <w:proofErr w:type="spellEnd"/>
      <w:r w:rsidRPr="00101E82">
        <w:t>”</w:t>
      </w:r>
      <w:bookmarkEnd w:id="4"/>
      <w:r w:rsidRPr="00101E82">
        <w:t xml:space="preserve"> </w:t>
      </w:r>
      <w:bookmarkStart w:id="5" w:name="References"/>
      <w:r w:rsidRPr="00101E82">
        <w:t>(C(2024)01612 – 2024/2691(DEA))</w:t>
      </w:r>
      <w:bookmarkEnd w:id="5"/>
    </w:p>
    <w:p w:rsidR="00A4012A" w:rsidRPr="00101E82" w:rsidRDefault="00A4012A" w:rsidP="00A4012A">
      <w:pPr>
        <w:pStyle w:val="EPComma"/>
      </w:pPr>
      <w:bookmarkStart w:id="6" w:name="TextBodyBegin"/>
      <w:bookmarkEnd w:id="6"/>
      <w:r w:rsidRPr="00101E82">
        <w:rPr>
          <w:i/>
          <w:iCs/>
        </w:rPr>
        <w:t>Europski parlament</w:t>
      </w:r>
      <w:r w:rsidRPr="00101E82">
        <w:t>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Delegiranu uredbu Komisije od 14. ožujka 202</w:t>
      </w:r>
      <w:r w:rsidR="00AA6244">
        <w:t>4</w:t>
      </w:r>
      <w:r w:rsidRPr="00101E82">
        <w:t xml:space="preserve">. o izmjeni Uredbe (EU) 2015/2283 Europskog parlamenta i Vijeća o novoj hrani u pogledu definicije „sintetiziranih </w:t>
      </w:r>
      <w:proofErr w:type="spellStart"/>
      <w:r w:rsidRPr="00101E82">
        <w:t>nanomaterijala</w:t>
      </w:r>
      <w:proofErr w:type="spellEnd"/>
      <w:r w:rsidRPr="00101E82">
        <w:t>” (C(2024)01612),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članak 290. Ugovora o funkcioniranju Europske unije (UFEU),</w:t>
      </w:r>
    </w:p>
    <w:p w:rsidR="00A4012A" w:rsidRPr="00101E82" w:rsidRDefault="00A4012A" w:rsidP="00A4012A">
      <w:pPr>
        <w:pStyle w:val="NormalHanging12a"/>
        <w:rPr>
          <w:noProof/>
        </w:rPr>
      </w:pPr>
      <w:r w:rsidRPr="00101E82">
        <w:t>–</w:t>
      </w:r>
      <w:r w:rsidRPr="00101E82">
        <w:tab/>
        <w:t>uzimajući u obzir Uredbu (EU) 2015/2283 Europskog parlamenta i Vijeća od 25. studenoga 2015. o novoj hrani, o izmjeni Uredbe (EU) br. 1169/2011 Europskog parlamenta i Vijeća i o stavljanju izvan snage Uredbe (EZ) br. 258/97 Europskog parlamenta i Vijeća i Uredbe Komisije (EZ) br. 1852/2001</w:t>
      </w:r>
      <w:r w:rsidRPr="00101E82">
        <w:rPr>
          <w:rStyle w:val="FootnoteReference"/>
          <w:noProof/>
          <w:color w:val="000000"/>
          <w:szCs w:val="24"/>
        </w:rPr>
        <w:footnoteReference w:id="1"/>
      </w:r>
      <w:r w:rsidRPr="00101E82">
        <w:t>, a posebno njezin članak 31. i članak 32. stavak 6.,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Uredbu (EU) br. 1169/2011 Europskog parlamenta i Vijeća od 25. listopada 2011. o informiranju potrošača o hrani, izmjeni uredbi (EZ) br. 1924/2006 i (EZ) br. 1925/2006 Europskog parlamenta i Vijeća te o stavljanju izvan snage Direktive Komisije 87/250/EEZ, Direktive Vijeća 90/496/EEZ, Direktive Komisije 1999/10/EZ, Direktive 2000/13/EZ Europskog parlamenta i Vijeća, direktiva Komisije 2002/67/EZ i 2008/5/EZ i Uredbe Komisije (EZ) br. 608/2004</w:t>
      </w:r>
      <w:r w:rsidRPr="00101E82">
        <w:rPr>
          <w:rStyle w:val="FootnoteReference"/>
          <w:noProof/>
          <w:color w:val="000000"/>
          <w:szCs w:val="24"/>
        </w:rPr>
        <w:footnoteReference w:id="2"/>
      </w:r>
      <w:r w:rsidRPr="00101E82">
        <w:t>, a posebno njezin članak 18. stavak 3.,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Uredbu (EZ) br. 1333/2008 Europskog parlamenta i Vijeća od 16. prosinca 2008. o prehrambenim aditivima</w:t>
      </w:r>
      <w:r w:rsidRPr="00101E82">
        <w:rPr>
          <w:rStyle w:val="FootnoteReference"/>
          <w:color w:val="000000"/>
          <w:szCs w:val="24"/>
        </w:rPr>
        <w:footnoteReference w:id="3"/>
      </w:r>
      <w:r w:rsidRPr="00101E82">
        <w:t>,</w:t>
      </w:r>
    </w:p>
    <w:p w:rsidR="00A4012A" w:rsidRPr="00101E82" w:rsidRDefault="00A4012A" w:rsidP="00A4012A">
      <w:pPr>
        <w:pStyle w:val="NormalHanging12a"/>
      </w:pPr>
      <w:r w:rsidRPr="00101E82">
        <w:lastRenderedPageBreak/>
        <w:t>–</w:t>
      </w:r>
      <w:r w:rsidRPr="00101E82">
        <w:tab/>
        <w:t>uzimajući u obzir popise Unije određene Uredbom Komisije (EU) br. 1129/2011 od 11. studenog 2011. o izmjeni Priloga II. Uredbi (EZ) br. 1333/2008 Europskog parlamenta i Vijeća uvođenjem popisa Unije prehrambenih aditiva</w:t>
      </w:r>
      <w:r w:rsidRPr="00101E82">
        <w:rPr>
          <w:rStyle w:val="FootnoteReference"/>
          <w:color w:val="000000"/>
          <w:szCs w:val="24"/>
        </w:rPr>
        <w:footnoteReference w:id="4"/>
      </w:r>
      <w:r w:rsidRPr="00101E82">
        <w:t>i Uredbu Komisije (EU) br. 1130/2011 od 11. studenog 2011. o izmjeni Priloga III. Uredbi (EZ) br. 1333/2008 Europskog parlamenta i Vijeća o prehrambenim aditivima kojom se uspostavlja popis Unije prehrambenih aditiva odobrenih za uporabu u prehrambenim aditivima, prehrambenim enzimima, prehrambenim aromama i prehrambenim tvarima</w:t>
      </w:r>
      <w:r w:rsidRPr="00101E82">
        <w:rPr>
          <w:rStyle w:val="FootnoteReference"/>
          <w:color w:val="000000"/>
          <w:szCs w:val="24"/>
        </w:rPr>
        <w:footnoteReference w:id="5"/>
      </w:r>
      <w:r w:rsidRPr="00101E82">
        <w:t>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Uredbu Komisije (EU) br. 257/2010 od 25. ožujka 2010. o uspostavi programa za ponovnu procjenu odobrenih prehrambenih aditiva u skladu s Uredbom (EZ) br. 1333/2008 Europskog parlamenta i Vijeća o prehrambenim aditivima</w:t>
      </w:r>
      <w:r w:rsidRPr="00101E82">
        <w:rPr>
          <w:rStyle w:val="FootnoteReference"/>
          <w:color w:val="000000"/>
          <w:szCs w:val="24"/>
        </w:rPr>
        <w:footnoteReference w:id="6"/>
      </w:r>
      <w:r w:rsidRPr="00101E82">
        <w:t>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članak 111. stavak 3. Poslovnika,</w:t>
      </w:r>
    </w:p>
    <w:p w:rsidR="00A4012A" w:rsidRPr="00101E82" w:rsidRDefault="00A4012A" w:rsidP="00A4012A">
      <w:pPr>
        <w:pStyle w:val="NormalHanging12a"/>
      </w:pPr>
      <w:r w:rsidRPr="00101E82">
        <w:t>–</w:t>
      </w:r>
      <w:r w:rsidRPr="00101E82">
        <w:tab/>
        <w:t>uzimajući u obzir prijedlog rezolucije Odbora za okoliš, javno zdravlje i sigurnost hrane,</w:t>
      </w:r>
    </w:p>
    <w:p w:rsidR="00A4012A" w:rsidRPr="00101E82" w:rsidRDefault="00A4012A" w:rsidP="00A4012A">
      <w:pPr>
        <w:pStyle w:val="NormalHanging12a"/>
      </w:pPr>
      <w:r w:rsidRPr="00101E82">
        <w:t>A.</w:t>
      </w:r>
      <w:r w:rsidRPr="00101E82">
        <w:tab/>
        <w:t xml:space="preserve">budući da se člankom 18. stavkom 3. Uredbe (EU) br. 1169/2011 propisuje da svi sastojci hrane prisutni u obliku sintetiziranih </w:t>
      </w:r>
      <w:proofErr w:type="spellStart"/>
      <w:r w:rsidRPr="00101E82">
        <w:t>nanomaterijala</w:t>
      </w:r>
      <w:proofErr w:type="spellEnd"/>
      <w:r w:rsidRPr="00101E82">
        <w:t xml:space="preserve"> moraju biti jasno naznačeni na popisu sastojaka hrane radi informiranosti potrošača; budući da se u skladu s time u Uredbi (EU) br. 1169/2011 definiraju „sintetizirani </w:t>
      </w:r>
      <w:proofErr w:type="spellStart"/>
      <w:r w:rsidRPr="00101E82">
        <w:t>nanomaterijali</w:t>
      </w:r>
      <w:proofErr w:type="spellEnd"/>
      <w:r w:rsidRPr="00101E82">
        <w:t>” kako je utvrđeno člankom 3. stavkom 2. točkom (f) Uredbe (EU) 2015/2283;</w:t>
      </w:r>
    </w:p>
    <w:p w:rsidR="00A4012A" w:rsidRPr="00101E82" w:rsidRDefault="00A4012A" w:rsidP="00A4012A">
      <w:pPr>
        <w:pStyle w:val="NormalHanging12a"/>
      </w:pPr>
      <w:r w:rsidRPr="00101E82">
        <w:t>B.</w:t>
      </w:r>
      <w:r w:rsidRPr="00101E82">
        <w:tab/>
        <w:t xml:space="preserve">budući da je člankom 31. Uredbe (EU) 2015/2283 Komisija ovlaštena uskladiti i prilagoditi definiciju „sintetiziranih </w:t>
      </w:r>
      <w:proofErr w:type="spellStart"/>
      <w:r w:rsidRPr="00101E82">
        <w:t>nanomaterijala</w:t>
      </w:r>
      <w:proofErr w:type="spellEnd"/>
      <w:r w:rsidRPr="00101E82">
        <w:t>” navedenu ondje tehničkom i znanstvenom napretku ili definicijama dogovorenima na međunarodnoj razini, i to delegiranim aktima, u svrhu ostvarivanja ciljeva te Uredbe;</w:t>
      </w:r>
    </w:p>
    <w:p w:rsidR="00A4012A" w:rsidRPr="00101E82" w:rsidRDefault="00A4012A" w:rsidP="00A4012A">
      <w:pPr>
        <w:pStyle w:val="NormalHanging12a"/>
      </w:pPr>
      <w:r w:rsidRPr="00101E82">
        <w:t>C.</w:t>
      </w:r>
      <w:r w:rsidRPr="00101E82">
        <w:tab/>
        <w:t>budući da su Uredbom (EU) br. 1129/2011 i Uredbom (EU) br. 1130/2011 određeni detaljni popisi Unije prehrambenih aditiva čija je uporaba dopuštena prije stupanja na snagu Uredbe (EZ) br. 1333/2008 nakon preispitivanja njihove sukladnosti s njezinim odredbama;</w:t>
      </w:r>
    </w:p>
    <w:p w:rsidR="00A4012A" w:rsidRPr="00101E82" w:rsidRDefault="00A4012A" w:rsidP="00A4012A">
      <w:pPr>
        <w:pStyle w:val="NormalHanging12a"/>
        <w:rPr>
          <w:i/>
        </w:rPr>
      </w:pPr>
      <w:r w:rsidRPr="00101E82">
        <w:rPr>
          <w:i/>
        </w:rPr>
        <w:t>Posljedice definicije</w:t>
      </w:r>
    </w:p>
    <w:p w:rsidR="00A4012A" w:rsidRPr="00101E82" w:rsidRDefault="00A4012A" w:rsidP="00A4012A">
      <w:pPr>
        <w:pStyle w:val="NormalHanging12a"/>
      </w:pPr>
      <w:r w:rsidRPr="00101E82">
        <w:t>D.</w:t>
      </w:r>
      <w:r w:rsidRPr="00101E82">
        <w:tab/>
        <w:t xml:space="preserve">budući da će se definicijom „sintetiziranih </w:t>
      </w:r>
      <w:proofErr w:type="spellStart"/>
      <w:r w:rsidRPr="00101E82">
        <w:t>nanomaterijala</w:t>
      </w:r>
      <w:proofErr w:type="spellEnd"/>
      <w:r w:rsidRPr="00101E82">
        <w:t>” u Delegiranoj uredbi Komisije odrediti treba li se hrana označiti riječju „[</w:t>
      </w:r>
      <w:proofErr w:type="spellStart"/>
      <w:r w:rsidRPr="00101E82">
        <w:t>nano</w:t>
      </w:r>
      <w:proofErr w:type="spellEnd"/>
      <w:r w:rsidRPr="00101E82">
        <w:t xml:space="preserve">]” na popisu sastojaka kako je navedeno u članku 18. stavku 3. Uredbe (EU) br. 1169/2011; </w:t>
      </w:r>
    </w:p>
    <w:p w:rsidR="00A4012A" w:rsidRPr="00101E82" w:rsidRDefault="00A4012A" w:rsidP="00A4012A">
      <w:pPr>
        <w:pStyle w:val="NormalHanging12a"/>
      </w:pPr>
      <w:r w:rsidRPr="00101E82">
        <w:t>E.</w:t>
      </w:r>
      <w:r w:rsidRPr="00101E82">
        <w:tab/>
        <w:t xml:space="preserve">budući da je cilj Delegirane uredbe Komisije riješiti pitanja tumačenja koja proizlaze iz postojeće definicije uvođenjem objektivnih elemenata kako bi se utvrdilo je li </w:t>
      </w:r>
      <w:proofErr w:type="spellStart"/>
      <w:r w:rsidRPr="00101E82">
        <w:t>nanomaterijal</w:t>
      </w:r>
      <w:proofErr w:type="spellEnd"/>
      <w:r w:rsidRPr="00101E82">
        <w:t xml:space="preserve"> „sintetiziran” ili nije, primjerice zamjenom izraza „namjerno proizvedeni [materijal]” riječju „proizveden”;</w:t>
      </w:r>
    </w:p>
    <w:p w:rsidR="00A4012A" w:rsidRPr="00101E82" w:rsidRDefault="00A4012A" w:rsidP="00A4012A">
      <w:pPr>
        <w:pStyle w:val="NormalHanging12a"/>
      </w:pPr>
      <w:r w:rsidRPr="00101E82">
        <w:t>F.</w:t>
      </w:r>
      <w:r w:rsidRPr="00101E82">
        <w:tab/>
        <w:t xml:space="preserve">budući da se u Delegiranoj uredbi Komisije sprečava da se čestice koje nisu u krutom stanju kao što su </w:t>
      </w:r>
      <w:proofErr w:type="spellStart"/>
      <w:r w:rsidRPr="00101E82">
        <w:t>micele</w:t>
      </w:r>
      <w:proofErr w:type="spellEnd"/>
      <w:r w:rsidRPr="00101E82">
        <w:t xml:space="preserve">, </w:t>
      </w:r>
      <w:proofErr w:type="spellStart"/>
      <w:r w:rsidRPr="00101E82">
        <w:t>liposomi</w:t>
      </w:r>
      <w:proofErr w:type="spellEnd"/>
      <w:r w:rsidRPr="00101E82">
        <w:t xml:space="preserve"> ili kapljice </w:t>
      </w:r>
      <w:proofErr w:type="spellStart"/>
      <w:r w:rsidRPr="00101E82">
        <w:t>nanoveličine</w:t>
      </w:r>
      <w:proofErr w:type="spellEnd"/>
      <w:r w:rsidRPr="00101E82">
        <w:t xml:space="preserve"> u emulziji i sastojci koji sadržavaju manje od 50 % čestica manjih od 100 nm u hrani smatraju </w:t>
      </w:r>
      <w:proofErr w:type="spellStart"/>
      <w:r w:rsidRPr="00101E82">
        <w:t>nanomaterijalom</w:t>
      </w:r>
      <w:proofErr w:type="spellEnd"/>
      <w:r w:rsidRPr="00101E82">
        <w:t>;</w:t>
      </w:r>
    </w:p>
    <w:p w:rsidR="00A4012A" w:rsidRPr="00101E82" w:rsidRDefault="00A4012A" w:rsidP="00A4012A">
      <w:pPr>
        <w:pStyle w:val="NormalHanging12a"/>
      </w:pPr>
      <w:r w:rsidRPr="00101E82">
        <w:lastRenderedPageBreak/>
        <w:t>G.</w:t>
      </w:r>
      <w:r w:rsidRPr="00101E82">
        <w:tab/>
        <w:t xml:space="preserve">budući da je predložena zadana granična vrijednost od 50 % čestica ili više čestica na </w:t>
      </w:r>
      <w:proofErr w:type="spellStart"/>
      <w:r w:rsidRPr="00101E82">
        <w:t>nanorazini</w:t>
      </w:r>
      <w:proofErr w:type="spellEnd"/>
      <w:r w:rsidRPr="00101E82">
        <w:t xml:space="preserve"> proizvoljna i manje zaštićujuća od tumačenja definicije iz Uredbe (EU) 2015/2283 koje su dale neke države članice, primjerice Francuska; budući da u toj Uredbi granična vrijednost za raspodjelu veličine čestica nije uzeta u obzir za čestice manje od 100 nm;</w:t>
      </w:r>
    </w:p>
    <w:p w:rsidR="00A4012A" w:rsidRPr="00101E82" w:rsidRDefault="00A4012A" w:rsidP="00A4012A">
      <w:pPr>
        <w:spacing w:after="240"/>
        <w:ind w:left="567" w:hanging="567"/>
        <w:jc w:val="both"/>
        <w:rPr>
          <w:szCs w:val="24"/>
        </w:rPr>
      </w:pPr>
      <w:r w:rsidRPr="00101E82">
        <w:t>H.</w:t>
      </w:r>
      <w:r w:rsidRPr="00101E82">
        <w:tab/>
        <w:t xml:space="preserve">budući da bi predložena definicija mogla isključiti mnoge </w:t>
      </w:r>
      <w:proofErr w:type="spellStart"/>
      <w:r w:rsidRPr="00101E82">
        <w:t>nanotvari</w:t>
      </w:r>
      <w:proofErr w:type="spellEnd"/>
      <w:r w:rsidRPr="00101E82">
        <w:t xml:space="preserve"> iz područja primjene Uredbe (EU) br. 1169/2011 koje stoga ne bi podlijegale obvezi označivanja riječju „[</w:t>
      </w:r>
      <w:proofErr w:type="spellStart"/>
      <w:r w:rsidRPr="00101E82">
        <w:t>nano</w:t>
      </w:r>
      <w:proofErr w:type="spellEnd"/>
      <w:r w:rsidRPr="00101E82">
        <w:t xml:space="preserve">]”; budući da Komisija u svom obrazloženju u točki 3. navodi da je „broj materijala koji se koriste u hrani koji mogu sadržavati određeni udio </w:t>
      </w:r>
      <w:proofErr w:type="spellStart"/>
      <w:r w:rsidRPr="00101E82">
        <w:t>nanočestica</w:t>
      </w:r>
      <w:proofErr w:type="spellEnd"/>
      <w:r w:rsidRPr="00101E82">
        <w:t xml:space="preserve"> ograničen, i da većina, ako ne i svi ti materijali nisu novi” te da će se „potencijalni učinci delegiranog akta stoga odnositi na vrlo ograničeni broj materijala”; 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t xml:space="preserve">I. </w:t>
      </w:r>
      <w:r w:rsidRPr="00101E82">
        <w:tab/>
        <w:t xml:space="preserve">budući da trenutačno upravo prehrambeni aditivi mogu biti prisutni u hrani kao </w:t>
      </w:r>
      <w:proofErr w:type="spellStart"/>
      <w:r w:rsidRPr="00101E82">
        <w:t>nanomaterijali</w:t>
      </w:r>
      <w:proofErr w:type="spellEnd"/>
      <w:r w:rsidRPr="00101E82">
        <w:t xml:space="preserve">; budući da je Francuska nacionalna agencija za sigurnost hrane, okoliša i zdravlja na radu (ANSES) navela 37 </w:t>
      </w:r>
      <w:proofErr w:type="spellStart"/>
      <w:r w:rsidRPr="00101E82">
        <w:t>nanotvari</w:t>
      </w:r>
      <w:proofErr w:type="spellEnd"/>
      <w:r w:rsidRPr="00101E82">
        <w:t xml:space="preserve"> koje se upotrebljavaju u više od 900 prehrambenih proizvoda</w:t>
      </w:r>
      <w:r w:rsidRPr="00101E82">
        <w:rPr>
          <w:rStyle w:val="FootnoteReference"/>
          <w:szCs w:val="24"/>
        </w:rPr>
        <w:footnoteReference w:id="7"/>
      </w:r>
      <w:r w:rsidRPr="00101E82">
        <w:t>;</w:t>
      </w:r>
      <w:r w:rsidRPr="00101E82">
        <w:rPr>
          <w:color w:val="0D0D0D"/>
        </w:rPr>
        <w:t xml:space="preserve"> budući da su ispitivanja koja su provele udruge potrošača i nevladine organizacije: „</w:t>
      </w:r>
      <w:proofErr w:type="spellStart"/>
      <w:r w:rsidRPr="00101E82">
        <w:rPr>
          <w:color w:val="0D0D0D"/>
        </w:rPr>
        <w:t>Agir</w:t>
      </w:r>
      <w:proofErr w:type="spellEnd"/>
      <w:r w:rsidRPr="00101E82">
        <w:rPr>
          <w:color w:val="0D0D0D"/>
        </w:rPr>
        <w:t xml:space="preserve"> </w:t>
      </w:r>
      <w:proofErr w:type="spellStart"/>
      <w:r w:rsidRPr="00101E82">
        <w:rPr>
          <w:color w:val="0D0D0D"/>
        </w:rPr>
        <w:t>pour</w:t>
      </w:r>
      <w:proofErr w:type="spellEnd"/>
      <w:r w:rsidRPr="00101E82">
        <w:rPr>
          <w:color w:val="0D0D0D"/>
        </w:rPr>
        <w:t xml:space="preserve"> </w:t>
      </w:r>
      <w:proofErr w:type="spellStart"/>
      <w:r w:rsidRPr="00101E82">
        <w:rPr>
          <w:color w:val="0D0D0D"/>
        </w:rPr>
        <w:t>l’Environnement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8"/>
      </w:r>
      <w:r w:rsidRPr="00101E82">
        <w:rPr>
          <w:color w:val="0D0D0D"/>
        </w:rPr>
        <w:t>, „</w:t>
      </w:r>
      <w:proofErr w:type="spellStart"/>
      <w:r w:rsidRPr="00101E82">
        <w:rPr>
          <w:color w:val="0D0D0D"/>
        </w:rPr>
        <w:t>Que</w:t>
      </w:r>
      <w:proofErr w:type="spellEnd"/>
      <w:r w:rsidRPr="00101E82">
        <w:rPr>
          <w:color w:val="0D0D0D"/>
        </w:rPr>
        <w:t xml:space="preserve"> </w:t>
      </w:r>
      <w:proofErr w:type="spellStart"/>
      <w:r w:rsidRPr="00101E82">
        <w:rPr>
          <w:color w:val="0D0D0D"/>
        </w:rPr>
        <w:t>Choisir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9"/>
      </w:r>
      <w:r w:rsidRPr="00101E82">
        <w:rPr>
          <w:color w:val="0D0D0D"/>
        </w:rPr>
        <w:t xml:space="preserve">, „60 </w:t>
      </w:r>
      <w:proofErr w:type="spellStart"/>
      <w:r w:rsidRPr="00101E82">
        <w:rPr>
          <w:color w:val="0D0D0D"/>
        </w:rPr>
        <w:t>Millions</w:t>
      </w:r>
      <w:proofErr w:type="spellEnd"/>
      <w:r w:rsidRPr="00101E82">
        <w:rPr>
          <w:color w:val="0D0D0D"/>
        </w:rPr>
        <w:t xml:space="preserve"> de </w:t>
      </w:r>
      <w:proofErr w:type="spellStart"/>
      <w:r w:rsidRPr="00101E82">
        <w:rPr>
          <w:color w:val="0D0D0D"/>
        </w:rPr>
        <w:t>consommateurs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10"/>
      </w:r>
      <w:r w:rsidRPr="00101E82">
        <w:rPr>
          <w:color w:val="0D0D0D"/>
        </w:rPr>
        <w:t>, AVICENN</w:t>
      </w:r>
      <w:r w:rsidRPr="00101E82">
        <w:rPr>
          <w:rStyle w:val="FootnoteReference"/>
          <w:color w:val="0D0D0D"/>
          <w:szCs w:val="24"/>
        </w:rPr>
        <w:footnoteReference w:id="11"/>
      </w:r>
      <w:r w:rsidRPr="00101E82">
        <w:rPr>
          <w:color w:val="0D0D0D"/>
        </w:rPr>
        <w:t xml:space="preserve"> u Francuskoj, „</w:t>
      </w:r>
      <w:proofErr w:type="spellStart"/>
      <w:r w:rsidRPr="00101E82">
        <w:rPr>
          <w:color w:val="0D0D0D"/>
        </w:rPr>
        <w:t>Foodwatch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12"/>
      </w:r>
      <w:r w:rsidRPr="00101E82">
        <w:rPr>
          <w:color w:val="0D0D0D"/>
        </w:rPr>
        <w:t xml:space="preserve"> i „</w:t>
      </w:r>
      <w:proofErr w:type="spellStart"/>
      <w:r w:rsidRPr="00101E82">
        <w:rPr>
          <w:color w:val="0D0D0D"/>
        </w:rPr>
        <w:t>Bund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13"/>
      </w:r>
      <w:r w:rsidRPr="00101E82">
        <w:rPr>
          <w:color w:val="0D0D0D"/>
        </w:rPr>
        <w:t xml:space="preserve"> u Njemačkoj, „</w:t>
      </w:r>
      <w:proofErr w:type="spellStart"/>
      <w:r w:rsidRPr="00101E82">
        <w:rPr>
          <w:color w:val="0D0D0D"/>
        </w:rPr>
        <w:t>Testachats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14"/>
      </w:r>
      <w:r w:rsidRPr="00101E82">
        <w:rPr>
          <w:color w:val="0D0D0D"/>
        </w:rPr>
        <w:t xml:space="preserve"> u Belgiji i „</w:t>
      </w:r>
      <w:proofErr w:type="spellStart"/>
      <w:r w:rsidRPr="00101E82">
        <w:rPr>
          <w:color w:val="0D0D0D"/>
        </w:rPr>
        <w:t>Altroconsumo</w:t>
      </w:r>
      <w:proofErr w:type="spellEnd"/>
      <w:r w:rsidRPr="00101E82">
        <w:rPr>
          <w:color w:val="0D0D0D"/>
        </w:rPr>
        <w:t>”</w:t>
      </w:r>
      <w:r w:rsidRPr="00101E82">
        <w:rPr>
          <w:rStyle w:val="FootnoteReference"/>
          <w:color w:val="0D0D0D"/>
          <w:szCs w:val="24"/>
        </w:rPr>
        <w:footnoteReference w:id="15"/>
      </w:r>
      <w:r w:rsidRPr="00101E82">
        <w:rPr>
          <w:color w:val="0D0D0D"/>
        </w:rPr>
        <w:t xml:space="preserve"> u Italiji te OCU u Španjolskoj</w:t>
      </w:r>
      <w:r w:rsidRPr="00101E82">
        <w:rPr>
          <w:rStyle w:val="FootnoteReference"/>
          <w:color w:val="0D0D0D"/>
          <w:szCs w:val="24"/>
        </w:rPr>
        <w:footnoteReference w:id="16"/>
      </w:r>
      <w:r w:rsidRPr="00101E82">
        <w:rPr>
          <w:color w:val="0D0D0D"/>
        </w:rPr>
        <w:t xml:space="preserve"> </w:t>
      </w:r>
      <w:r w:rsidRPr="00101E82">
        <w:t xml:space="preserve">opetovano pokazala prisutnost prehrambenih aditiva sa značajnim postotkom </w:t>
      </w:r>
      <w:proofErr w:type="spellStart"/>
      <w:r w:rsidRPr="00101E82">
        <w:t>nanočestica</w:t>
      </w:r>
      <w:proofErr w:type="spellEnd"/>
      <w:r w:rsidRPr="00101E82">
        <w:t xml:space="preserve"> te da na primjer željezni oksid koji se koristi kao bojilo za hranu (E172) u mliječnim proizvodima, pekarskim proizvodima i određenim žitnim pahuljicama za doručak, može sadržavati </w:t>
      </w:r>
      <w:proofErr w:type="spellStart"/>
      <w:r w:rsidRPr="00101E82">
        <w:t>nanočestice</w:t>
      </w:r>
      <w:proofErr w:type="spellEnd"/>
      <w:r w:rsidRPr="00101E82">
        <w:t xml:space="preserve"> ispod praga od 50 % čestica; </w:t>
      </w:r>
      <w:r w:rsidRPr="00101E82">
        <w:rPr>
          <w:color w:val="0D0D0D"/>
        </w:rPr>
        <w:t>budući da to pokazuje je nedostatak odgovarajućeg označivanja određenih sastojaka hrane kao „[</w:t>
      </w:r>
      <w:proofErr w:type="spellStart"/>
      <w:r w:rsidRPr="00101E82">
        <w:rPr>
          <w:color w:val="0D0D0D"/>
        </w:rPr>
        <w:t>nano</w:t>
      </w:r>
      <w:proofErr w:type="spellEnd"/>
      <w:r w:rsidRPr="00101E82">
        <w:rPr>
          <w:color w:val="0D0D0D"/>
        </w:rPr>
        <w:t xml:space="preserve">]” sastojaka u prvom redu posljedica nedostatka provedbe postojećeg zakonodavstva, a u mnogo manjoj mjeri posljedica tumačenja; 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rPr>
          <w:color w:val="0D0D0D"/>
        </w:rPr>
        <w:t>J.</w:t>
      </w:r>
      <w:r w:rsidRPr="00101E82">
        <w:rPr>
          <w:color w:val="0D0D0D"/>
        </w:rPr>
        <w:tab/>
        <w:t xml:space="preserve">budući da je studija provedena 2020. koju je naručila Europska agencija za kemikalije pokazala da građani zahtijevaju bolje označivanje proizvoda za svakodnevnu uporabu koji sadržavaju </w:t>
      </w:r>
      <w:proofErr w:type="spellStart"/>
      <w:r w:rsidRPr="00101E82">
        <w:rPr>
          <w:color w:val="0D0D0D"/>
        </w:rPr>
        <w:t>nanotvari</w:t>
      </w:r>
      <w:proofErr w:type="spellEnd"/>
      <w:r w:rsidRPr="00101E82">
        <w:rPr>
          <w:rStyle w:val="FootnoteReference"/>
          <w:color w:val="0D0D0D"/>
          <w:szCs w:val="24"/>
        </w:rPr>
        <w:footnoteReference w:id="17"/>
      </w:r>
      <w:r w:rsidRPr="00101E82">
        <w:rPr>
          <w:color w:val="0D0D0D"/>
        </w:rPr>
        <w:t>;</w:t>
      </w:r>
    </w:p>
    <w:p w:rsidR="00A4012A" w:rsidRPr="00101E82" w:rsidRDefault="00A4012A" w:rsidP="00A4012A">
      <w:pPr>
        <w:spacing w:after="240"/>
        <w:jc w:val="both"/>
        <w:rPr>
          <w:i/>
          <w:szCs w:val="24"/>
        </w:rPr>
      </w:pPr>
      <w:r w:rsidRPr="00101E82">
        <w:rPr>
          <w:i/>
        </w:rPr>
        <w:lastRenderedPageBreak/>
        <w:t xml:space="preserve">Proturječja s preporukama i novim znanstvenim dostignućima 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K. </w:t>
      </w:r>
      <w:r w:rsidRPr="00101E82">
        <w:tab/>
        <w:t xml:space="preserve">budući da je Europski parlament u svojoj Rezoluciji od 12. ožujka 2014. o Delegiranoj Uredbi Komisije od 12. prosinca 2013. o izmjeni Uredbe (EU) br. 1169/2011 Europskog parlamenta i Vijeća o informiranju potrošača o hrani u pogledu definicije „proizvedenih </w:t>
      </w:r>
      <w:proofErr w:type="spellStart"/>
      <w:r w:rsidRPr="00101E82">
        <w:t>nanomaterijala</w:t>
      </w:r>
      <w:proofErr w:type="spellEnd"/>
      <w:r w:rsidRPr="00101E82">
        <w:t>”</w:t>
      </w:r>
      <w:r w:rsidRPr="00101E82">
        <w:rPr>
          <w:rStyle w:val="FootnoteReference"/>
          <w:szCs w:val="24"/>
        </w:rPr>
        <w:footnoteReference w:id="18"/>
      </w:r>
      <w:r w:rsidRPr="00101E82">
        <w:t>, uložio prigovor na vrlo sličnu definiciju, s istim pragom od 50 % kojom su bili izuzeti svi prehrambeni aditivi, s obzirom na to da je definicija bila u suprotnosti „s osnovnim ciljem Direktive, a to je visoka razina zaštite zdravlja i interesa potrošača omogućavanjem konačnim potrošačima da biraju na temelju pouzdanih informacija”; budući da je Parlament pozvao Komisiju da podnese novi delegirani akt u kojem će u obzir uzeti njegovo stajalište;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L. </w:t>
      </w:r>
      <w:r w:rsidRPr="00101E82">
        <w:tab/>
        <w:t xml:space="preserve">budući da je Europski parlament u svojoj Rezoluciji od 8. listopada 2020. o Nacrtu uredbe Komisije o izmjeni Priloga Uredbi (EU) br. 231/2012 o utvrđivanju specifikacija za prehrambene aditive navedene u prilozima II. i III. Uredbi (EZ) br. 1333/2008 Europskog parlamenta i Vijeća u pogledu specifikacija za </w:t>
      </w:r>
      <w:proofErr w:type="spellStart"/>
      <w:r w:rsidRPr="00101E82">
        <w:t>titanov</w:t>
      </w:r>
      <w:proofErr w:type="spellEnd"/>
      <w:r w:rsidRPr="00101E82">
        <w:t xml:space="preserve"> dioksid (E 171)</w:t>
      </w:r>
      <w:r w:rsidRPr="00101E82">
        <w:rPr>
          <w:rStyle w:val="FootnoteReference"/>
          <w:szCs w:val="24"/>
        </w:rPr>
        <w:footnoteReference w:id="19"/>
      </w:r>
      <w:r w:rsidRPr="00101E82">
        <w:t xml:space="preserve">, uložio prigovor na Nacrt uredbe Komisije kojim su odobrene serije </w:t>
      </w:r>
      <w:proofErr w:type="spellStart"/>
      <w:r w:rsidRPr="00101E82">
        <w:t>titanovog</w:t>
      </w:r>
      <w:proofErr w:type="spellEnd"/>
      <w:r w:rsidRPr="00101E82">
        <w:t xml:space="preserve"> dioksida (E171) za hranu koja sadrži manje od 50% čestica manjih od 100 nm;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M. </w:t>
      </w:r>
      <w:r w:rsidRPr="00101E82">
        <w:tab/>
        <w:t>budući da je Europska agencija za sigurnost hrane dala preporuku</w:t>
      </w:r>
      <w:r w:rsidRPr="00101E82">
        <w:rPr>
          <w:rStyle w:val="FootnoteReference"/>
          <w:szCs w:val="24"/>
        </w:rPr>
        <w:footnoteReference w:id="20"/>
      </w:r>
      <w:r w:rsidRPr="00101E82">
        <w:t xml:space="preserve"> da bi „ s obzirom na trenutačne neizvjesnosti u pogledu sigurnosti trebalo razmotriti niži prag broja </w:t>
      </w:r>
      <w:proofErr w:type="spellStart"/>
      <w:r w:rsidRPr="00101E82">
        <w:t>nanočestica</w:t>
      </w:r>
      <w:proofErr w:type="spellEnd"/>
      <w:r w:rsidRPr="00101E82">
        <w:t xml:space="preserve"> npr. 10 % za primjene povezane s hranom umjesto praga od 50 % predloženog u preporuci;”;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N. </w:t>
      </w:r>
      <w:r w:rsidRPr="00101E82">
        <w:tab/>
        <w:t>budući da su akademske organizacije, javna tijela, nevladine organizacije za zaštitu potrošača i okoliša i sindikati u postupku savjetovanja sa Komisijom zagovarali definiciju koja bi uključivala sve materijale bilo one proizvedene, slučajne ili prirodne te zadani prag od 10 % ili više čestica u brojčanoj raspodjeli veličine čestica;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rPr>
          <w:color w:val="0D0D0D"/>
        </w:rPr>
        <w:t xml:space="preserve">O. </w:t>
      </w:r>
      <w:r w:rsidRPr="00101E82">
        <w:rPr>
          <w:color w:val="0D0D0D"/>
        </w:rPr>
        <w:tab/>
        <w:t xml:space="preserve">budući da su od 2014. nova znanstvena dostignuća i saznanja potvrdili da </w:t>
      </w:r>
      <w:proofErr w:type="spellStart"/>
      <w:r w:rsidRPr="00101E82">
        <w:rPr>
          <w:color w:val="0D0D0D"/>
        </w:rPr>
        <w:t>nanomaterijali</w:t>
      </w:r>
      <w:proofErr w:type="spellEnd"/>
      <w:r w:rsidRPr="00101E82">
        <w:rPr>
          <w:color w:val="0D0D0D"/>
        </w:rPr>
        <w:t xml:space="preserve"> mogu premostiti fiziološke prepreke i da su često opasniji od tvari u mikro ili makro stanju</w:t>
      </w:r>
      <w:r w:rsidRPr="00101E82">
        <w:rPr>
          <w:rStyle w:val="FootnoteReference"/>
          <w:color w:val="0D0D0D"/>
          <w:szCs w:val="24"/>
        </w:rPr>
        <w:footnoteReference w:id="21"/>
      </w:r>
      <w:r w:rsidRPr="00101E82">
        <w:rPr>
          <w:color w:val="0D0D0D"/>
        </w:rPr>
        <w:t>;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rPr>
          <w:color w:val="0D0D0D"/>
        </w:rPr>
        <w:t xml:space="preserve">P. </w:t>
      </w:r>
      <w:r w:rsidRPr="00101E82">
        <w:rPr>
          <w:color w:val="0D0D0D"/>
        </w:rPr>
        <w:tab/>
        <w:t>budući da je Francuska nacionalna agencija za sigurnost hrane, okoliša i zdravlja na radu (ANSES) u travnju 2023.</w:t>
      </w:r>
      <w:r w:rsidRPr="00101E82">
        <w:rPr>
          <w:rStyle w:val="FootnoteReference"/>
          <w:color w:val="0D0D0D"/>
          <w:szCs w:val="24"/>
        </w:rPr>
        <w:footnoteReference w:id="22"/>
      </w:r>
      <w:r w:rsidRPr="00101E82">
        <w:rPr>
          <w:color w:val="0D0D0D"/>
        </w:rPr>
        <w:t xml:space="preserve"> objavila detaljno izvješće u kojem navodi da bi definicija </w:t>
      </w:r>
      <w:proofErr w:type="spellStart"/>
      <w:r w:rsidRPr="00101E82">
        <w:rPr>
          <w:color w:val="0D0D0D"/>
        </w:rPr>
        <w:t>nanomaterijala</w:t>
      </w:r>
      <w:proofErr w:type="spellEnd"/>
      <w:r w:rsidRPr="00101E82">
        <w:rPr>
          <w:color w:val="0D0D0D"/>
        </w:rPr>
        <w:t xml:space="preserve"> utvrđena u Preporuci Komisije od 10. lipnja 2022.</w:t>
      </w:r>
      <w:r w:rsidRPr="00101E82">
        <w:rPr>
          <w:rStyle w:val="FootnoteReference"/>
          <w:color w:val="0D0D0D"/>
          <w:szCs w:val="24"/>
        </w:rPr>
        <w:footnoteReference w:id="23"/>
      </w:r>
      <w:r w:rsidRPr="00101E82">
        <w:rPr>
          <w:color w:val="0D0D0D"/>
        </w:rPr>
        <w:t xml:space="preserve">, koja je poslužila kao osnova za reviziju definicije „sintetiziranih </w:t>
      </w:r>
      <w:proofErr w:type="spellStart"/>
      <w:r w:rsidRPr="00101E82">
        <w:rPr>
          <w:color w:val="0D0D0D"/>
        </w:rPr>
        <w:t>nanomaterijala</w:t>
      </w:r>
      <w:proofErr w:type="spellEnd"/>
      <w:r w:rsidRPr="00101E82">
        <w:rPr>
          <w:color w:val="0D0D0D"/>
        </w:rPr>
        <w:t xml:space="preserve">” utvrđenih u Uredbi (EU) 2015/2283, sektorskim propisima, posebno u hrani, bila štetna za sprečavanje rizika za zdravlje i okoliš; </w:t>
      </w:r>
      <w:r w:rsidRPr="00101E82">
        <w:t xml:space="preserve">budući da je Francuska nacionalna agencija za sigurnost hrane, okoliša i zdravlja na radu (ANSES) naglasila da granični prag broja </w:t>
      </w:r>
      <w:proofErr w:type="spellStart"/>
      <w:r w:rsidRPr="00101E82">
        <w:lastRenderedPageBreak/>
        <w:t>nanočestica</w:t>
      </w:r>
      <w:proofErr w:type="spellEnd"/>
      <w:r w:rsidRPr="00101E82">
        <w:t xml:space="preserve"> od 50 % uvršten u horizontalnu definiciju „[</w:t>
      </w:r>
      <w:proofErr w:type="spellStart"/>
      <w:r w:rsidRPr="00101E82">
        <w:t>nano</w:t>
      </w:r>
      <w:proofErr w:type="spellEnd"/>
      <w:r w:rsidRPr="00101E82">
        <w:t xml:space="preserve">]” „nije utemeljen na čvrstim znanstvenim argumentima” i preporučila da se za taj prag odredi niža vrijednost; 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rPr>
          <w:color w:val="0D0D0D"/>
        </w:rPr>
        <w:t xml:space="preserve">Q. </w:t>
      </w:r>
      <w:r w:rsidRPr="00101E82">
        <w:rPr>
          <w:color w:val="0D0D0D"/>
        </w:rPr>
        <w:tab/>
        <w:t xml:space="preserve">budući da je otkrivanje </w:t>
      </w:r>
      <w:proofErr w:type="spellStart"/>
      <w:r w:rsidRPr="00101E82">
        <w:rPr>
          <w:color w:val="0D0D0D"/>
        </w:rPr>
        <w:t>nano</w:t>
      </w:r>
      <w:proofErr w:type="spellEnd"/>
      <w:r w:rsidRPr="00101E82">
        <w:rPr>
          <w:color w:val="0D0D0D"/>
        </w:rPr>
        <w:t xml:space="preserve"> sastojaka hrane na temelju praga od 10 % broja </w:t>
      </w:r>
      <w:proofErr w:type="spellStart"/>
      <w:r w:rsidRPr="00101E82">
        <w:rPr>
          <w:color w:val="0D0D0D"/>
        </w:rPr>
        <w:t>nanočestica</w:t>
      </w:r>
      <w:proofErr w:type="spellEnd"/>
      <w:r w:rsidRPr="00101E82">
        <w:rPr>
          <w:color w:val="0D0D0D"/>
        </w:rPr>
        <w:t xml:space="preserve"> izvedivo, s obzirom na to da je to odlučujuća vrijednost koju primjenjuje francuska Glavna uprava za pitanja potrošača, tržišno natjecanje i kontrolu prijevara u svojim kontrolnim aktivnostima</w:t>
      </w:r>
      <w:r w:rsidRPr="00101E82">
        <w:rPr>
          <w:rStyle w:val="FootnoteReference"/>
          <w:color w:val="0D0D0D"/>
          <w:szCs w:val="24"/>
        </w:rPr>
        <w:footnoteReference w:id="24"/>
      </w:r>
      <w:r w:rsidRPr="00101E82">
        <w:rPr>
          <w:color w:val="0D0D0D"/>
        </w:rPr>
        <w:t>;</w:t>
      </w:r>
    </w:p>
    <w:p w:rsidR="00A4012A" w:rsidRPr="00101E82" w:rsidRDefault="00A4012A" w:rsidP="00A4012A">
      <w:pPr>
        <w:spacing w:after="240"/>
        <w:jc w:val="both"/>
        <w:rPr>
          <w:i/>
          <w:color w:val="0D0D0D"/>
          <w:szCs w:val="24"/>
        </w:rPr>
      </w:pPr>
      <w:r w:rsidRPr="00101E82">
        <w:rPr>
          <w:i/>
          <w:color w:val="0D0D0D"/>
        </w:rPr>
        <w:t xml:space="preserve">Načelo predostrožnosti </w:t>
      </w:r>
    </w:p>
    <w:p w:rsidR="00A4012A" w:rsidRPr="00101E82" w:rsidRDefault="00A4012A" w:rsidP="00101E82">
      <w:pPr>
        <w:spacing w:after="240"/>
        <w:ind w:left="567" w:hanging="567"/>
        <w:rPr>
          <w:color w:val="0D0D0D"/>
          <w:szCs w:val="24"/>
        </w:rPr>
      </w:pPr>
      <w:r w:rsidRPr="00101E82">
        <w:rPr>
          <w:color w:val="0D0D0D"/>
        </w:rPr>
        <w:t>R.</w:t>
      </w:r>
      <w:r w:rsidRPr="00101E82">
        <w:rPr>
          <w:color w:val="0D0D0D"/>
        </w:rPr>
        <w:tab/>
        <w:t>budući da je u članku 191. stavku 2. Ugovora o funkcioniranju Europske unije (UFEU) kao jedno od temeljnih načela Unije navedeno načelo predostrožnosti;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S. </w:t>
      </w:r>
      <w:r w:rsidRPr="00101E82">
        <w:tab/>
        <w:t>budući da se člankom 168. stavkom 1. UFEU-a određuje da se pri utvrđivanju i provedbi svih politika i aktivnosti Unije mora zajamčiti visok stupanj zaštite zdravlja ljudi;</w:t>
      </w:r>
    </w:p>
    <w:p w:rsidR="00A4012A" w:rsidRPr="00101E82" w:rsidRDefault="00A4012A" w:rsidP="00101E82">
      <w:pPr>
        <w:pStyle w:val="NormalHanging12a"/>
        <w:rPr>
          <w:szCs w:val="24"/>
        </w:rPr>
      </w:pPr>
      <w:r w:rsidRPr="00101E82">
        <w:t>1.</w:t>
      </w:r>
      <w:r w:rsidRPr="00101E82">
        <w:tab/>
        <w:t>ulaže prigovor na Delegiranu uredbu Komisije;</w:t>
      </w:r>
    </w:p>
    <w:p w:rsidR="00A4012A" w:rsidRPr="00101E82" w:rsidRDefault="00A4012A" w:rsidP="00101E82">
      <w:pPr>
        <w:pStyle w:val="NormalHanging12a"/>
        <w:rPr>
          <w:szCs w:val="24"/>
        </w:rPr>
      </w:pPr>
      <w:r w:rsidRPr="00101E82">
        <w:t>2.</w:t>
      </w:r>
      <w:r w:rsidRPr="00101E82">
        <w:tab/>
        <w:t xml:space="preserve">nalaže svojoj predsjednici da ovu Rezoluciju proslijedi Komisiji te da je obavijesti da Delegirana uredba ne može stupiti na snagu; 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3. </w:t>
      </w:r>
      <w:r w:rsidRPr="00101E82">
        <w:tab/>
        <w:t>smatra da Delegirana uredba Komisije nije sukladna cilju i sadržaju Uredbe (EU) 2015/2283 te da nadilazi ovlasti dodijeljene Komisiji u okviru članka 31. te Uredbe;</w:t>
      </w:r>
    </w:p>
    <w:p w:rsidR="00A4012A" w:rsidRPr="00101E82" w:rsidRDefault="00A4012A" w:rsidP="00101E82">
      <w:pPr>
        <w:spacing w:after="240"/>
        <w:ind w:left="567" w:hanging="567"/>
        <w:rPr>
          <w:szCs w:val="24"/>
        </w:rPr>
      </w:pPr>
      <w:r w:rsidRPr="00101E82">
        <w:t xml:space="preserve">4. </w:t>
      </w:r>
      <w:r w:rsidRPr="00101E82">
        <w:tab/>
        <w:t>žali što predloženi prag od 50 % u obzir ne uzima tehnički i znanstveni napredak;</w:t>
      </w:r>
    </w:p>
    <w:p w:rsidR="00A4012A" w:rsidRPr="00101E82" w:rsidRDefault="00A4012A" w:rsidP="00101E82">
      <w:pPr>
        <w:pStyle w:val="NormalHanging12a"/>
        <w:rPr>
          <w:szCs w:val="24"/>
        </w:rPr>
      </w:pPr>
      <w:r w:rsidRPr="00101E82">
        <w:t xml:space="preserve">5. </w:t>
      </w:r>
      <w:r w:rsidRPr="00101E82">
        <w:tab/>
        <w:t>poziva Komisiju da primijeni načelo predostrožnosti kako bi osigurala sigurnost i informiranost potrošača te da uzme u obzir pristup „Jedno zdravlje”;</w:t>
      </w:r>
    </w:p>
    <w:p w:rsidR="00A4012A" w:rsidRPr="00101E82" w:rsidRDefault="00A4012A" w:rsidP="00101E82">
      <w:pPr>
        <w:ind w:left="567" w:hanging="567"/>
      </w:pPr>
      <w:r w:rsidRPr="00101E82">
        <w:t>6.</w:t>
      </w:r>
      <w:r w:rsidRPr="00101E82">
        <w:tab/>
        <w:t>nalaže svojoj predsjednici da ovu Rezoluciju proslijedi Vijeću te vladama i parlamentima država članica.</w:t>
      </w:r>
    </w:p>
    <w:sectPr w:rsidR="00A4012A" w:rsidRPr="00101E82" w:rsidSect="003D0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A60" w:rsidRPr="003D083E" w:rsidRDefault="00546A60">
      <w:r w:rsidRPr="003D083E">
        <w:separator/>
      </w:r>
    </w:p>
  </w:endnote>
  <w:endnote w:type="continuationSeparator" w:id="0">
    <w:p w:rsidR="00546A60" w:rsidRPr="003D083E" w:rsidRDefault="00546A60">
      <w:r w:rsidRPr="003D0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A60" w:rsidRPr="003D083E" w:rsidRDefault="00546A60">
      <w:r w:rsidRPr="003D083E">
        <w:separator/>
      </w:r>
    </w:p>
  </w:footnote>
  <w:footnote w:type="continuationSeparator" w:id="0">
    <w:p w:rsidR="00546A60" w:rsidRPr="003D083E" w:rsidRDefault="00546A60">
      <w:r w:rsidRPr="003D083E">
        <w:continuationSeparator/>
      </w:r>
    </w:p>
  </w:footnote>
  <w:footnote w:id="1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Pr="003D083E">
        <w:rPr>
          <w:sz w:val="24"/>
          <w:lang w:val="hr-HR"/>
        </w:rPr>
        <w:t xml:space="preserve">SL L 327, 11.12.2015., str. 1. </w:t>
      </w:r>
    </w:p>
  </w:footnote>
  <w:footnote w:id="2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101E82">
        <w:rPr>
          <w:sz w:val="24"/>
          <w:lang w:val="hr-HR"/>
        </w:rPr>
        <w:t>SL L 304, 22.11.</w:t>
      </w:r>
      <w:r w:rsidRPr="003D083E">
        <w:rPr>
          <w:sz w:val="24"/>
          <w:lang w:val="hr-HR"/>
        </w:rPr>
        <w:t>2011., str. 18.</w:t>
      </w:r>
    </w:p>
  </w:footnote>
  <w:footnote w:id="3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Pr="003D083E">
        <w:rPr>
          <w:sz w:val="24"/>
          <w:lang w:val="hr-HR"/>
        </w:rPr>
        <w:t>SL L 354, 31.12.2008., str. 16.</w:t>
      </w:r>
    </w:p>
  </w:footnote>
  <w:footnote w:id="4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101E82">
        <w:rPr>
          <w:sz w:val="24"/>
          <w:lang w:val="hr-HR"/>
        </w:rPr>
        <w:t>SL L 295, 12.11.</w:t>
      </w:r>
      <w:r w:rsidRPr="003D083E">
        <w:rPr>
          <w:sz w:val="24"/>
          <w:lang w:val="hr-HR"/>
        </w:rPr>
        <w:t>2011., str. 1.</w:t>
      </w:r>
    </w:p>
  </w:footnote>
  <w:footnote w:id="5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101E82">
        <w:rPr>
          <w:sz w:val="24"/>
          <w:lang w:val="hr-HR"/>
        </w:rPr>
        <w:t>SL L 295, 12.11.</w:t>
      </w:r>
      <w:r w:rsidRPr="003D083E">
        <w:rPr>
          <w:sz w:val="24"/>
          <w:lang w:val="hr-HR"/>
        </w:rPr>
        <w:t>2011., str. 178.</w:t>
      </w:r>
    </w:p>
  </w:footnote>
  <w:footnote w:id="6">
    <w:p w:rsidR="00A4012A" w:rsidRPr="003D083E" w:rsidRDefault="00A4012A" w:rsidP="003D083E">
      <w:pPr>
        <w:pStyle w:val="FootnoteText"/>
        <w:ind w:left="567" w:hanging="567"/>
        <w:rPr>
          <w:sz w:val="24"/>
          <w:lang w:val="hr-HR"/>
        </w:rPr>
      </w:pPr>
      <w:r w:rsidRPr="003D083E">
        <w:rPr>
          <w:rStyle w:val="FootnoteReference"/>
          <w:sz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Pr="003D083E">
        <w:rPr>
          <w:sz w:val="24"/>
          <w:lang w:val="hr-HR"/>
        </w:rPr>
        <w:t>SL L 80, 26.3.2010., str. 19.</w:t>
      </w:r>
    </w:p>
  </w:footnote>
  <w:footnote w:id="7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"https://www.anses.fr/fr/nanomateriaux-alimentation-premiere-application-methodologie"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https://www.anses.fr/fr/nanomateriaux-alimentation-premiere-application-methodologie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  <w:r w:rsidRPr="003D083E">
        <w:rPr>
          <w:color w:val="1155CC"/>
          <w:sz w:val="24"/>
          <w:u w:val="single"/>
          <w:lang w:val="hr-HR"/>
        </w:rPr>
        <w:t xml:space="preserve"> </w:t>
      </w:r>
    </w:p>
  </w:footnote>
  <w:footnote w:id="8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"https://www.agirpourlenvironnement.org/communiques-presse/enquete-exclusive-des-analyses-revelent-la-presence-de-nanoparticules-dans-3980/" </w:instrText>
      </w:r>
      <w:r w:rsidR="00693E5F">
        <w:fldChar w:fldCharType="separate"/>
      </w:r>
      <w:r w:rsidRPr="003D083E">
        <w:rPr>
          <w:rStyle w:val="Hyperlink"/>
          <w:sz w:val="24"/>
          <w:lang w:val="hr-HR"/>
        </w:rPr>
        <w:t>https://www.agirpourlenvironnement.org/communiques-presse/enquete-exclusive-des-analyses-revelent-la-presence-de-nanoparticules-dans-3980/</w:t>
      </w:r>
      <w:r w:rsidR="00693E5F">
        <w:rPr>
          <w:rStyle w:val="Hyperlink"/>
          <w:sz w:val="24"/>
          <w:lang w:val="hr-HR"/>
        </w:rPr>
        <w:fldChar w:fldCharType="end"/>
      </w:r>
      <w:r w:rsidRPr="003D083E">
        <w:rPr>
          <w:rStyle w:val="Hyperlink"/>
          <w:sz w:val="24"/>
          <w:lang w:val="hr-HR"/>
        </w:rPr>
        <w:t>.</w:t>
      </w:r>
    </w:p>
  </w:footnote>
  <w:footnote w:id="9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"https://www.quechoisir.org/enquete-nanoparticules-taille-mini-doutes-maxi-n50748/"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https://www.quechoisir.org/enquete-nanoparticules-taille-mini-doutes-maxi-n50748/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  <w:r w:rsidRPr="003D083E">
        <w:rPr>
          <w:color w:val="1155CC"/>
          <w:sz w:val="24"/>
          <w:u w:val="single"/>
          <w:lang w:val="hr-HR"/>
        </w:rPr>
        <w:t xml:space="preserve"> </w:t>
      </w:r>
    </w:p>
  </w:footnote>
  <w:footnote w:id="10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"https://biblioth</w:instrText>
      </w:r>
      <w:r w:rsidR="00693E5F" w:rsidRPr="00693E5F">
        <w:rPr>
          <w:lang w:val="hr-HR"/>
        </w:rPr>
        <w:instrText xml:space="preserve">eque.60millions-mag.com/detail/publication/detail-top-right/561?issue_id=113421&amp;switch_toc=archive"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https://bibliotheque.60millions-mag.com/detail/publication/detail-top-right/561?issue_id=113421&amp;switch_toc=archive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11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"https://veillenanos.fr</w:instrText>
      </w:r>
      <w:r w:rsidR="00693E5F" w:rsidRPr="00693E5F">
        <w:rPr>
          <w:lang w:val="hr-HR"/>
        </w:rPr>
        <w:instrText xml:space="preserve">/wp-content/uploads/2023/01/Rapport-test-EN-20230113.pdf"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https://veillenanos.fr/wp-content/uploads/2023/01/Rapport-test-EN-20230113.pdf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12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"https://www.foodwatch.org/de/potenziell-krebserregender-farbstoff-in-backzutaten-von-dr-oetker"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https://www.foodwatch.org/de/potenziell-krebserregender-farbstoff-in-backzutaten-von-dr-oetker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13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"https://www.bund.net/fileadmin/user_upload_bund/publikationen/chemie/nanotechnologie_in_lebensmitteln_hintergrund.pdf"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https://www.bund.net/fileadmin/user_upload_bund/publikationen/chemie/‌nanotechnologie_in_lebensmitteln_hintergrund.pdf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14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"https://www.test-achats.be/sante/sante-au-quotidien/produits-testes/news/nanoparticules-affichage"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https://www.test-achats.be/sante/sante-au-quotidien/produits-testes/news/nanoparticules-affichage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  <w:r w:rsidRPr="003D083E">
        <w:rPr>
          <w:color w:val="1155CC"/>
          <w:sz w:val="24"/>
          <w:u w:val="single"/>
          <w:lang w:val="hr-HR"/>
        </w:rPr>
        <w:t xml:space="preserve"> </w:t>
      </w:r>
    </w:p>
  </w:footnote>
  <w:footnote w:id="15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"https://www.altroconsumo.it/alimentazione/sicurezza-alimentare/news/nanoparticelle"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https://www.altroconsumo.it/alimentazione/sicurezza-alimentare/news/nanoparticelle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16">
    <w:p w:rsidR="00A4012A" w:rsidRPr="003D083E" w:rsidRDefault="00A4012A" w:rsidP="003D083E">
      <w:pPr>
        <w:ind w:left="567" w:hanging="567"/>
        <w:rPr>
          <w:color w:val="1155CC"/>
          <w:szCs w:val="24"/>
          <w:u w:val="single"/>
        </w:rPr>
      </w:pPr>
      <w:r w:rsidRPr="003D083E">
        <w:rPr>
          <w:rStyle w:val="FootnoteReference"/>
          <w:szCs w:val="24"/>
        </w:rPr>
        <w:footnoteRef/>
      </w:r>
      <w:r w:rsidR="003D083E" w:rsidRPr="003D083E">
        <w:t xml:space="preserve"> </w:t>
      </w:r>
      <w:r w:rsidR="003D083E" w:rsidRPr="003D083E">
        <w:tab/>
      </w:r>
      <w:hyperlink r:id="rId1" w:history="1">
        <w:r w:rsidRPr="003D083E">
          <w:rPr>
            <w:rStyle w:val="Hyperlink"/>
          </w:rPr>
          <w:t>https://www.ocu.org/toda-la-informacion?type=magazine-articles&amp;magazine=ocu%20compra%20maestra&amp;year=2019</w:t>
        </w:r>
      </w:hyperlink>
      <w:r w:rsidRPr="003D083E">
        <w:rPr>
          <w:rStyle w:val="Hyperlink"/>
        </w:rPr>
        <w:t>.</w:t>
      </w:r>
    </w:p>
  </w:footnote>
  <w:footnote w:id="17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"https://echa.e</w:instrText>
      </w:r>
      <w:r w:rsidR="00693E5F" w:rsidRPr="00693E5F">
        <w:rPr>
          <w:lang w:val="hr-HR"/>
        </w:rPr>
        <w:instrText xml:space="preserve">uropa.eu/-/what-do-eu-citizens-think-about-nanomaterials-" </w:instrText>
      </w:r>
      <w:r w:rsidR="00693E5F">
        <w:fldChar w:fldCharType="separate"/>
      </w:r>
      <w:r w:rsidRPr="003D083E">
        <w:rPr>
          <w:rStyle w:val="Hyperlink"/>
          <w:sz w:val="24"/>
          <w:lang w:val="hr-HR"/>
        </w:rPr>
        <w:t>https://echa.europa.eu/-/what-do-eu-citizens-think-about-nanomaterials-</w:t>
      </w:r>
      <w:r w:rsidR="00693E5F">
        <w:rPr>
          <w:rStyle w:val="Hyperlink"/>
          <w:sz w:val="24"/>
          <w:lang w:val="hr-HR"/>
        </w:rPr>
        <w:fldChar w:fldCharType="end"/>
      </w:r>
      <w:r w:rsidRPr="003D083E">
        <w:rPr>
          <w:rStyle w:val="Hyperlink"/>
          <w:sz w:val="24"/>
          <w:lang w:val="hr-HR"/>
        </w:rPr>
        <w:t>.</w:t>
      </w:r>
      <w:r w:rsidRPr="003D083E">
        <w:rPr>
          <w:sz w:val="24"/>
          <w:lang w:val="hr-HR"/>
        </w:rPr>
        <w:t xml:space="preserve"> </w:t>
      </w:r>
    </w:p>
  </w:footnote>
  <w:footnote w:id="18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Pr="003D083E">
        <w:rPr>
          <w:sz w:val="24"/>
          <w:lang w:val="hr-HR"/>
        </w:rPr>
        <w:t>SL C 378, 9.11.2017</w:t>
      </w:r>
      <w:r w:rsidR="00101E82">
        <w:rPr>
          <w:sz w:val="24"/>
          <w:lang w:val="hr-HR"/>
        </w:rPr>
        <w:t>.</w:t>
      </w:r>
      <w:r w:rsidRPr="003D083E">
        <w:rPr>
          <w:sz w:val="24"/>
          <w:lang w:val="hr-HR"/>
        </w:rPr>
        <w:t>, str. 92.</w:t>
      </w:r>
    </w:p>
  </w:footnote>
  <w:footnote w:id="19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szCs w:val="22"/>
          <w:lang w:val="hr-HR"/>
        </w:rPr>
        <w:t xml:space="preserve"> </w:t>
      </w:r>
      <w:r w:rsidR="003D083E" w:rsidRPr="003D083E">
        <w:rPr>
          <w:sz w:val="24"/>
          <w:szCs w:val="22"/>
          <w:lang w:val="hr-HR"/>
        </w:rPr>
        <w:tab/>
      </w:r>
      <w:r w:rsidR="00101E82">
        <w:rPr>
          <w:sz w:val="24"/>
          <w:szCs w:val="22"/>
          <w:lang w:val="hr-HR"/>
        </w:rPr>
        <w:t>SL C 395, 29.3.2021.</w:t>
      </w:r>
      <w:r w:rsidRPr="003D083E">
        <w:rPr>
          <w:sz w:val="24"/>
          <w:szCs w:val="22"/>
          <w:lang w:val="hr-HR"/>
        </w:rPr>
        <w:t>, str. 28.</w:t>
      </w:r>
    </w:p>
  </w:footnote>
  <w:footnote w:id="20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"https://www.efsa.europa.eu/sites/defa</w:instrText>
      </w:r>
      <w:r w:rsidR="00693E5F" w:rsidRPr="00693E5F">
        <w:rPr>
          <w:lang w:val="hr-HR"/>
        </w:rPr>
        <w:instrText xml:space="preserve">ult/files/assets/corporatenanotechnology121003.pdf" </w:instrText>
      </w:r>
      <w:r w:rsidR="00693E5F">
        <w:fldChar w:fldCharType="separate"/>
      </w:r>
      <w:r w:rsidRPr="003D083E">
        <w:rPr>
          <w:rStyle w:val="Hyperlink"/>
          <w:sz w:val="24"/>
          <w:lang w:val="hr-HR"/>
        </w:rPr>
        <w:t>https://www.efsa.europa.eu/sites/default/files/assets/corporatenanotechnology121003.pdf</w:t>
      </w:r>
      <w:r w:rsidR="00693E5F">
        <w:rPr>
          <w:rStyle w:val="Hyperlink"/>
          <w:sz w:val="24"/>
          <w:lang w:val="hr-HR"/>
        </w:rPr>
        <w:fldChar w:fldCharType="end"/>
      </w:r>
      <w:r w:rsidRPr="003D083E">
        <w:rPr>
          <w:rStyle w:val="Hyperlink"/>
          <w:sz w:val="24"/>
          <w:lang w:val="hr-HR"/>
        </w:rPr>
        <w:t>.</w:t>
      </w:r>
    </w:p>
  </w:footnote>
  <w:footnote w:id="21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"https://veillenanos.fr/en/dossier/nanos-and-health/nanos-health-risks/"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https://veillenanos.fr/en/dossier/nanos-and-health/nanos-health-risks/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22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szCs w:val="22"/>
          <w:lang w:val="hr-HR"/>
        </w:rPr>
        <w:t xml:space="preserve"> </w:t>
      </w:r>
      <w:r w:rsidR="003D083E" w:rsidRPr="003D083E">
        <w:rPr>
          <w:sz w:val="24"/>
          <w:szCs w:val="22"/>
          <w:lang w:val="hr-HR"/>
        </w:rPr>
        <w:tab/>
      </w:r>
      <w:r w:rsidRPr="003D083E">
        <w:rPr>
          <w:sz w:val="24"/>
          <w:szCs w:val="22"/>
          <w:lang w:val="hr-HR"/>
        </w:rPr>
        <w:t xml:space="preserve">Mišljenje Francuske nacionalne agencije za sigurnost hrane, okoliša i zdravlja na radu (ANSES) (2023.): </w:t>
      </w:r>
      <w:r w:rsidRPr="003D083E">
        <w:rPr>
          <w:sz w:val="24"/>
          <w:lang w:val="hr-HR"/>
        </w:rPr>
        <w:t xml:space="preserve">Definicija </w:t>
      </w:r>
      <w:proofErr w:type="spellStart"/>
      <w:r w:rsidRPr="003D083E">
        <w:rPr>
          <w:sz w:val="24"/>
          <w:lang w:val="hr-HR"/>
        </w:rPr>
        <w:t>nanomaterijala</w:t>
      </w:r>
      <w:proofErr w:type="spellEnd"/>
      <w:r w:rsidRPr="003D083E">
        <w:rPr>
          <w:sz w:val="24"/>
          <w:lang w:val="hr-HR"/>
        </w:rPr>
        <w:t>: analize, izazovi i kontroverze,</w:t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"https://www.anses.fr/en/system/files/AP2018SA0168RaEN.pdf" </w:instrText>
      </w:r>
      <w:r w:rsidR="00693E5F">
        <w:fldChar w:fldCharType="separate"/>
      </w:r>
      <w:r w:rsidRPr="003D083E">
        <w:rPr>
          <w:rStyle w:val="Hyperlink"/>
          <w:sz w:val="24"/>
          <w:lang w:val="hr-HR"/>
        </w:rPr>
        <w:t xml:space="preserve"> </w:t>
      </w:r>
      <w:r w:rsidR="00693E5F">
        <w:rPr>
          <w:rStyle w:val="Hyperlink"/>
          <w:sz w:val="24"/>
          <w:lang w:val="hr-HR"/>
        </w:rPr>
        <w:fldChar w:fldCharType="end"/>
      </w:r>
      <w:r w:rsidR="00693E5F">
        <w:fldChar w:fldCharType="begin"/>
      </w:r>
      <w:r w:rsidR="00693E5F" w:rsidRPr="00693E5F">
        <w:rPr>
          <w:lang w:val="hr-HR"/>
        </w:rPr>
        <w:instrText xml:space="preserve"> HYPERLINK "https://www.anses.fr/en/system/files/AP2018SA0168RaEN.pdf" </w:instrText>
      </w:r>
      <w:r w:rsidR="00693E5F">
        <w:fldChar w:fldCharType="separate"/>
      </w:r>
      <w:r w:rsidRPr="003D083E">
        <w:rPr>
          <w:rStyle w:val="Hyperlink"/>
          <w:color w:val="1155CC"/>
          <w:sz w:val="24"/>
          <w:lang w:val="hr-HR"/>
        </w:rPr>
        <w:t>https://www.anses.fr/en/system/files/AP2018SA0168RaEN.pdf</w:t>
      </w:r>
      <w:r w:rsidR="00693E5F">
        <w:rPr>
          <w:rStyle w:val="Hyperlink"/>
          <w:color w:val="1155CC"/>
          <w:sz w:val="24"/>
          <w:lang w:val="hr-HR"/>
        </w:rPr>
        <w:fldChar w:fldCharType="end"/>
      </w:r>
      <w:r w:rsidRPr="003D083E">
        <w:rPr>
          <w:rStyle w:val="Hyperlink"/>
          <w:color w:val="1155CC"/>
          <w:sz w:val="24"/>
          <w:lang w:val="hr-HR"/>
        </w:rPr>
        <w:t>.</w:t>
      </w:r>
    </w:p>
  </w:footnote>
  <w:footnote w:id="23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lang w:val="hr-HR"/>
        </w:rPr>
        <w:t xml:space="preserve"> </w:t>
      </w:r>
      <w:r w:rsidR="003D083E" w:rsidRPr="003D083E">
        <w:rPr>
          <w:sz w:val="24"/>
          <w:lang w:val="hr-HR"/>
        </w:rPr>
        <w:tab/>
      </w:r>
      <w:r w:rsidRPr="003D083E">
        <w:rPr>
          <w:sz w:val="24"/>
          <w:lang w:val="hr-HR"/>
        </w:rPr>
        <w:t xml:space="preserve">Preporuka Komisije od 10. lipnja 2022. o definiciji </w:t>
      </w:r>
      <w:proofErr w:type="spellStart"/>
      <w:r w:rsidRPr="003D083E">
        <w:rPr>
          <w:sz w:val="24"/>
          <w:lang w:val="hr-HR"/>
        </w:rPr>
        <w:t>nanomaterijala</w:t>
      </w:r>
      <w:proofErr w:type="spellEnd"/>
      <w:r w:rsidRPr="003D083E">
        <w:rPr>
          <w:sz w:val="24"/>
          <w:lang w:val="hr-HR"/>
        </w:rPr>
        <w:t xml:space="preserve"> (SL C 229, 14.6.2022., str. 1.).</w:t>
      </w:r>
    </w:p>
  </w:footnote>
  <w:footnote w:id="24">
    <w:p w:rsidR="00A4012A" w:rsidRPr="003D083E" w:rsidRDefault="00A4012A" w:rsidP="003D083E">
      <w:pPr>
        <w:pStyle w:val="FootnoteText"/>
        <w:ind w:left="567" w:hanging="567"/>
        <w:rPr>
          <w:sz w:val="24"/>
          <w:szCs w:val="24"/>
          <w:lang w:val="hr-HR"/>
        </w:rPr>
      </w:pPr>
      <w:r w:rsidRPr="003D083E">
        <w:rPr>
          <w:rStyle w:val="FootnoteReference"/>
          <w:sz w:val="24"/>
          <w:szCs w:val="24"/>
          <w:lang w:val="hr-HR"/>
        </w:rPr>
        <w:footnoteRef/>
      </w:r>
      <w:r w:rsidR="003D083E" w:rsidRPr="003D083E">
        <w:rPr>
          <w:sz w:val="24"/>
          <w:szCs w:val="22"/>
          <w:lang w:val="hr-HR"/>
        </w:rPr>
        <w:t xml:space="preserve"> </w:t>
      </w:r>
      <w:r w:rsidR="003D083E" w:rsidRPr="003D083E">
        <w:rPr>
          <w:sz w:val="24"/>
          <w:szCs w:val="22"/>
          <w:lang w:val="hr-HR"/>
        </w:rPr>
        <w:tab/>
      </w:r>
      <w:r w:rsidRPr="003D083E">
        <w:rPr>
          <w:sz w:val="24"/>
          <w:szCs w:val="22"/>
          <w:lang w:val="hr-HR"/>
        </w:rPr>
        <w:t>Francuska nacionalna agencija za sigurnost hrane, okoliša i zdravlja na radu (ANSES) (2020.):</w:t>
      </w:r>
      <w:r w:rsidRPr="003D083E">
        <w:rPr>
          <w:sz w:val="24"/>
          <w:lang w:val="hr-HR"/>
        </w:rPr>
        <w:t xml:space="preserve"> </w:t>
      </w:r>
      <w:proofErr w:type="spellStart"/>
      <w:r w:rsidRPr="003D083E">
        <w:rPr>
          <w:sz w:val="24"/>
          <w:lang w:val="hr-HR"/>
        </w:rPr>
        <w:t>Nanomatériaux</w:t>
      </w:r>
      <w:proofErr w:type="spellEnd"/>
      <w:r w:rsidRPr="003D083E">
        <w:rPr>
          <w:sz w:val="24"/>
          <w:lang w:val="hr-HR"/>
        </w:rPr>
        <w:t xml:space="preserve"> </w:t>
      </w:r>
      <w:proofErr w:type="spellStart"/>
      <w:r w:rsidRPr="003D083E">
        <w:rPr>
          <w:sz w:val="24"/>
          <w:lang w:val="hr-HR"/>
        </w:rPr>
        <w:t>dans</w:t>
      </w:r>
      <w:proofErr w:type="spellEnd"/>
      <w:r w:rsidRPr="003D083E">
        <w:rPr>
          <w:sz w:val="24"/>
          <w:lang w:val="hr-HR"/>
        </w:rPr>
        <w:t xml:space="preserve"> les </w:t>
      </w:r>
      <w:proofErr w:type="spellStart"/>
      <w:r w:rsidRPr="003D083E">
        <w:rPr>
          <w:sz w:val="24"/>
          <w:lang w:val="hr-HR"/>
        </w:rPr>
        <w:t>produits</w:t>
      </w:r>
      <w:proofErr w:type="spellEnd"/>
      <w:r w:rsidRPr="003D083E">
        <w:rPr>
          <w:sz w:val="24"/>
          <w:lang w:val="hr-HR"/>
        </w:rPr>
        <w:t xml:space="preserve"> </w:t>
      </w:r>
      <w:proofErr w:type="spellStart"/>
      <w:r w:rsidRPr="003D083E">
        <w:rPr>
          <w:sz w:val="24"/>
          <w:lang w:val="hr-HR"/>
        </w:rPr>
        <w:t>destinés</w:t>
      </w:r>
      <w:proofErr w:type="spellEnd"/>
      <w:r w:rsidRPr="003D083E">
        <w:rPr>
          <w:sz w:val="24"/>
          <w:lang w:val="hr-HR"/>
        </w:rPr>
        <w:t xml:space="preserve"> à </w:t>
      </w:r>
      <w:proofErr w:type="spellStart"/>
      <w:r w:rsidRPr="003D083E">
        <w:rPr>
          <w:sz w:val="24"/>
          <w:lang w:val="hr-HR"/>
        </w:rPr>
        <w:t>l’alimentation</w:t>
      </w:r>
      <w:proofErr w:type="spellEnd"/>
      <w:r w:rsidRPr="003D083E">
        <w:rPr>
          <w:sz w:val="24"/>
          <w:lang w:val="hr-HR"/>
        </w:rPr>
        <w:t xml:space="preserve">. </w:t>
      </w:r>
      <w:proofErr w:type="spellStart"/>
      <w:r w:rsidRPr="003D083E">
        <w:rPr>
          <w:sz w:val="24"/>
          <w:lang w:val="hr-HR"/>
        </w:rPr>
        <w:t>Rapport</w:t>
      </w:r>
      <w:proofErr w:type="spellEnd"/>
      <w:r w:rsidRPr="003D083E">
        <w:rPr>
          <w:sz w:val="24"/>
          <w:lang w:val="hr-HR"/>
        </w:rPr>
        <w:t xml:space="preserve"> </w:t>
      </w:r>
      <w:proofErr w:type="spellStart"/>
      <w:r w:rsidRPr="003D083E">
        <w:rPr>
          <w:sz w:val="24"/>
          <w:lang w:val="hr-HR"/>
        </w:rPr>
        <w:t>d’expertise</w:t>
      </w:r>
      <w:proofErr w:type="spellEnd"/>
      <w:r w:rsidRPr="003D083E">
        <w:rPr>
          <w:sz w:val="24"/>
          <w:lang w:val="hr-HR"/>
        </w:rPr>
        <w:t xml:space="preserve"> </w:t>
      </w:r>
      <w:proofErr w:type="spellStart"/>
      <w:r w:rsidRPr="003D083E">
        <w:rPr>
          <w:sz w:val="24"/>
          <w:lang w:val="hr-HR"/>
        </w:rPr>
        <w:t>collective</w:t>
      </w:r>
      <w:proofErr w:type="spellEnd"/>
      <w:r w:rsidRPr="003D083E">
        <w:rPr>
          <w:sz w:val="24"/>
          <w:lang w:val="hr-HR"/>
        </w:rPr>
        <w:t xml:space="preserve"> (</w:t>
      </w:r>
      <w:proofErr w:type="spellStart"/>
      <w:r w:rsidRPr="003D083E">
        <w:rPr>
          <w:i/>
          <w:iCs/>
          <w:sz w:val="24"/>
          <w:lang w:val="hr-HR"/>
        </w:rPr>
        <w:t>Nanomaterijali</w:t>
      </w:r>
      <w:proofErr w:type="spellEnd"/>
      <w:r w:rsidRPr="003D083E">
        <w:rPr>
          <w:i/>
          <w:iCs/>
          <w:sz w:val="24"/>
          <w:lang w:val="hr-HR"/>
        </w:rPr>
        <w:t xml:space="preserve"> u prehrambenim proizvodima. </w:t>
      </w:r>
      <w:r w:rsidRPr="003D083E">
        <w:rPr>
          <w:i/>
          <w:iCs/>
          <w:sz w:val="24"/>
          <w:lang w:val="hr-HR"/>
        </w:rPr>
        <w:t>Izvješće na temelju zajedničke stručne procjene</w:t>
      </w:r>
      <w:r w:rsidRPr="003D083E">
        <w:rPr>
          <w:sz w:val="24"/>
          <w:lang w:val="hr-HR"/>
        </w:rPr>
        <w:t>),</w:t>
      </w:r>
      <w:hyperlink r:id="rId2" w:history="1">
        <w:r w:rsidRPr="003D083E">
          <w:rPr>
            <w:rStyle w:val="Hyperlink"/>
            <w:sz w:val="24"/>
            <w:lang w:val="hr-HR"/>
          </w:rPr>
          <w:t xml:space="preserve"> </w:t>
        </w:r>
      </w:hyperlink>
      <w:hyperlink r:id="rId3" w:history="1">
        <w:r w:rsidRPr="003D083E">
          <w:rPr>
            <w:rStyle w:val="Hyperlink"/>
            <w:color w:val="1155CC"/>
            <w:sz w:val="24"/>
            <w:lang w:val="hr-HR"/>
          </w:rPr>
          <w:t>https://www.anses.fr/fr/system/files/ERCA2016SA0226Ra.pdf</w:t>
        </w:r>
      </w:hyperlink>
      <w:r w:rsidRPr="003D083E">
        <w:rPr>
          <w:sz w:val="24"/>
          <w:lang w:val="hr-HR"/>
        </w:rPr>
        <w:t xml:space="preserve"> (str. 86</w:t>
      </w:r>
      <w:r w:rsidR="00693E5F">
        <w:rPr>
          <w:sz w:val="24"/>
          <w:lang w:val="hr-HR"/>
        </w:rPr>
        <w:t>.</w:t>
      </w:r>
      <w:bookmarkStart w:id="7" w:name="_GoBack"/>
      <w:bookmarkEnd w:id="7"/>
      <w:r w:rsidRPr="003D083E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08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HR"/>
    <w:docVar w:name="dvnumam" w:val="0"/>
    <w:docVar w:name="dvpe" w:val="760.689"/>
    <w:docVar w:name="dvtitre" w:val="Rezolucija Europskog parlamenta od .... 2024. o Delegiranoj uredbi Komisije od 14. ožujka 2023. o izmjeni Uredbe (EU) 2015/2283 Europskog parlamenta i Vijeća o novoj hrani u pogledu definicije „sintetiziranih nanomaterijala”(C(2024)01612 – 2024/2691(DEA))"/>
  </w:docVars>
  <w:rsids>
    <w:rsidRoot w:val="00546A60"/>
    <w:rsid w:val="00002272"/>
    <w:rsid w:val="00064002"/>
    <w:rsid w:val="000677B9"/>
    <w:rsid w:val="000831BA"/>
    <w:rsid w:val="00090CCF"/>
    <w:rsid w:val="000A42CC"/>
    <w:rsid w:val="000E7DD9"/>
    <w:rsid w:val="0010095E"/>
    <w:rsid w:val="00101E8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83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A60"/>
    <w:rsid w:val="00560270"/>
    <w:rsid w:val="005C2568"/>
    <w:rsid w:val="006037C0"/>
    <w:rsid w:val="006631B6"/>
    <w:rsid w:val="00680577"/>
    <w:rsid w:val="00693E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12A"/>
    <w:rsid w:val="00A43E52"/>
    <w:rsid w:val="00A4678D"/>
    <w:rsid w:val="00A778C7"/>
    <w:rsid w:val="00AA6244"/>
    <w:rsid w:val="00AB441E"/>
    <w:rsid w:val="00AB6293"/>
    <w:rsid w:val="00AE0928"/>
    <w:rsid w:val="00AF3B82"/>
    <w:rsid w:val="00B12E95"/>
    <w:rsid w:val="00B22876"/>
    <w:rsid w:val="00B558F0"/>
    <w:rsid w:val="00B74D0B"/>
    <w:rsid w:val="00BD48FE"/>
    <w:rsid w:val="00BD7BD8"/>
    <w:rsid w:val="00BE6ADC"/>
    <w:rsid w:val="00C05BFE"/>
    <w:rsid w:val="00C23CD4"/>
    <w:rsid w:val="00C61C0C"/>
    <w:rsid w:val="00C941CB"/>
    <w:rsid w:val="00CA334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6B110"/>
  <w15:chartTrackingRefBased/>
  <w15:docId w15:val="{D0799E11-CDCB-4526-82FB-940668BD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012A"/>
    <w:pPr>
      <w:spacing w:before="480" w:after="240"/>
    </w:pPr>
  </w:style>
  <w:style w:type="paragraph" w:customStyle="1" w:styleId="NormalHanging12a">
    <w:name w:val="NormalHanging12a"/>
    <w:basedOn w:val="Normal"/>
    <w:rsid w:val="00A4012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401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74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4D0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ocu.org/toda-la-informacion?type=magazine-articles&amp;magazine=ocu%20compra%20maestra&amp;year=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DD444-B38E-4F8C-8776-EEF6E94B7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1588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2024-09-09T13:08:00Z</dcterms:created>
  <dcterms:modified xsi:type="dcterms:W3CDTF">2024-09-09T13:08:00Z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P9_TA(2024)0316_</vt:lpwstr>
  </property>
  <property fmtid="{D5CDD505-2E9C-101B-9397-08002B2CF9AE}" pid="4" name="&lt;Type&gt;">
    <vt:lpwstr>RR</vt:lpwstr>
  </property>
</Properties>
</file>