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10DA" w14:paraId="2268D4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8268A1" w14:textId="77777777" w:rsidR="00751A4A" w:rsidRPr="00BC10DA" w:rsidRDefault="008702C1" w:rsidP="0010095E">
            <w:pPr>
              <w:pStyle w:val="EPName"/>
            </w:pPr>
            <w:r w:rsidRPr="00BC10DA">
              <w:t>Európai Parlament</w:t>
            </w:r>
          </w:p>
          <w:p w14:paraId="69F4B36A" w14:textId="77777777" w:rsidR="00751A4A" w:rsidRPr="00BC10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10D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B93DBEC" w14:textId="77777777" w:rsidR="00751A4A" w:rsidRPr="00BC10DA" w:rsidRDefault="00187494" w:rsidP="0010095E">
            <w:pPr>
              <w:pStyle w:val="EPLogo"/>
            </w:pPr>
            <w:r w:rsidRPr="00BC10DA">
              <w:rPr>
                <w:noProof/>
                <w:lang w:val="en-GB"/>
              </w:rPr>
              <w:drawing>
                <wp:inline distT="0" distB="0" distL="0" distR="0" wp14:anchorId="313C8C01" wp14:editId="7AD3C3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B04F0B" w14:textId="77777777" w:rsidR="00D058B8" w:rsidRPr="00BC10DA" w:rsidRDefault="00D058B8" w:rsidP="004C5D52">
      <w:pPr>
        <w:pStyle w:val="LineTop"/>
      </w:pPr>
    </w:p>
    <w:p w14:paraId="48D51696" w14:textId="77777777" w:rsidR="00680577" w:rsidRPr="00BC10DA" w:rsidRDefault="008702C1" w:rsidP="00680577">
      <w:pPr>
        <w:pStyle w:val="EPBodyTA1"/>
      </w:pPr>
      <w:r w:rsidRPr="00BC10DA">
        <w:t>ELFOGADOTT SZÖVEGEK</w:t>
      </w:r>
    </w:p>
    <w:p w14:paraId="31D05E2C" w14:textId="77777777" w:rsidR="00D058B8" w:rsidRPr="00BC10DA" w:rsidRDefault="00D058B8" w:rsidP="00D058B8">
      <w:pPr>
        <w:pStyle w:val="LineBottom"/>
      </w:pPr>
    </w:p>
    <w:p w14:paraId="21B9841F" w14:textId="41812040" w:rsidR="008702C1" w:rsidRPr="00844BE8" w:rsidRDefault="008702C1" w:rsidP="008702C1">
      <w:pPr>
        <w:pStyle w:val="ATHeading1"/>
      </w:pPr>
      <w:bookmarkStart w:id="0" w:name="TANumber"/>
      <w:r w:rsidRPr="00844BE8">
        <w:t>P9_TA(2024)</w:t>
      </w:r>
      <w:bookmarkEnd w:id="0"/>
      <w:r w:rsidR="00844BE8" w:rsidRPr="00844BE8">
        <w:t>0</w:t>
      </w:r>
      <w:r w:rsidR="00844BE8" w:rsidRPr="00844BE8">
        <w:t>316</w:t>
      </w:r>
    </w:p>
    <w:p w14:paraId="650E4D56" w14:textId="58960220" w:rsidR="008702C1" w:rsidRPr="00844BE8" w:rsidRDefault="00840E32" w:rsidP="008702C1">
      <w:pPr>
        <w:pStyle w:val="ATHeading2"/>
      </w:pPr>
      <w:bookmarkStart w:id="1" w:name="title"/>
      <w:r w:rsidRPr="00844BE8">
        <w:t>Felhatalmazáson alapuló jogi aktussal szembeni kifogás mellőzése: új élelmiszerek – a „mesterséges nanoanyagok” fogalommeghatározása</w:t>
      </w:r>
      <w:bookmarkEnd w:id="1"/>
    </w:p>
    <w:p w14:paraId="70B9BF4B" w14:textId="77777777" w:rsidR="008702C1" w:rsidRPr="00844BE8" w:rsidRDefault="008702C1" w:rsidP="008702C1">
      <w:pPr>
        <w:rPr>
          <w:i/>
          <w:vanish/>
        </w:rPr>
      </w:pPr>
      <w:r w:rsidRPr="00844BE8">
        <w:rPr>
          <w:i/>
        </w:rPr>
        <w:fldChar w:fldCharType="begin"/>
      </w:r>
      <w:r w:rsidRPr="00844BE8">
        <w:rPr>
          <w:i/>
        </w:rPr>
        <w:instrText xml:space="preserve"> TC"(</w:instrText>
      </w:r>
      <w:bookmarkStart w:id="2" w:name="DocNumber"/>
      <w:r w:rsidRPr="00844BE8">
        <w:rPr>
          <w:i/>
        </w:rPr>
        <w:instrText>B9-0225/2024</w:instrText>
      </w:r>
      <w:bookmarkEnd w:id="2"/>
      <w:r w:rsidRPr="00844BE8">
        <w:rPr>
          <w:i/>
        </w:rPr>
        <w:instrText xml:space="preserve">)"\l3 \n&gt; \* MERGEFORMAT </w:instrText>
      </w:r>
      <w:r w:rsidRPr="00844BE8">
        <w:rPr>
          <w:i/>
        </w:rPr>
        <w:fldChar w:fldCharType="end"/>
      </w:r>
    </w:p>
    <w:p w14:paraId="20ECA565" w14:textId="77777777" w:rsidR="008702C1" w:rsidRPr="00844BE8" w:rsidRDefault="008702C1" w:rsidP="008702C1">
      <w:pPr>
        <w:rPr>
          <w:vanish/>
        </w:rPr>
      </w:pPr>
      <w:bookmarkStart w:id="3" w:name="PE"/>
      <w:r w:rsidRPr="00844BE8">
        <w:rPr>
          <w:vanish/>
        </w:rPr>
        <w:t>PE760.689</w:t>
      </w:r>
      <w:bookmarkEnd w:id="3"/>
    </w:p>
    <w:p w14:paraId="3191E4FD" w14:textId="5ED96224" w:rsidR="008702C1" w:rsidRPr="00844BE8" w:rsidRDefault="008702C1" w:rsidP="008702C1">
      <w:pPr>
        <w:pStyle w:val="ATHeading3"/>
      </w:pPr>
      <w:bookmarkStart w:id="4" w:name="Sujet"/>
      <w:r w:rsidRPr="00844BE8">
        <w:t xml:space="preserve">Az Európai Parlament 2024. </w:t>
      </w:r>
      <w:r w:rsidR="00840E32" w:rsidRPr="00844BE8">
        <w:t>április 24</w:t>
      </w:r>
      <w:r w:rsidRPr="00844BE8">
        <w:t>-i állásfoglalása az új élelmiszerekről szóló (EU) 2015/2283 európai parlamenti és tanácsi rendeletnek a „mesterséges nanoanyagok” fogalommeghatározása tekintetében történő módosításáról szóló, 2024. március 14-i felhatalmazáson alapuló bizottsági rendeletről</w:t>
      </w:r>
      <w:bookmarkEnd w:id="4"/>
      <w:r w:rsidRPr="00844BE8">
        <w:t xml:space="preserve"> </w:t>
      </w:r>
      <w:bookmarkStart w:id="5" w:name="References"/>
      <w:r w:rsidRPr="00844BE8">
        <w:t>(C(2024)01612 – 2024/2691(DEA))</w:t>
      </w:r>
      <w:bookmarkEnd w:id="5"/>
    </w:p>
    <w:p w14:paraId="450A9AD2" w14:textId="77777777" w:rsidR="00DA539F" w:rsidRPr="00BC10DA" w:rsidRDefault="00DA539F" w:rsidP="00DA539F">
      <w:pPr>
        <w:pStyle w:val="EPComma"/>
      </w:pPr>
      <w:bookmarkStart w:id="6" w:name="TextBodyBegin"/>
      <w:bookmarkEnd w:id="6"/>
      <w:r w:rsidRPr="00BC10DA">
        <w:rPr>
          <w:i/>
        </w:rPr>
        <w:t>Az Európai Parlament</w:t>
      </w:r>
      <w:r w:rsidRPr="00BC10DA">
        <w:t>,</w:t>
      </w:r>
    </w:p>
    <w:p w14:paraId="42E24D1F" w14:textId="77777777" w:rsidR="00DA539F" w:rsidRPr="00BC10DA" w:rsidRDefault="00DA539F" w:rsidP="00840E32">
      <w:pPr>
        <w:pStyle w:val="NormalHanging12a"/>
        <w:widowControl/>
      </w:pPr>
      <w:r w:rsidRPr="00BC10DA">
        <w:t>–</w:t>
      </w:r>
      <w:r w:rsidRPr="00BC10DA">
        <w:tab/>
        <w:t xml:space="preserve">tekintettel az új élelmiszerekről szóló (EU) 2015/2283 európai parlamenti és tanácsi rendeletnek a </w:t>
      </w:r>
      <w:bookmarkStart w:id="7" w:name="_GoBack"/>
      <w:bookmarkEnd w:id="7"/>
      <w:r w:rsidRPr="00BC10DA">
        <w:t>„mesterséges nanoanyagok” fogalommeghatározása tekintetében történő módosításáról szóló, 2024. március 14-i felhatalmazáson alapuló bizottsági rendeletre (C(2024)01612),</w:t>
      </w:r>
    </w:p>
    <w:p w14:paraId="7EB56823" w14:textId="77777777" w:rsidR="00DA539F" w:rsidRPr="00BC10DA" w:rsidRDefault="00DA539F" w:rsidP="00840E32">
      <w:pPr>
        <w:pStyle w:val="NormalHanging12a"/>
        <w:widowControl/>
      </w:pPr>
      <w:r w:rsidRPr="00BC10DA">
        <w:t>–</w:t>
      </w:r>
      <w:r w:rsidRPr="00BC10DA">
        <w:tab/>
        <w:t>tekintettel az Európai Unió működéséről szóló szerződés (EUMSZ) 290. cikkére,</w:t>
      </w:r>
    </w:p>
    <w:p w14:paraId="10690AAB" w14:textId="77777777" w:rsidR="00DA539F" w:rsidRPr="00BC10DA" w:rsidRDefault="00DA539F" w:rsidP="00840E32">
      <w:pPr>
        <w:pStyle w:val="NormalHanging12a"/>
        <w:widowControl/>
        <w:rPr>
          <w:noProof/>
        </w:rPr>
      </w:pPr>
      <w:r w:rsidRPr="00BC10DA">
        <w:t>–</w:t>
      </w:r>
      <w:r w:rsidRPr="00BC10DA">
        <w:tab/>
        <w:t>tekintettel az új élelmiszerekről, az 1169/2011/EU európai parlamenti és tanácsi rendelet módosításáról, valamint a 258/97/EK európai parlamenti és tanácsi rendelet és az 1852/2001/EK bizottsági rendelet hatályon kívül helyezéséről szóló, 2015. november 25-i (EU) 2015/2283 európai parlamenti és tanácsi rendeletre</w:t>
      </w:r>
      <w:r w:rsidRPr="00BC10DA">
        <w:rPr>
          <w:rStyle w:val="FootnoteReference"/>
          <w:noProof/>
          <w:color w:val="000000"/>
          <w:szCs w:val="24"/>
        </w:rPr>
        <w:footnoteReference w:id="1"/>
      </w:r>
      <w:r w:rsidRPr="00BC10DA">
        <w:t xml:space="preserve"> és különösen annak 31. cikkére és 32. cikkének (6) bekezdésére,</w:t>
      </w:r>
    </w:p>
    <w:p w14:paraId="28CAF0A7" w14:textId="77777777" w:rsidR="00DA539F" w:rsidRPr="00BC10DA" w:rsidRDefault="00DA539F" w:rsidP="00840E32">
      <w:pPr>
        <w:pStyle w:val="NormalHanging12a"/>
        <w:widowControl/>
      </w:pPr>
      <w:r w:rsidRPr="00BC10DA">
        <w:t>–</w:t>
      </w:r>
      <w:r w:rsidRPr="00BC10DA">
        <w:tab/>
        <w:t>tekintettel a fogyasztók élelmiszerekkel kapcsolatos tájékoztatásáról, az 1924/2006/EK és az 1925/2006/EK európai parlamenti és tanácsi rendelet módosításáról és a 87/250/EGK bizottsági irányelv, a 90/496/EGK tanácsi irányelv, az 1999/10/EK bizottsági irányelv, a 2000/13/EK európai parlamenti és tanácsi irányelv, a 2002/67/EK és a 2008/5/EK bizottsági irányelv és a 608/2004/EK bizottsági rendelet hatályon kívül helyezéséről szóló, 2011. október 25-i 1169/2011/EU európai parlamenti és tanácsi rendeletre</w:t>
      </w:r>
      <w:r w:rsidRPr="00BC10DA">
        <w:rPr>
          <w:rStyle w:val="FootnoteReference"/>
          <w:noProof/>
          <w:color w:val="000000"/>
          <w:szCs w:val="24"/>
        </w:rPr>
        <w:footnoteReference w:id="2"/>
      </w:r>
      <w:r w:rsidRPr="00BC10DA">
        <w:t xml:space="preserve"> és különösen annak 18. cikke (3) bekezdésére,</w:t>
      </w:r>
    </w:p>
    <w:p w14:paraId="0C7F08CB" w14:textId="77777777" w:rsidR="00DA539F" w:rsidRPr="00BC10DA" w:rsidRDefault="00DA539F" w:rsidP="00840E32">
      <w:pPr>
        <w:pStyle w:val="NormalHanging12a"/>
        <w:widowControl/>
      </w:pPr>
      <w:r w:rsidRPr="00BC10DA">
        <w:lastRenderedPageBreak/>
        <w:t>–</w:t>
      </w:r>
      <w:r w:rsidRPr="00BC10DA">
        <w:tab/>
        <w:t>tekintettel az élelmiszer-adalékanyagokról szóló, 2008. december 16-i 1333/2008/EK európai parlamenti és tanácsi rendeletre</w:t>
      </w:r>
      <w:r w:rsidRPr="00BC10DA">
        <w:rPr>
          <w:rStyle w:val="FootnoteReference"/>
          <w:color w:val="000000"/>
          <w:szCs w:val="24"/>
        </w:rPr>
        <w:footnoteReference w:id="3"/>
      </w:r>
      <w:r w:rsidRPr="00BC10DA">
        <w:t>,</w:t>
      </w:r>
    </w:p>
    <w:p w14:paraId="00810A39" w14:textId="77777777" w:rsidR="00DA539F" w:rsidRPr="00BC10DA" w:rsidRDefault="00DA539F" w:rsidP="00840E32">
      <w:pPr>
        <w:pStyle w:val="NormalHanging12a"/>
        <w:widowControl/>
      </w:pPr>
      <w:r w:rsidRPr="00BC10DA">
        <w:t>–</w:t>
      </w:r>
      <w:r w:rsidRPr="00BC10DA">
        <w:tab/>
        <w:t>tekintettel az 1333/2008/EK európai parlamenti és tanácsi rendelet II. mellékletének az élelmiszer-adalékok uniós jegyzékének létrehozásával történő módosításáról szóló, 2011. november 11-i 1129/2011/EU bizottsági rendelettel</w:t>
      </w:r>
      <w:r w:rsidRPr="00BC10DA">
        <w:rPr>
          <w:rStyle w:val="FootnoteReference"/>
          <w:color w:val="000000"/>
          <w:szCs w:val="24"/>
        </w:rPr>
        <w:footnoteReference w:id="4"/>
      </w:r>
      <w:r w:rsidRPr="00BC10DA">
        <w:t>, valamint az élelmiszer-adalékanyagokról szóló 1333/2008/EK európai parlamenti és tanácsi rendelet III. mellékletének az élelmiszer-adalékokban, élelmiszerenzimekben, élelmiszer-aromákban és tápanyagokban való használatra jóváhagyott élelmiszer-adalékok uniós jegyzékének létrehozásával történő módosításáról szóló, 2011. november 11-i 1130/2011/EU bizottsági rendelettel</w:t>
      </w:r>
      <w:r w:rsidRPr="00BC10DA">
        <w:rPr>
          <w:rStyle w:val="FootnoteReference"/>
          <w:color w:val="000000"/>
          <w:szCs w:val="24"/>
        </w:rPr>
        <w:footnoteReference w:id="5"/>
      </w:r>
      <w:r w:rsidRPr="00BC10DA">
        <w:t xml:space="preserve"> létrehozott uniós jegyzékekre,</w:t>
      </w:r>
    </w:p>
    <w:p w14:paraId="7171E234" w14:textId="77777777" w:rsidR="00DA539F" w:rsidRPr="00BC10DA" w:rsidRDefault="00DA539F" w:rsidP="00840E32">
      <w:pPr>
        <w:pStyle w:val="NormalHanging12a"/>
        <w:widowControl/>
      </w:pPr>
      <w:r w:rsidRPr="00BC10DA">
        <w:t>–</w:t>
      </w:r>
      <w:r w:rsidRPr="00BC10DA">
        <w:tab/>
        <w:t>tekintettel az élelmiszer-adalékanyagokról szóló 1333/2008/EK európai parlamenti és tanácsi rendelet szerint jóváhagyott élelmiszer-adalékanyagok újraértékelésére kidolgozott program létrehozásáról szóló, 2010. március 25-i 257/2010/EU bizottsági rendeletre</w:t>
      </w:r>
      <w:r w:rsidRPr="00BC10DA">
        <w:rPr>
          <w:rStyle w:val="FootnoteReference"/>
          <w:color w:val="000000"/>
          <w:szCs w:val="24"/>
        </w:rPr>
        <w:footnoteReference w:id="6"/>
      </w:r>
      <w:r w:rsidRPr="00BC10DA">
        <w:t>,</w:t>
      </w:r>
    </w:p>
    <w:p w14:paraId="38FFD942" w14:textId="77777777" w:rsidR="00DA539F" w:rsidRPr="00BC10DA" w:rsidRDefault="00DA539F" w:rsidP="00840E32">
      <w:pPr>
        <w:pStyle w:val="NormalHanging12a"/>
        <w:widowControl/>
      </w:pPr>
      <w:r w:rsidRPr="00BC10DA">
        <w:t>–</w:t>
      </w:r>
      <w:r w:rsidRPr="00BC10DA">
        <w:tab/>
        <w:t>tekintettel eljárási szabályzata 111. cikkének (3) bekezdésére,</w:t>
      </w:r>
    </w:p>
    <w:p w14:paraId="4A3E7B70" w14:textId="77777777" w:rsidR="00DA539F" w:rsidRPr="00BC10DA" w:rsidRDefault="00DA539F" w:rsidP="00840E32">
      <w:pPr>
        <w:pStyle w:val="NormalHanging12a"/>
        <w:widowControl/>
      </w:pPr>
      <w:r w:rsidRPr="00BC10DA">
        <w:t>–</w:t>
      </w:r>
      <w:r w:rsidRPr="00BC10DA">
        <w:tab/>
        <w:t>tekintettel a Környezetvédelmi, Közegészségügyi és Élelmiszer-biztonsági Bizottság állásfoglalási indítványára,</w:t>
      </w:r>
    </w:p>
    <w:p w14:paraId="5A1255F2" w14:textId="77777777" w:rsidR="00DA539F" w:rsidRPr="00BC10DA" w:rsidRDefault="00DA539F" w:rsidP="00840E32">
      <w:pPr>
        <w:pStyle w:val="NormalHanging12a"/>
        <w:widowControl/>
      </w:pPr>
      <w:r w:rsidRPr="00BC10DA">
        <w:t>A.</w:t>
      </w:r>
      <w:r w:rsidRPr="00BC10DA">
        <w:tab/>
        <w:t>mivel az 1169/2011/EU rendelet 18. cikkének (3) bekezdése előírja, hogy a fogyasztók tájékoztatása céljából az élelmiszerek mesterséges nanoanyag formájában jelen lévő valamennyi összetevőjét egyértelműen fel kell tüntetni az összetevők között; mivel ennek megfelelően az 1169/2011/EU rendelet meghatározza az (EU) 2015/2283 rendelet 3. cikke (2) bekezdésének f) pontjában szereplő „mesterséges nanoanyagok” fogalmát;</w:t>
      </w:r>
    </w:p>
    <w:p w14:paraId="0C781217" w14:textId="77777777" w:rsidR="00DA539F" w:rsidRPr="00BC10DA" w:rsidRDefault="00DA539F" w:rsidP="00840E32">
      <w:pPr>
        <w:pStyle w:val="NormalHanging12a"/>
        <w:widowControl/>
      </w:pPr>
      <w:r w:rsidRPr="00BC10DA">
        <w:t>B.</w:t>
      </w:r>
      <w:r w:rsidRPr="00BC10DA">
        <w:tab/>
        <w:t>mivel az (EU) 2015/2283 rendelet 31. cikke felhatalmazza a Bizottságot, hogy a rendelet céljainak elérése érdekében felhatalmazáson alapuló jogi aktusok útján igazítsa ki és módosítsa a „mesterséges nanoanyagok” említett rendelet szerinti fogalommeghatározását az új műszaki és tudományos fejlődés vagy a nemzetközileg elfogadott fogalommeghatározások fényében;</w:t>
      </w:r>
    </w:p>
    <w:p w14:paraId="755AA26B" w14:textId="77777777" w:rsidR="00DA539F" w:rsidRPr="00BC10DA" w:rsidRDefault="00DA539F" w:rsidP="00840E32">
      <w:pPr>
        <w:pStyle w:val="NormalHanging12a"/>
        <w:widowControl/>
      </w:pPr>
      <w:r w:rsidRPr="00BC10DA">
        <w:t>C.</w:t>
      </w:r>
      <w:r w:rsidRPr="00BC10DA">
        <w:tab/>
        <w:t>mivel az 1129/2011/EU és az 1130/2011/EU rendelettel létrehozott átfogó uniós jegyzékek meghatározzák azokat az élelmiszer-adalékanyagokat, amelyek használata az 1333/2008/EK rendelet hatálybalépése előtt az abban foglalt rendelkezéseknek való megfelelés ellenőrzése után megengedett volt;</w:t>
      </w:r>
    </w:p>
    <w:p w14:paraId="3115C734" w14:textId="77777777" w:rsidR="00DA539F" w:rsidRPr="00844BE8" w:rsidRDefault="00DA539F" w:rsidP="00840E32">
      <w:pPr>
        <w:pStyle w:val="NormalHanging12a"/>
        <w:widowControl/>
        <w:rPr>
          <w:b/>
          <w:i/>
        </w:rPr>
      </w:pPr>
      <w:r w:rsidRPr="00844BE8">
        <w:rPr>
          <w:b/>
          <w:i/>
        </w:rPr>
        <w:t>A fogalommeghatározás következményei</w:t>
      </w:r>
    </w:p>
    <w:p w14:paraId="2B87D1C3" w14:textId="77777777" w:rsidR="00DA539F" w:rsidRPr="00BC10DA" w:rsidRDefault="00DA539F" w:rsidP="00840E32">
      <w:pPr>
        <w:pStyle w:val="NormalHanging12a"/>
        <w:widowControl/>
      </w:pPr>
      <w:r w:rsidRPr="00BC10DA">
        <w:t>D.</w:t>
      </w:r>
      <w:r w:rsidRPr="00BC10DA">
        <w:tab/>
        <w:t>mivel a „mesterséges nanoanyagok” felhatalmazáson alapuló bizottsági rendeletben szereplő fogalommeghatározása fogja meghatározni, hogy az adott élelmiszer címkéjén az 1169/2011/EU rendelet 18. cikke (3) bekezdésének megfelelően fel kell-e tüntetni a „[nano]” szót az összetevők felsorolásában;</w:t>
      </w:r>
    </w:p>
    <w:p w14:paraId="1486DE57" w14:textId="77777777" w:rsidR="00DA539F" w:rsidRPr="00BC10DA" w:rsidRDefault="00DA539F" w:rsidP="00840E32">
      <w:pPr>
        <w:pStyle w:val="NormalHanging12a"/>
        <w:widowControl/>
      </w:pPr>
      <w:r w:rsidRPr="00BC10DA">
        <w:lastRenderedPageBreak/>
        <w:t>E.</w:t>
      </w:r>
      <w:r w:rsidRPr="00BC10DA">
        <w:tab/>
        <w:t>mivel a felhatalmazáson alapuló bizottsági rendelet célja a jelenlegi fogalommeghatározásból eredő értelmezési nehézségek kezelése, mégpedig oly módon, hogy objektív elemeket vezet be annak megállapítására, hogy egy nanoanyag „mesterséges”-e vagy sem, például azáltal, hogy a „szándékosan előállított [anyag]” kifejezés helyébe a „gyártott” szó lép;</w:t>
      </w:r>
    </w:p>
    <w:p w14:paraId="150C6170" w14:textId="77777777" w:rsidR="00DA539F" w:rsidRPr="00BC10DA" w:rsidRDefault="00DA539F" w:rsidP="00840E32">
      <w:pPr>
        <w:pStyle w:val="NormalHanging12a"/>
        <w:widowControl/>
      </w:pPr>
      <w:r w:rsidRPr="00BC10DA">
        <w:t>F.</w:t>
      </w:r>
      <w:r w:rsidRPr="00BC10DA">
        <w:tab/>
        <w:t>mivel a felhatalmazáson alapuló bizottsági rendelet kizárja, hogy az élelmiszerekben nanoanyagnak minősüljenek a nem szilárd halmazállapotú részecskék, például a micellák, a liposzómák vagy az emulzióban lévő, nanotartományba eső cseppek, valamint azok az összetevők, amelyek 50%-nál kevesebb 100 nm-nél kisebb méretű részecskét tartalmaznak;</w:t>
      </w:r>
    </w:p>
    <w:p w14:paraId="1702B126" w14:textId="77777777" w:rsidR="00DA539F" w:rsidRPr="00BC10DA" w:rsidRDefault="00DA539F" w:rsidP="00840E32">
      <w:pPr>
        <w:pStyle w:val="NormalHanging12a"/>
        <w:widowControl/>
      </w:pPr>
      <w:r w:rsidRPr="00BC10DA">
        <w:t>G.</w:t>
      </w:r>
      <w:r w:rsidRPr="00BC10DA">
        <w:tab/>
        <w:t>mivel a nanotartományba eső részecskékre vonatkozóan javasolt legalább 50%-os alapértelmezett küszöbérték önkényes és alacsonyabb szintű védelmet nyújt, mint az (EU) 2015/2283 rendeletben szereplő fogalommeghatározás egyes tagállamok, például Franciaország által adott értelmezése; mivel az említett rendelet a 100 nm-nél kisebb részecskék esetében nem vesz fontolóra a méreteloszlásra vonatkozó küszöbértéket;</w:t>
      </w:r>
    </w:p>
    <w:p w14:paraId="5D52BFC4" w14:textId="77777777" w:rsidR="00DA539F" w:rsidRPr="00BC10DA" w:rsidRDefault="00DA539F" w:rsidP="00840E32">
      <w:pPr>
        <w:widowControl/>
        <w:spacing w:after="240"/>
        <w:ind w:left="567" w:hanging="567"/>
        <w:rPr>
          <w:szCs w:val="24"/>
        </w:rPr>
      </w:pPr>
      <w:r w:rsidRPr="00BC10DA">
        <w:t>H.</w:t>
      </w:r>
      <w:r w:rsidRPr="00BC10DA">
        <w:tab/>
        <w:t>mivel a javasolt fogalommeghatározás potenciálisan sok nanoanyagot kizárna az 1169/2011/EU rendelet hatálya alól, amelyekre így nem vonatkozna a „[nano]” címkézési kötelezettség; mivel a Bizottság indokolásának 3. pontjában jelzi, hogy „korlátozott számban vannak jelen az élelmiszerekben olyan anyagok, amelyek bizonyos hányadban nanorészecskékből állnak, és ezen anyagok – legalább többségükben, sőt feltételezhetően kizárólag – nem új élelmiszerek”, és hogy „a felhatalmazáson alapuló jogi aktus lehetséges hatásai ezért csak nagyon elenyésző számú anyagot érintenek”;</w:t>
      </w:r>
    </w:p>
    <w:p w14:paraId="4A93AE8D" w14:textId="77777777" w:rsidR="00DA539F" w:rsidRPr="00BC10DA" w:rsidRDefault="00DA539F" w:rsidP="00840E32">
      <w:pPr>
        <w:widowControl/>
        <w:spacing w:after="240"/>
        <w:ind w:left="567" w:hanging="567"/>
        <w:rPr>
          <w:color w:val="0D0D0D"/>
          <w:szCs w:val="24"/>
        </w:rPr>
      </w:pPr>
      <w:r w:rsidRPr="00BC10DA">
        <w:t xml:space="preserve">I. </w:t>
      </w:r>
      <w:r w:rsidRPr="00BC10DA">
        <w:tab/>
        <w:t xml:space="preserve">mivel jelenleg az élelmiszerekben éppen az élelmiszer-adalékok lehetnek jelen nanoanyagok formájában; mivel a </w:t>
      </w:r>
      <w:r w:rsidRPr="00BC10DA">
        <w:rPr>
          <w:color w:val="0D0D0D"/>
        </w:rPr>
        <w:t>francia Nemzeti Élelmiszer-, Környezet- és Munkabiztonsági Ügynökség (</w:t>
      </w:r>
      <w:r w:rsidRPr="00BC10DA">
        <w:t>ANSES) 37 nanoanyagot sorolt fel, amelyeket több mint 900 élelmiszeripari termékben használnak</w:t>
      </w:r>
      <w:r w:rsidRPr="00BC10DA">
        <w:rPr>
          <w:rStyle w:val="FootnoteReference"/>
          <w:szCs w:val="24"/>
        </w:rPr>
        <w:footnoteReference w:id="7"/>
      </w:r>
      <w:r w:rsidRPr="00BC10DA">
        <w:t>;</w:t>
      </w:r>
      <w:r w:rsidRPr="00BC10DA">
        <w:rPr>
          <w:color w:val="0D0D0D"/>
        </w:rPr>
        <w:t xml:space="preserve"> mivel a fogyasztói szervezetek és nem kormányzati szervezetek (az Agir pour l’Environnement</w:t>
      </w:r>
      <w:r w:rsidRPr="00BC10DA">
        <w:rPr>
          <w:rStyle w:val="FootnoteReference"/>
          <w:color w:val="0D0D0D"/>
          <w:szCs w:val="24"/>
        </w:rPr>
        <w:footnoteReference w:id="8"/>
      </w:r>
      <w:r w:rsidRPr="00BC10DA">
        <w:rPr>
          <w:color w:val="0D0D0D"/>
        </w:rPr>
        <w:t>, a Que Choisir</w:t>
      </w:r>
      <w:r w:rsidRPr="00BC10DA">
        <w:rPr>
          <w:rStyle w:val="FootnoteReference"/>
          <w:color w:val="0D0D0D"/>
          <w:szCs w:val="24"/>
        </w:rPr>
        <w:footnoteReference w:id="9"/>
      </w:r>
      <w:r w:rsidRPr="00BC10DA">
        <w:rPr>
          <w:color w:val="0D0D0D"/>
        </w:rPr>
        <w:t>, a 60 Millions de consommateurs</w:t>
      </w:r>
      <w:r w:rsidRPr="00BC10DA">
        <w:rPr>
          <w:rStyle w:val="FootnoteReference"/>
          <w:color w:val="0D0D0D"/>
          <w:szCs w:val="24"/>
        </w:rPr>
        <w:footnoteReference w:id="10"/>
      </w:r>
      <w:r w:rsidRPr="00BC10DA">
        <w:rPr>
          <w:color w:val="0D0D0D"/>
        </w:rPr>
        <w:t xml:space="preserve"> és az AVICENN</w:t>
      </w:r>
      <w:r w:rsidRPr="00BC10DA">
        <w:rPr>
          <w:rStyle w:val="FootnoteReference"/>
          <w:color w:val="0D0D0D"/>
          <w:szCs w:val="24"/>
        </w:rPr>
        <w:footnoteReference w:id="11"/>
      </w:r>
      <w:r w:rsidRPr="00BC10DA">
        <w:rPr>
          <w:color w:val="0D0D0D"/>
        </w:rPr>
        <w:t xml:space="preserve"> Franciaországban, a Foodwatch</w:t>
      </w:r>
      <w:r w:rsidRPr="00BC10DA">
        <w:rPr>
          <w:rStyle w:val="FootnoteReference"/>
          <w:color w:val="0D0D0D"/>
          <w:szCs w:val="24"/>
        </w:rPr>
        <w:footnoteReference w:id="12"/>
      </w:r>
      <w:r w:rsidRPr="00BC10DA">
        <w:rPr>
          <w:color w:val="0D0D0D"/>
        </w:rPr>
        <w:t xml:space="preserve"> és a Bund</w:t>
      </w:r>
      <w:r w:rsidRPr="00BC10DA">
        <w:rPr>
          <w:rStyle w:val="FootnoteReference"/>
          <w:color w:val="0D0D0D"/>
          <w:szCs w:val="24"/>
        </w:rPr>
        <w:footnoteReference w:id="13"/>
      </w:r>
      <w:r w:rsidRPr="00BC10DA">
        <w:rPr>
          <w:color w:val="0D0D0D"/>
        </w:rPr>
        <w:t xml:space="preserve"> Németországban, a Testachats</w:t>
      </w:r>
      <w:r w:rsidRPr="00BC10DA">
        <w:rPr>
          <w:rStyle w:val="FootnoteReference"/>
          <w:color w:val="0D0D0D"/>
          <w:szCs w:val="24"/>
        </w:rPr>
        <w:footnoteReference w:id="14"/>
      </w:r>
      <w:r w:rsidRPr="00BC10DA">
        <w:rPr>
          <w:color w:val="0D0D0D"/>
        </w:rPr>
        <w:t xml:space="preserve"> Belgiumban, az Altroconsumo</w:t>
      </w:r>
      <w:r w:rsidRPr="00BC10DA">
        <w:rPr>
          <w:rStyle w:val="FootnoteReference"/>
          <w:color w:val="0D0D0D"/>
          <w:szCs w:val="24"/>
        </w:rPr>
        <w:footnoteReference w:id="15"/>
      </w:r>
      <w:r w:rsidRPr="00BC10DA">
        <w:rPr>
          <w:color w:val="0D0D0D"/>
        </w:rPr>
        <w:t xml:space="preserve"> Olaszországban és az OCU Spanyolországban</w:t>
      </w:r>
      <w:r w:rsidRPr="00BC10DA">
        <w:rPr>
          <w:rStyle w:val="FootnoteReference"/>
          <w:color w:val="0D0D0D"/>
          <w:szCs w:val="24"/>
        </w:rPr>
        <w:footnoteReference w:id="16"/>
      </w:r>
      <w:r w:rsidRPr="00BC10DA">
        <w:rPr>
          <w:color w:val="0D0D0D"/>
        </w:rPr>
        <w:t xml:space="preserve">) által végzett vizsgálatok több ízben mutatták ki olyan </w:t>
      </w:r>
      <w:r w:rsidRPr="00BC10DA">
        <w:rPr>
          <w:color w:val="0D0D0D"/>
        </w:rPr>
        <w:lastRenderedPageBreak/>
        <w:t>élelmiszer-adalékanyagok jelenlétét, amelyek jelentős hányadban tartalmaznak nanorészecskéket, például a tejtermékekben, sütőipari termékekben és egyes reggeli gabonapelyhekben használt vas-oxid élelmiszer-színezék (E172) az 50%-os küszöbértéknél kisebb mennyiségben tartalmazhat nanorészecskéket</w:t>
      </w:r>
      <w:r w:rsidRPr="00BC10DA">
        <w:rPr>
          <w:color w:val="000000"/>
        </w:rPr>
        <w:t xml:space="preserve">; </w:t>
      </w:r>
      <w:r w:rsidRPr="00BC10DA">
        <w:rPr>
          <w:color w:val="0D0D0D"/>
        </w:rPr>
        <w:t>mivel ez azt mutatja, hogy az a tény, hogy a címkén egyes élelmiszer-összetevőket nem tüntetnek fel megfelelően a „[nano]” szóval, elsősorban a hatályos jogszabályok végrehajtásának hiányára, és sokkal kevésbé értelmezési nehézségekre vezethető vissza;</w:t>
      </w:r>
    </w:p>
    <w:p w14:paraId="1E9C23BA" w14:textId="77777777" w:rsidR="00DA539F" w:rsidRPr="00BC10DA" w:rsidRDefault="00DA539F" w:rsidP="00840E32">
      <w:pPr>
        <w:widowControl/>
        <w:spacing w:after="240"/>
        <w:ind w:left="567" w:hanging="567"/>
        <w:rPr>
          <w:color w:val="0D0D0D"/>
          <w:szCs w:val="24"/>
        </w:rPr>
      </w:pPr>
      <w:r w:rsidRPr="00BC10DA">
        <w:rPr>
          <w:color w:val="0D0D0D"/>
        </w:rPr>
        <w:t>J.</w:t>
      </w:r>
      <w:r w:rsidRPr="00BC10DA">
        <w:rPr>
          <w:color w:val="0D0D0D"/>
        </w:rPr>
        <w:tab/>
        <w:t>mivel egy, az Európai Vegyianyag-ügynökség megbízásából készült 2020. évi tanulmány szerint a polgárok igénylik a nanoanyagokat tartalmazó mindennapi termékek címkézésének javítását</w:t>
      </w:r>
      <w:r w:rsidRPr="00BC10DA">
        <w:rPr>
          <w:rStyle w:val="FootnoteReference"/>
          <w:color w:val="0D0D0D"/>
          <w:szCs w:val="24"/>
        </w:rPr>
        <w:footnoteReference w:id="17"/>
      </w:r>
      <w:r w:rsidRPr="00BC10DA">
        <w:rPr>
          <w:color w:val="0D0D0D"/>
        </w:rPr>
        <w:t>;</w:t>
      </w:r>
    </w:p>
    <w:p w14:paraId="67135B81" w14:textId="77777777" w:rsidR="00DA539F" w:rsidRPr="00844BE8" w:rsidRDefault="00DA539F" w:rsidP="00840E32">
      <w:pPr>
        <w:widowControl/>
        <w:spacing w:after="240"/>
        <w:ind w:left="567" w:hanging="567"/>
        <w:rPr>
          <w:b/>
          <w:i/>
          <w:szCs w:val="24"/>
        </w:rPr>
      </w:pPr>
      <w:r w:rsidRPr="00844BE8">
        <w:rPr>
          <w:b/>
          <w:i/>
        </w:rPr>
        <w:t>Az ajánlásokkal és az új tudományos eredményekkel fennálló ellentmondások</w:t>
      </w:r>
    </w:p>
    <w:p w14:paraId="6CAA41E5" w14:textId="77777777" w:rsidR="00DA539F" w:rsidRPr="00BC10DA" w:rsidRDefault="00DA539F" w:rsidP="00840E32">
      <w:pPr>
        <w:widowControl/>
        <w:spacing w:after="240"/>
        <w:ind w:left="567" w:hanging="567"/>
        <w:rPr>
          <w:szCs w:val="24"/>
        </w:rPr>
      </w:pPr>
      <w:r w:rsidRPr="00BC10DA">
        <w:t xml:space="preserve">K. </w:t>
      </w:r>
      <w:r w:rsidRPr="00BC10DA">
        <w:tab/>
        <w:t>mivel a fogyasztók élelmiszerekkel kapcsolatos tájékoztatásáról szóló 1169/2011/EK európai parlamenti és tanácsi rendeletnek a „mesterséges nanoanyag” fogalommeghatározása tekintetében történő módosításáról szóló 2013. december 12-i, felhatalmazáson alapuló bizottsági rendeletről szóló, 2014. március 12-i állásfoglalásában</w:t>
      </w:r>
      <w:r w:rsidRPr="00BC10DA">
        <w:rPr>
          <w:rStyle w:val="FootnoteReference"/>
          <w:szCs w:val="24"/>
        </w:rPr>
        <w:footnoteReference w:id="18"/>
      </w:r>
      <w:r w:rsidRPr="00BC10DA">
        <w:t xml:space="preserve"> az Európai Parlament kifogást emelt egy nagyon hasonló, szintén 50%-os küszöbértéket tartalmazó és az összes élelmiszer-adalékanyagot kizáró fogalommeghatározással szemben, figyelembe véve, hogy a fogalommeghatározás „ellentétes” volt „az irányelv azon alapvető céljával, hogy a fogyasztók egészségének és érdekeinek magas szintű védelmére törekedjen azáltal, hogy a végső fogyasztók számára alapot biztosít a tájékozott választáshoz”; mivel az Európai Parlament felkérte a Bizottságot, hogy nyújtson be új, felhatalmazáson alapuló jogi aktust, amely figyelembe veszi a Parlament álláspontját;</w:t>
      </w:r>
    </w:p>
    <w:p w14:paraId="5AAEECD2" w14:textId="77777777" w:rsidR="00DA539F" w:rsidRPr="00BC10DA" w:rsidRDefault="00DA539F" w:rsidP="00840E32">
      <w:pPr>
        <w:widowControl/>
        <w:spacing w:after="240"/>
        <w:ind w:left="567" w:hanging="567"/>
        <w:rPr>
          <w:szCs w:val="24"/>
        </w:rPr>
      </w:pPr>
      <w:r w:rsidRPr="00BC10DA">
        <w:t xml:space="preserve">L. </w:t>
      </w:r>
      <w:r w:rsidRPr="00BC10DA">
        <w:tab/>
        <w:t>mivel az 1333/2008/EK európai parlamenti és tanácsi rendelet II. és III. mellékletében felsorolt élelmiszer-adalékanyagok specifikációinak meghatározásáról szóló 231/2012/EU rendelet mellékletének a titán-dioxid (E 171) specifikációi tekintetében történő módosításáról szóló bizottsági rendelettervezetről szóló, 2020. október 8-i állásfoglalásában</w:t>
      </w:r>
      <w:r w:rsidRPr="00BC10DA">
        <w:rPr>
          <w:rStyle w:val="FootnoteReference"/>
          <w:szCs w:val="24"/>
        </w:rPr>
        <w:footnoteReference w:id="19"/>
      </w:r>
      <w:r w:rsidRPr="00BC10DA">
        <w:t xml:space="preserve"> az Európai Parlament kifogást emelt egy olyan bizottsági rendelettervezettel szemben, amely engedélyezte azokat az élelmiszer-minőségű titándioxid(E171)-tételeket, amelyek 50%-nál kevesebb 100 nm-nél kisebb részecskét tartalmaznak;</w:t>
      </w:r>
    </w:p>
    <w:p w14:paraId="03C00D3C" w14:textId="77777777" w:rsidR="00DA539F" w:rsidRPr="00BC10DA" w:rsidRDefault="00DA539F" w:rsidP="00840E32">
      <w:pPr>
        <w:widowControl/>
        <w:spacing w:after="240"/>
        <w:ind w:left="567" w:hanging="567"/>
        <w:rPr>
          <w:szCs w:val="24"/>
        </w:rPr>
      </w:pPr>
      <w:r w:rsidRPr="00BC10DA">
        <w:t xml:space="preserve">M. </w:t>
      </w:r>
      <w:r w:rsidRPr="00BC10DA">
        <w:tab/>
        <w:t>mivel az Európai Élelmiszerbiztonsági Hatóság azt ajánlotta,</w:t>
      </w:r>
      <w:r w:rsidRPr="00BC10DA">
        <w:rPr>
          <w:rStyle w:val="FootnoteReference"/>
          <w:szCs w:val="24"/>
        </w:rPr>
        <w:footnoteReference w:id="20"/>
      </w:r>
      <w:r w:rsidRPr="00BC10DA">
        <w:rPr>
          <w:b/>
        </w:rPr>
        <w:t xml:space="preserve"> </w:t>
      </w:r>
      <w:r w:rsidRPr="00BC10DA">
        <w:t>hogy „a biztonsággal kapcsolatos jelenlegi bizonytalanságokra való tekintettel az ajánlásban jelenleg javasolt (50%-os) helyett az élelmiszerekkel kapcsolatos alkalmazások esetében a nanorészecskék számára vonatkozóan alacsonyabb, pl. 10%-os küszöbértéket lenne indokolt fontolóra venni”;</w:t>
      </w:r>
    </w:p>
    <w:p w14:paraId="79C85B35" w14:textId="77777777" w:rsidR="00DA539F" w:rsidRPr="00BC10DA" w:rsidRDefault="00DA539F" w:rsidP="00840E32">
      <w:pPr>
        <w:widowControl/>
        <w:spacing w:after="240"/>
        <w:ind w:left="567" w:hanging="567"/>
        <w:rPr>
          <w:szCs w:val="24"/>
        </w:rPr>
      </w:pPr>
      <w:r w:rsidRPr="00BC10DA">
        <w:t xml:space="preserve">N. </w:t>
      </w:r>
      <w:r w:rsidRPr="00BC10DA">
        <w:tab/>
        <w:t xml:space="preserve">mivel a tudományos szervezetek, hatóságok, nem kormányzati fogyasztói és környezetvédelmi szervezetek és szakszervezetek olyan fogalommeghatározást </w:t>
      </w:r>
      <w:r w:rsidRPr="00BC10DA">
        <w:lastRenderedPageBreak/>
        <w:t>szorgalmaztak a Bizottság konzultációs folyamata során, amely magában foglalná az összes – akár gyártott, akár szándékolatlanul előállított, akár természetes – anyagot, és a darabszám szerinti részecskeméret-eloszlás tekintetében 10%-os alapértelmezett küszöbértéket tartalmazna;</w:t>
      </w:r>
    </w:p>
    <w:p w14:paraId="16600B19" w14:textId="77777777" w:rsidR="00DA539F" w:rsidRPr="00BC10DA" w:rsidRDefault="00DA539F" w:rsidP="00840E32">
      <w:pPr>
        <w:widowControl/>
        <w:spacing w:after="240"/>
        <w:ind w:left="567" w:hanging="567"/>
        <w:rPr>
          <w:color w:val="0D0D0D"/>
          <w:szCs w:val="24"/>
        </w:rPr>
      </w:pPr>
      <w:r w:rsidRPr="00BC10DA">
        <w:rPr>
          <w:color w:val="0D0D0D"/>
        </w:rPr>
        <w:t xml:space="preserve">O. </w:t>
      </w:r>
      <w:r w:rsidRPr="00BC10DA">
        <w:rPr>
          <w:color w:val="0D0D0D"/>
        </w:rPr>
        <w:tab/>
        <w:t>mivel 2014 óta új tudományos eredmények és ismeretek igazolják, hogy a nanoanyagok képesek átjutni a fiziológiai akadályokon, és gyakran veszélyesebbek, mint a mikro- vagy makroméretű anyagok</w:t>
      </w:r>
      <w:r w:rsidRPr="00BC10DA">
        <w:rPr>
          <w:rStyle w:val="FootnoteReference"/>
          <w:color w:val="0D0D0D"/>
          <w:szCs w:val="24"/>
        </w:rPr>
        <w:footnoteReference w:id="21"/>
      </w:r>
      <w:r w:rsidRPr="00BC10DA">
        <w:rPr>
          <w:color w:val="0D0D0D"/>
        </w:rPr>
        <w:t>;</w:t>
      </w:r>
    </w:p>
    <w:p w14:paraId="7D9687E2" w14:textId="77777777" w:rsidR="00DA539F" w:rsidRPr="00BC10DA" w:rsidRDefault="00DA539F" w:rsidP="00840E32">
      <w:pPr>
        <w:widowControl/>
        <w:spacing w:after="240"/>
        <w:ind w:left="567" w:hanging="567"/>
        <w:rPr>
          <w:color w:val="0D0D0D"/>
          <w:szCs w:val="24"/>
        </w:rPr>
      </w:pPr>
      <w:r w:rsidRPr="00BC10DA">
        <w:rPr>
          <w:color w:val="0D0D0D"/>
        </w:rPr>
        <w:t xml:space="preserve">P. </w:t>
      </w:r>
      <w:r w:rsidRPr="00BC10DA">
        <w:rPr>
          <w:color w:val="0D0D0D"/>
        </w:rPr>
        <w:tab/>
        <w:t>mivel az ANSES 2023 áprilisában részletes jelentést tett közzé</w:t>
      </w:r>
      <w:r w:rsidRPr="00BC10DA">
        <w:rPr>
          <w:rStyle w:val="FootnoteReference"/>
          <w:color w:val="0D0D0D"/>
          <w:szCs w:val="24"/>
        </w:rPr>
        <w:footnoteReference w:id="22"/>
      </w:r>
      <w:r w:rsidRPr="00BC10DA">
        <w:rPr>
          <w:color w:val="0D0D0D"/>
        </w:rPr>
        <w:t>, amelyben megállapítja, hogy a nanoanyagoknak a 2022. június 10-i bizottsági ajánlásban</w:t>
      </w:r>
      <w:r w:rsidRPr="00BC10DA">
        <w:rPr>
          <w:rStyle w:val="FootnoteReference"/>
          <w:color w:val="0D0D0D"/>
          <w:szCs w:val="24"/>
        </w:rPr>
        <w:footnoteReference w:id="23"/>
      </w:r>
      <w:r w:rsidRPr="00BC10DA">
        <w:rPr>
          <w:color w:val="0D0D0D"/>
        </w:rPr>
        <w:t xml:space="preserve"> szereplő fogalommeghatározása – amely alapul szolgált a „mesterséges nanoanyagok” (EU) 2015/2283 rendeletben szereplő fogalommeghatározásának felülvizsgálatához – az ágazatspecifikus rendeletekben, különösen az élelmiszer-ágazatban hátrányos lenne az egészségügyi és környezeti kockázatok megelőzése szempontjából; mivel az ANSES hangsúlyozta, hogy a „</w:t>
      </w:r>
      <w:r w:rsidRPr="00BC10DA">
        <w:t>[nano]”</w:t>
      </w:r>
      <w:r w:rsidRPr="00BC10DA">
        <w:rPr>
          <w:color w:val="0D0D0D"/>
        </w:rPr>
        <w:t xml:space="preserve"> fogalmának horizontális meghatározásában szereplő, a nanorészecskék számára vonatkozó 50%-os küszöbérték „nem szilárd tudományos érveken alapul”, és azt ajánlotta, hogy alacsonyabb értéket állapítsanak meg e küszöbértékre vonatkozóan;</w:t>
      </w:r>
    </w:p>
    <w:p w14:paraId="12E7E616" w14:textId="77777777" w:rsidR="00DA539F" w:rsidRPr="00BC10DA" w:rsidRDefault="00DA539F" w:rsidP="00840E32">
      <w:pPr>
        <w:widowControl/>
        <w:spacing w:after="240"/>
        <w:ind w:left="567" w:hanging="567"/>
        <w:rPr>
          <w:color w:val="0D0D0D"/>
          <w:szCs w:val="24"/>
        </w:rPr>
      </w:pPr>
      <w:r w:rsidRPr="00BC10DA">
        <w:rPr>
          <w:color w:val="0D0D0D"/>
        </w:rPr>
        <w:t xml:space="preserve">Q. </w:t>
      </w:r>
      <w:r w:rsidRPr="00BC10DA">
        <w:rPr>
          <w:color w:val="0D0D0D"/>
        </w:rPr>
        <w:tab/>
        <w:t>mivel az élelmiszerek nanoösszetevőinek a nanorészecskék számára vonatkozó 10%-os küszöbérték alapján történő kimutatása megvalósítható, mivel a francia Versenypolitikai, Fogyasztóvédelmi és Csalás Elleni Főigazgatóság [Direction générale de la concurrence, de la consommation et de la répression des fraudes] jelenleg is ezt a küszöbértéket alkalmazza ellenőrzési tevékenysége során</w:t>
      </w:r>
      <w:r w:rsidRPr="00BC10DA">
        <w:rPr>
          <w:rStyle w:val="FootnoteReference"/>
          <w:color w:val="0D0D0D"/>
          <w:szCs w:val="24"/>
        </w:rPr>
        <w:footnoteReference w:id="24"/>
      </w:r>
      <w:r w:rsidRPr="00BC10DA">
        <w:rPr>
          <w:color w:val="0D0D0D"/>
        </w:rPr>
        <w:t>;</w:t>
      </w:r>
    </w:p>
    <w:p w14:paraId="65728C91" w14:textId="77777777" w:rsidR="00DA539F" w:rsidRPr="00844BE8" w:rsidRDefault="00DA539F" w:rsidP="00840E32">
      <w:pPr>
        <w:widowControl/>
        <w:spacing w:after="240"/>
        <w:ind w:left="567" w:hanging="567"/>
        <w:rPr>
          <w:b/>
          <w:i/>
          <w:color w:val="0D0D0D"/>
          <w:szCs w:val="24"/>
        </w:rPr>
      </w:pPr>
      <w:r w:rsidRPr="00844BE8">
        <w:rPr>
          <w:b/>
          <w:i/>
          <w:color w:val="0D0D0D"/>
        </w:rPr>
        <w:t>Az elővigyázatosság elve</w:t>
      </w:r>
    </w:p>
    <w:p w14:paraId="768787D1" w14:textId="77777777" w:rsidR="00DA539F" w:rsidRPr="00BC10DA" w:rsidRDefault="00DA539F" w:rsidP="00840E32">
      <w:pPr>
        <w:widowControl/>
        <w:spacing w:after="240"/>
        <w:ind w:left="567" w:hanging="567"/>
        <w:rPr>
          <w:color w:val="0D0D0D"/>
          <w:szCs w:val="24"/>
        </w:rPr>
      </w:pPr>
      <w:r w:rsidRPr="00BC10DA">
        <w:rPr>
          <w:color w:val="0D0D0D"/>
        </w:rPr>
        <w:t>R.</w:t>
      </w:r>
      <w:r w:rsidRPr="00BC10DA">
        <w:rPr>
          <w:color w:val="0D0D0D"/>
        </w:rPr>
        <w:tab/>
        <w:t>mivel az EUMSZ 191. cikkének (2) bekezdése az Unió egyik alapelveként határozza meg az elővigyázatosság elvét;</w:t>
      </w:r>
    </w:p>
    <w:p w14:paraId="48724168" w14:textId="77777777" w:rsidR="00DA539F" w:rsidRPr="00BC10DA" w:rsidRDefault="00DA539F" w:rsidP="00840E32">
      <w:pPr>
        <w:widowControl/>
        <w:spacing w:after="240"/>
        <w:ind w:left="567" w:hanging="567"/>
        <w:rPr>
          <w:szCs w:val="24"/>
        </w:rPr>
      </w:pPr>
      <w:r w:rsidRPr="00BC10DA">
        <w:t xml:space="preserve">S. </w:t>
      </w:r>
      <w:r w:rsidRPr="00BC10DA">
        <w:tab/>
        <w:t>mivel az EUMSZ 168. cikkének (1) bekezdése előírja, hogy „valamennyi uniós politika és tevékenység meghatározása és végrehajtása során biztosítani kell az emberi egészségvédelem magas szintjét”;</w:t>
      </w:r>
    </w:p>
    <w:p w14:paraId="6243FC95" w14:textId="77777777" w:rsidR="00DA539F" w:rsidRPr="00BC10DA" w:rsidRDefault="00DA539F" w:rsidP="00840E32">
      <w:pPr>
        <w:pStyle w:val="NormalHanging12a"/>
        <w:widowControl/>
        <w:rPr>
          <w:szCs w:val="24"/>
        </w:rPr>
      </w:pPr>
      <w:r w:rsidRPr="00BC10DA">
        <w:t>1.</w:t>
      </w:r>
      <w:r w:rsidRPr="00BC10DA">
        <w:tab/>
        <w:t>kifogást emel a felhatalmazáson alapuló bizottsági rendelettel szemben;</w:t>
      </w:r>
    </w:p>
    <w:p w14:paraId="653DDD1B" w14:textId="77777777" w:rsidR="00DA539F" w:rsidRPr="00BC10DA" w:rsidRDefault="00DA539F" w:rsidP="00840E32">
      <w:pPr>
        <w:pStyle w:val="NormalHanging12a"/>
        <w:widowControl/>
        <w:rPr>
          <w:szCs w:val="24"/>
        </w:rPr>
      </w:pPr>
      <w:r w:rsidRPr="00BC10DA">
        <w:t>2.</w:t>
      </w:r>
      <w:r w:rsidRPr="00BC10DA">
        <w:tab/>
        <w:t xml:space="preserve">utasítja elnökét, hogy továbbítsa ezt az állásfoglalást a Bizottságnak, és értesítse arról, hogy a felhatalmazáson alapuló bizottsági rendelet nem léphet hatályba; </w:t>
      </w:r>
    </w:p>
    <w:p w14:paraId="1158541D" w14:textId="77777777" w:rsidR="00DA539F" w:rsidRPr="00BC10DA" w:rsidRDefault="00DA539F" w:rsidP="00840E32">
      <w:pPr>
        <w:widowControl/>
        <w:spacing w:after="240"/>
        <w:ind w:left="567" w:hanging="567"/>
        <w:rPr>
          <w:szCs w:val="24"/>
        </w:rPr>
      </w:pPr>
      <w:r w:rsidRPr="00BC10DA">
        <w:lastRenderedPageBreak/>
        <w:t xml:space="preserve">3. </w:t>
      </w:r>
      <w:r w:rsidRPr="00BC10DA">
        <w:tab/>
        <w:t>úgy véli, hogy a felhatalmazáson alapuló bizottsági rendelet nem egyeztethető össze az (EU) 2015/2283 rendelet céljával és tartalmával, és hogy túllépi az említett rendelet 31. cikkében a Bizottságra ruházott hatáskört;</w:t>
      </w:r>
    </w:p>
    <w:p w14:paraId="049FA751" w14:textId="77777777" w:rsidR="00DA539F" w:rsidRPr="00BC10DA" w:rsidRDefault="00DA539F" w:rsidP="00840E32">
      <w:pPr>
        <w:widowControl/>
        <w:spacing w:after="240"/>
        <w:ind w:left="567" w:hanging="567"/>
        <w:rPr>
          <w:szCs w:val="24"/>
        </w:rPr>
      </w:pPr>
      <w:r w:rsidRPr="00BC10DA">
        <w:t xml:space="preserve">4. </w:t>
      </w:r>
      <w:r w:rsidRPr="00BC10DA">
        <w:tab/>
        <w:t>sajnálja, hogy a javasolt 50%-os küszöbérték nem veszi figyelembe a műszaki és tudományos fejlődést;</w:t>
      </w:r>
    </w:p>
    <w:p w14:paraId="7BE28C8A" w14:textId="77777777" w:rsidR="00DA539F" w:rsidRPr="00BC10DA" w:rsidRDefault="00DA539F" w:rsidP="00840E32">
      <w:pPr>
        <w:pStyle w:val="NormalHanging12a"/>
        <w:widowControl/>
        <w:rPr>
          <w:szCs w:val="24"/>
        </w:rPr>
      </w:pPr>
      <w:r w:rsidRPr="00BC10DA">
        <w:t xml:space="preserve">5. </w:t>
      </w:r>
      <w:r w:rsidRPr="00BC10DA">
        <w:tab/>
        <w:t>felszólítja a Bizottságot, hogy alkalmazza az elővigyázatosság elvét, biztosítsa a fogyasztók biztonságát és tájékoztatását, valamint vegye figyelembe az „Egy az egészség” koncepciót;</w:t>
      </w:r>
    </w:p>
    <w:p w14:paraId="3D367A3A" w14:textId="77777777" w:rsidR="00DA539F" w:rsidRPr="00BC10DA" w:rsidRDefault="00DA539F" w:rsidP="00840E32">
      <w:pPr>
        <w:pStyle w:val="NormalHanging12a"/>
        <w:widowControl/>
        <w:rPr>
          <w:szCs w:val="24"/>
        </w:rPr>
      </w:pPr>
      <w:r w:rsidRPr="00BC10DA">
        <w:t>6.</w:t>
      </w:r>
      <w:r w:rsidRPr="00BC10DA">
        <w:tab/>
        <w:t>utasítja elnökét, hogy továbbítsa ezt az állásfoglalást a Tanácsnak, valamint a tagállamok kormányainak és parlamentjeinek.</w:t>
      </w:r>
    </w:p>
    <w:p w14:paraId="6DFBD2B7" w14:textId="77777777" w:rsidR="00E365E1" w:rsidRPr="00BC10DA" w:rsidRDefault="00E365E1" w:rsidP="00840E32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BC10DA" w:rsidSect="00BC10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60D1A" w14:textId="77777777" w:rsidR="008702C1" w:rsidRPr="00BC10DA" w:rsidRDefault="008702C1">
      <w:r w:rsidRPr="00BC10DA">
        <w:separator/>
      </w:r>
    </w:p>
  </w:endnote>
  <w:endnote w:type="continuationSeparator" w:id="0">
    <w:p w14:paraId="5CCCFDF1" w14:textId="77777777" w:rsidR="008702C1" w:rsidRPr="00BC10DA" w:rsidRDefault="008702C1">
      <w:r w:rsidRPr="00BC10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6FBA1" w14:textId="77777777" w:rsidR="00064002" w:rsidRPr="00BC10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E3E89" w14:textId="77777777" w:rsidR="00064002" w:rsidRPr="00BC10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1839E" w14:textId="77777777" w:rsidR="00064002" w:rsidRPr="00BC10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566AA" w14:textId="77777777" w:rsidR="008702C1" w:rsidRPr="00BC10DA" w:rsidRDefault="008702C1">
      <w:r w:rsidRPr="00BC10DA">
        <w:separator/>
      </w:r>
    </w:p>
  </w:footnote>
  <w:footnote w:type="continuationSeparator" w:id="0">
    <w:p w14:paraId="6DBEB39B" w14:textId="77777777" w:rsidR="008702C1" w:rsidRPr="00BC10DA" w:rsidRDefault="008702C1">
      <w:r w:rsidRPr="00BC10DA">
        <w:continuationSeparator/>
      </w:r>
    </w:p>
  </w:footnote>
  <w:footnote w:id="1">
    <w:p w14:paraId="04B7036C" w14:textId="77777777" w:rsidR="00DA539F" w:rsidRPr="00BC10DA" w:rsidRDefault="00DA539F" w:rsidP="00BC10DA">
      <w:pPr>
        <w:pStyle w:val="FootnoteText"/>
        <w:ind w:left="567" w:hanging="567"/>
        <w:rPr>
          <w:sz w:val="24"/>
          <w:lang w:val="hu-HU"/>
        </w:rPr>
      </w:pPr>
      <w:r w:rsidRPr="00BC10DA">
        <w:rPr>
          <w:rStyle w:val="FootnoteReference"/>
          <w:sz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 xml:space="preserve">HL L 327., 2015.12.11., 1. o. </w:t>
      </w:r>
    </w:p>
  </w:footnote>
  <w:footnote w:id="2">
    <w:p w14:paraId="7C0AFBA8" w14:textId="77777777" w:rsidR="00DA539F" w:rsidRPr="00BC10DA" w:rsidRDefault="00DA539F" w:rsidP="00BC10DA">
      <w:pPr>
        <w:pStyle w:val="FootnoteText"/>
        <w:ind w:left="567" w:hanging="567"/>
        <w:rPr>
          <w:sz w:val="24"/>
          <w:lang w:val="hu-HU"/>
        </w:rPr>
      </w:pPr>
      <w:r w:rsidRPr="00BC10DA">
        <w:rPr>
          <w:rStyle w:val="FootnoteReference"/>
          <w:sz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>HL L 304., 2011.11.22., 18. o.</w:t>
      </w:r>
    </w:p>
  </w:footnote>
  <w:footnote w:id="3">
    <w:p w14:paraId="4C65496D" w14:textId="77777777" w:rsidR="00DA539F" w:rsidRPr="00BC10DA" w:rsidRDefault="00DA539F" w:rsidP="00BC10DA">
      <w:pPr>
        <w:pStyle w:val="FootnoteText"/>
        <w:ind w:left="567" w:hanging="567"/>
        <w:rPr>
          <w:sz w:val="24"/>
          <w:lang w:val="hu-HU"/>
        </w:rPr>
      </w:pPr>
      <w:r w:rsidRPr="00BC10DA">
        <w:rPr>
          <w:rStyle w:val="FootnoteReference"/>
          <w:sz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>HL L 354., 2008.12.31., 16. o.</w:t>
      </w:r>
    </w:p>
  </w:footnote>
  <w:footnote w:id="4">
    <w:p w14:paraId="64BEBBED" w14:textId="77777777" w:rsidR="00DA539F" w:rsidRPr="00BC10DA" w:rsidRDefault="00DA539F" w:rsidP="00BC10DA">
      <w:pPr>
        <w:pStyle w:val="FootnoteText"/>
        <w:ind w:left="567" w:hanging="567"/>
        <w:rPr>
          <w:sz w:val="24"/>
          <w:lang w:val="hu-HU"/>
        </w:rPr>
      </w:pPr>
      <w:r w:rsidRPr="00BC10DA">
        <w:rPr>
          <w:rStyle w:val="FootnoteReference"/>
          <w:sz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>HL L 295., 2011.11.12., 1. o.</w:t>
      </w:r>
    </w:p>
  </w:footnote>
  <w:footnote w:id="5">
    <w:p w14:paraId="043C716E" w14:textId="77777777" w:rsidR="00DA539F" w:rsidRPr="00BC10DA" w:rsidRDefault="00DA539F" w:rsidP="00BC10DA">
      <w:pPr>
        <w:pStyle w:val="FootnoteText"/>
        <w:ind w:left="567" w:hanging="567"/>
        <w:rPr>
          <w:sz w:val="24"/>
          <w:lang w:val="hu-HU"/>
        </w:rPr>
      </w:pPr>
      <w:r w:rsidRPr="00BC10DA">
        <w:rPr>
          <w:rStyle w:val="FootnoteReference"/>
          <w:sz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>HL L 295., 2011.11.12., 178. o.</w:t>
      </w:r>
    </w:p>
  </w:footnote>
  <w:footnote w:id="6">
    <w:p w14:paraId="1DD845E1" w14:textId="77777777" w:rsidR="00DA539F" w:rsidRPr="00BC10DA" w:rsidRDefault="00DA539F" w:rsidP="00BC10DA">
      <w:pPr>
        <w:pStyle w:val="FootnoteText"/>
        <w:ind w:left="567" w:hanging="567"/>
        <w:rPr>
          <w:sz w:val="24"/>
          <w:lang w:val="hu-HU"/>
        </w:rPr>
      </w:pPr>
      <w:r w:rsidRPr="00BC10DA">
        <w:rPr>
          <w:rStyle w:val="FootnoteReference"/>
          <w:sz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>HL L 80., 2010.3.26., 19. o.</w:t>
      </w:r>
    </w:p>
  </w:footnote>
  <w:footnote w:id="7">
    <w:p w14:paraId="0CFD9611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1" w:history="1">
        <w:r w:rsidRPr="00BC10DA">
          <w:rPr>
            <w:rStyle w:val="Hyperlink"/>
            <w:color w:val="1155CC"/>
            <w:sz w:val="24"/>
            <w:lang w:val="hu-HU"/>
          </w:rPr>
          <w:t>https://www.anses.fr/fr/nanomateriaux-alimentation-premiere-application-methodologie</w:t>
        </w:r>
      </w:hyperlink>
      <w:r w:rsidRPr="00BC10DA">
        <w:rPr>
          <w:rStyle w:val="Hyperlink"/>
          <w:color w:val="1155CC"/>
          <w:sz w:val="24"/>
          <w:lang w:val="hu-HU"/>
        </w:rPr>
        <w:t>.</w:t>
      </w:r>
      <w:r w:rsidRPr="00BC10DA">
        <w:rPr>
          <w:color w:val="1155CC"/>
          <w:sz w:val="24"/>
          <w:u w:val="single"/>
          <w:lang w:val="hu-HU"/>
        </w:rPr>
        <w:t xml:space="preserve"> </w:t>
      </w:r>
    </w:p>
  </w:footnote>
  <w:footnote w:id="8">
    <w:p w14:paraId="7772CF08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2" w:history="1">
        <w:r w:rsidRPr="00BC10DA">
          <w:rPr>
            <w:rStyle w:val="Hyperlink"/>
            <w:sz w:val="24"/>
            <w:lang w:val="hu-HU"/>
          </w:rPr>
          <w:t>https://www.agirpourlenvironnement.org/communiques-presse/enquete-exclusive-des-analyses-revelent-la-presence-de-nanoparticules-dans-3980/</w:t>
        </w:r>
      </w:hyperlink>
      <w:r w:rsidRPr="00BC10DA">
        <w:rPr>
          <w:rStyle w:val="Hyperlink"/>
          <w:sz w:val="24"/>
          <w:lang w:val="hu-HU"/>
        </w:rPr>
        <w:t>.</w:t>
      </w:r>
    </w:p>
  </w:footnote>
  <w:footnote w:id="9">
    <w:p w14:paraId="0A7D6357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3" w:history="1">
        <w:r w:rsidRPr="00BC10DA">
          <w:rPr>
            <w:rStyle w:val="Hyperlink"/>
            <w:color w:val="1155CC"/>
            <w:sz w:val="24"/>
            <w:lang w:val="hu-HU"/>
          </w:rPr>
          <w:t>https://www.quechoisir.org/enquete-nanoparticules-taille-mini-doutes-maxi-n50748/</w:t>
        </w:r>
      </w:hyperlink>
      <w:r w:rsidRPr="00BC10DA">
        <w:rPr>
          <w:rStyle w:val="Hyperlink"/>
          <w:color w:val="1155CC"/>
          <w:sz w:val="24"/>
          <w:lang w:val="hu-HU"/>
        </w:rPr>
        <w:t>.</w:t>
      </w:r>
      <w:r w:rsidRPr="00BC10DA">
        <w:rPr>
          <w:color w:val="1155CC"/>
          <w:sz w:val="24"/>
          <w:u w:val="single"/>
          <w:lang w:val="hu-HU"/>
        </w:rPr>
        <w:t xml:space="preserve"> </w:t>
      </w:r>
    </w:p>
  </w:footnote>
  <w:footnote w:id="10">
    <w:p w14:paraId="0758B6C8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4" w:history="1">
        <w:r w:rsidRPr="00BC10DA">
          <w:rPr>
            <w:rStyle w:val="Hyperlink"/>
            <w:color w:val="1155CC"/>
            <w:sz w:val="24"/>
            <w:lang w:val="hu-HU"/>
          </w:rPr>
          <w:t>https://bibliotheque.60millions-mag.com/detail/publication/detail-top-right/561?issue_id=113421&amp;switch_toc=archive</w:t>
        </w:r>
      </w:hyperlink>
      <w:r w:rsidRPr="00BC10DA">
        <w:rPr>
          <w:rStyle w:val="Hyperlink"/>
          <w:color w:val="1155CC"/>
          <w:sz w:val="24"/>
          <w:lang w:val="hu-HU"/>
        </w:rPr>
        <w:t>.</w:t>
      </w:r>
    </w:p>
  </w:footnote>
  <w:footnote w:id="11">
    <w:p w14:paraId="7168D6A4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5" w:history="1">
        <w:r w:rsidRPr="00BC10DA">
          <w:rPr>
            <w:rStyle w:val="Hyperlink"/>
            <w:color w:val="1155CC"/>
            <w:sz w:val="24"/>
            <w:lang w:val="hu-HU"/>
          </w:rPr>
          <w:t>https://veillenanos.fr/wp-content/uploads/2023/01/Rapport-test-EN-20230113.pdf</w:t>
        </w:r>
      </w:hyperlink>
      <w:r w:rsidRPr="00BC10DA">
        <w:rPr>
          <w:rStyle w:val="Hyperlink"/>
          <w:color w:val="1155CC"/>
          <w:sz w:val="24"/>
          <w:lang w:val="hu-HU"/>
        </w:rPr>
        <w:t>.</w:t>
      </w:r>
    </w:p>
  </w:footnote>
  <w:footnote w:id="12">
    <w:p w14:paraId="5DFF566D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6" w:history="1">
        <w:r w:rsidRPr="00BC10DA">
          <w:rPr>
            <w:rStyle w:val="Hyperlink"/>
            <w:color w:val="1155CC"/>
            <w:sz w:val="24"/>
            <w:lang w:val="hu-HU"/>
          </w:rPr>
          <w:t>https://www.foodwatch.org/de/potenziell-krebserregender-farbstoff-in-backzutaten-von-dr-oetker</w:t>
        </w:r>
      </w:hyperlink>
      <w:r w:rsidRPr="00BC10DA">
        <w:rPr>
          <w:rStyle w:val="Hyperlink"/>
          <w:color w:val="1155CC"/>
          <w:sz w:val="24"/>
          <w:lang w:val="hu-HU"/>
        </w:rPr>
        <w:t>.</w:t>
      </w:r>
    </w:p>
  </w:footnote>
  <w:footnote w:id="13">
    <w:p w14:paraId="27A36F63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7" w:history="1">
        <w:r w:rsidRPr="00BC10DA">
          <w:rPr>
            <w:rStyle w:val="Hyperlink"/>
            <w:color w:val="1155CC"/>
            <w:sz w:val="24"/>
            <w:lang w:val="hu-HU"/>
          </w:rPr>
          <w:t>https://www.bund.net/fileadmin/user_upload_bund/publikationen/chemie/‌nanotechnologie_in_lebensmitteln_hintergrund.pdf</w:t>
        </w:r>
      </w:hyperlink>
      <w:r w:rsidRPr="00BC10DA">
        <w:rPr>
          <w:rStyle w:val="Hyperlink"/>
          <w:color w:val="1155CC"/>
          <w:sz w:val="24"/>
          <w:lang w:val="hu-HU"/>
        </w:rPr>
        <w:t>.</w:t>
      </w:r>
    </w:p>
  </w:footnote>
  <w:footnote w:id="14">
    <w:p w14:paraId="43F4EFFF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8" w:history="1">
        <w:r w:rsidRPr="00BC10DA">
          <w:rPr>
            <w:rStyle w:val="Hyperlink"/>
            <w:color w:val="1155CC"/>
            <w:sz w:val="24"/>
            <w:lang w:val="hu-HU"/>
          </w:rPr>
          <w:t>https://www.test-achats.be/sante/sante-au-quotidien/produits-testes/news/nanoparticules-affichage</w:t>
        </w:r>
      </w:hyperlink>
      <w:r w:rsidRPr="00BC10DA">
        <w:rPr>
          <w:rStyle w:val="Hyperlink"/>
          <w:color w:val="1155CC"/>
          <w:sz w:val="24"/>
          <w:lang w:val="hu-HU"/>
        </w:rPr>
        <w:t>.</w:t>
      </w:r>
      <w:r w:rsidRPr="00BC10DA">
        <w:rPr>
          <w:color w:val="1155CC"/>
          <w:sz w:val="24"/>
          <w:u w:val="single"/>
          <w:lang w:val="hu-HU"/>
        </w:rPr>
        <w:t xml:space="preserve"> </w:t>
      </w:r>
    </w:p>
  </w:footnote>
  <w:footnote w:id="15">
    <w:p w14:paraId="26A7EAF8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9" w:history="1">
        <w:r w:rsidRPr="00BC10DA">
          <w:rPr>
            <w:rStyle w:val="Hyperlink"/>
            <w:color w:val="1155CC"/>
            <w:sz w:val="24"/>
            <w:lang w:val="hu-HU"/>
          </w:rPr>
          <w:t>https://www.altroconsumo.it/alimentazione/sicurezza-alimentare/news/nanoparticelle</w:t>
        </w:r>
      </w:hyperlink>
      <w:r w:rsidRPr="00BC10DA">
        <w:rPr>
          <w:rStyle w:val="Hyperlink"/>
          <w:color w:val="1155CC"/>
          <w:sz w:val="24"/>
          <w:lang w:val="hu-HU"/>
        </w:rPr>
        <w:t>.</w:t>
      </w:r>
    </w:p>
  </w:footnote>
  <w:footnote w:id="16">
    <w:p w14:paraId="12EE0410" w14:textId="77777777" w:rsidR="00DA539F" w:rsidRPr="00BC10DA" w:rsidRDefault="00DA539F" w:rsidP="00BC10DA">
      <w:pPr>
        <w:ind w:left="567" w:hanging="567"/>
        <w:rPr>
          <w:color w:val="1155CC"/>
          <w:szCs w:val="24"/>
          <w:u w:val="single"/>
        </w:rPr>
      </w:pPr>
      <w:r w:rsidRPr="00BC10DA">
        <w:rPr>
          <w:rStyle w:val="FootnoteReference"/>
          <w:szCs w:val="24"/>
        </w:rPr>
        <w:footnoteRef/>
      </w:r>
      <w:r w:rsidR="00BC10DA" w:rsidRPr="00BC10DA">
        <w:t xml:space="preserve"> </w:t>
      </w:r>
      <w:r w:rsidR="00BC10DA" w:rsidRPr="00BC10DA">
        <w:tab/>
      </w:r>
      <w:hyperlink r:id="rId10" w:history="1">
        <w:r w:rsidRPr="00BC10DA">
          <w:rPr>
            <w:rStyle w:val="Hyperlink"/>
          </w:rPr>
          <w:t>https://www.ocu.org/toda-la-informacion?type=magazine-articles&amp;magazine=ocu%20compra%20maestra&amp;year=2019</w:t>
        </w:r>
      </w:hyperlink>
      <w:r w:rsidRPr="00BC10DA">
        <w:rPr>
          <w:rStyle w:val="Hyperlink"/>
        </w:rPr>
        <w:t>.</w:t>
      </w:r>
    </w:p>
  </w:footnote>
  <w:footnote w:id="17">
    <w:p w14:paraId="501E96BB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11" w:history="1">
        <w:r w:rsidRPr="00BC10DA">
          <w:rPr>
            <w:rStyle w:val="Hyperlink"/>
            <w:sz w:val="24"/>
            <w:lang w:val="hu-HU"/>
          </w:rPr>
          <w:t>https://echa.europa.eu/-/what-do-eu-citizens-think-about-nanomaterials-</w:t>
        </w:r>
      </w:hyperlink>
      <w:r w:rsidRPr="00BC10DA">
        <w:rPr>
          <w:rStyle w:val="Hyperlink"/>
          <w:sz w:val="24"/>
          <w:lang w:val="hu-HU"/>
        </w:rPr>
        <w:t>.</w:t>
      </w:r>
      <w:r w:rsidRPr="00BC10DA">
        <w:rPr>
          <w:sz w:val="24"/>
          <w:lang w:val="hu-HU"/>
        </w:rPr>
        <w:t xml:space="preserve"> </w:t>
      </w:r>
    </w:p>
  </w:footnote>
  <w:footnote w:id="18">
    <w:p w14:paraId="40895143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>HL C 378., 2017.11.9., 92. o.</w:t>
      </w:r>
    </w:p>
  </w:footnote>
  <w:footnote w:id="19">
    <w:p w14:paraId="6EFF3C32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>HL C 395., 2021.3.29., 28. o.</w:t>
      </w:r>
    </w:p>
  </w:footnote>
  <w:footnote w:id="20">
    <w:p w14:paraId="50B54798" w14:textId="0C584FED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12" w:history="1">
        <w:r w:rsidR="009B21A4" w:rsidRPr="009B21A4">
          <w:rPr>
            <w:rStyle w:val="Hyperlink"/>
            <w:sz w:val="24"/>
            <w:lang w:val="hu-HU"/>
          </w:rPr>
          <w:t>https://www.efsa.europa.eu/sites/default/files/assets/</w:t>
        </w:r>
        <w:r w:rsidR="009B21A4" w:rsidRPr="00117DB8">
          <w:rPr>
            <w:rStyle w:val="Hyperlink"/>
            <w:sz w:val="24"/>
            <w:lang w:val="hu-HU"/>
          </w:rPr>
          <w:br/>
          <w:t>corporatenanotechnology121003.pdf</w:t>
        </w:r>
      </w:hyperlink>
      <w:r w:rsidRPr="00BC10DA">
        <w:rPr>
          <w:rStyle w:val="Hyperlink"/>
          <w:sz w:val="24"/>
          <w:lang w:val="hu-HU"/>
        </w:rPr>
        <w:t>.</w:t>
      </w:r>
    </w:p>
  </w:footnote>
  <w:footnote w:id="21">
    <w:p w14:paraId="55886EC1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hyperlink r:id="rId13" w:history="1">
        <w:r w:rsidRPr="00BC10DA">
          <w:rPr>
            <w:rStyle w:val="Hyperlink"/>
            <w:color w:val="1155CC"/>
            <w:sz w:val="24"/>
            <w:lang w:val="hu-HU"/>
          </w:rPr>
          <w:t>https://veillenanos.fr/en/dossier/nanos-and-health/nanos-health-risks/</w:t>
        </w:r>
      </w:hyperlink>
      <w:r w:rsidRPr="00BC10DA">
        <w:rPr>
          <w:rStyle w:val="Hyperlink"/>
          <w:color w:val="1155CC"/>
          <w:sz w:val="24"/>
          <w:lang w:val="hu-HU"/>
        </w:rPr>
        <w:t>.</w:t>
      </w:r>
    </w:p>
  </w:footnote>
  <w:footnote w:id="22">
    <w:p w14:paraId="6E0DC876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>Az Anses véleménye (2023): Definition of nanomaterials: analysis, challenges and controversies [A nanoanyagok fogalommeghatározása: elemzés, kihívások és ellentmondások],</w:t>
      </w:r>
      <w:hyperlink r:id="rId14" w:history="1">
        <w:r w:rsidRPr="00BC10DA">
          <w:rPr>
            <w:rStyle w:val="Hyperlink"/>
            <w:sz w:val="24"/>
            <w:lang w:val="hu-HU"/>
          </w:rPr>
          <w:t xml:space="preserve"> </w:t>
        </w:r>
      </w:hyperlink>
      <w:hyperlink r:id="rId15" w:history="1">
        <w:r w:rsidRPr="00BC10DA">
          <w:rPr>
            <w:rStyle w:val="Hyperlink"/>
            <w:color w:val="1155CC"/>
            <w:sz w:val="24"/>
            <w:lang w:val="hu-HU"/>
          </w:rPr>
          <w:t>https://www.anses.fr/en/system/files/AP2018SA0168RaEN.pdf</w:t>
        </w:r>
      </w:hyperlink>
      <w:r w:rsidRPr="00BC10DA">
        <w:rPr>
          <w:rStyle w:val="Hyperlink"/>
          <w:color w:val="1155CC"/>
          <w:sz w:val="24"/>
          <w:lang w:val="hu-HU"/>
        </w:rPr>
        <w:t>.</w:t>
      </w:r>
    </w:p>
  </w:footnote>
  <w:footnote w:id="23">
    <w:p w14:paraId="21D05BB8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>A Bizottság ajánlása (2022. június 10.) a nanoanyag fogalmának meghatározásáról (HL C 229., 2022.6.14., 1. o.).</w:t>
      </w:r>
    </w:p>
  </w:footnote>
  <w:footnote w:id="24">
    <w:p w14:paraId="515B5744" w14:textId="77777777" w:rsidR="00DA539F" w:rsidRPr="00BC10DA" w:rsidRDefault="00DA539F" w:rsidP="00BC10DA">
      <w:pPr>
        <w:pStyle w:val="FootnoteText"/>
        <w:ind w:left="567" w:hanging="567"/>
        <w:rPr>
          <w:sz w:val="24"/>
          <w:szCs w:val="24"/>
          <w:lang w:val="hu-HU"/>
        </w:rPr>
      </w:pPr>
      <w:r w:rsidRPr="00BC10DA">
        <w:rPr>
          <w:rStyle w:val="FootnoteReference"/>
          <w:sz w:val="24"/>
          <w:szCs w:val="24"/>
          <w:lang w:val="hu-HU"/>
        </w:rPr>
        <w:footnoteRef/>
      </w:r>
      <w:r w:rsidR="00BC10DA" w:rsidRPr="00BC10DA">
        <w:rPr>
          <w:sz w:val="24"/>
          <w:lang w:val="hu-HU"/>
        </w:rPr>
        <w:t xml:space="preserve"> </w:t>
      </w:r>
      <w:r w:rsidR="00BC10DA" w:rsidRPr="00BC10DA">
        <w:rPr>
          <w:sz w:val="24"/>
          <w:lang w:val="hu-HU"/>
        </w:rPr>
        <w:tab/>
      </w:r>
      <w:r w:rsidRPr="00BC10DA">
        <w:rPr>
          <w:sz w:val="24"/>
          <w:lang w:val="hu-HU"/>
        </w:rPr>
        <w:t>Anses (2020): Nanomatériaux dans les produits destinés à l’alimentation. Rapport d’expertise collective,</w:t>
      </w:r>
      <w:hyperlink r:id="rId16" w:history="1">
        <w:r w:rsidRPr="00BC10DA">
          <w:rPr>
            <w:rStyle w:val="Hyperlink"/>
            <w:sz w:val="24"/>
            <w:lang w:val="hu-HU"/>
          </w:rPr>
          <w:t xml:space="preserve"> </w:t>
        </w:r>
      </w:hyperlink>
      <w:hyperlink r:id="rId17" w:history="1">
        <w:r w:rsidRPr="00BC10DA">
          <w:rPr>
            <w:rStyle w:val="Hyperlink"/>
            <w:color w:val="1155CC"/>
            <w:sz w:val="24"/>
            <w:lang w:val="hu-HU"/>
          </w:rPr>
          <w:t>https://www.anses.fr/fr/system/files/ERCA2016SA0226Ra.pdf</w:t>
        </w:r>
      </w:hyperlink>
      <w:r w:rsidRPr="00BC10DA">
        <w:rPr>
          <w:sz w:val="24"/>
          <w:lang w:val="hu-HU"/>
        </w:rPr>
        <w:t xml:space="preserve"> (86. o.).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38726" w14:textId="77777777" w:rsidR="00064002" w:rsidRPr="00BC10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6584D" w14:textId="77777777" w:rsidR="00064002" w:rsidRPr="00BC10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29AB3" w14:textId="77777777" w:rsidR="00064002" w:rsidRPr="00BC10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HU"/>
    <w:docVar w:name="dvnumam" w:val="0"/>
    <w:docVar w:name="dvpe" w:val="760.689"/>
    <w:docVar w:name="dvtitre" w:val="Az Európai Parlament 2024.  ...-i állásfoglalása az új élelmiszerekről szóló (EU) 2015/2283 európai parlamenti és tanácsi rendeletnek a „mesterséges nanoanyagok” fogalommeghatározása tekintetében történő módosításáról szóló, 2024. március 14-i felhatalmazáson alapuló bizottsági rendeletről(C(2024)01612 – 2024/2691(DEA))"/>
  </w:docVars>
  <w:rsids>
    <w:rsidRoot w:val="008702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76D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E32"/>
    <w:rsid w:val="00842779"/>
    <w:rsid w:val="00844BE8"/>
    <w:rsid w:val="00865F67"/>
    <w:rsid w:val="008702C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1A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0D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39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8BF41"/>
  <w15:chartTrackingRefBased/>
  <w15:docId w15:val="{F64D7316-CAAC-49E8-8C49-3CB06504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A539F"/>
    <w:pPr>
      <w:spacing w:before="480" w:after="240"/>
    </w:pPr>
  </w:style>
  <w:style w:type="paragraph" w:customStyle="1" w:styleId="NormalHanging12a">
    <w:name w:val="NormalHanging12a"/>
    <w:basedOn w:val="Normal"/>
    <w:rsid w:val="00DA539F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A539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40E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0E32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840E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0E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40E32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840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0E32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-achats.be/sante/sante-au-quotidien/produits-testes/news/nanoparticules-affichage" TargetMode="External"/><Relationship Id="rId13" Type="http://schemas.openxmlformats.org/officeDocument/2006/relationships/hyperlink" Target="https://veillenanos.fr/en/dossier/nanos-and-health/nanos-health-risks/" TargetMode="External"/><Relationship Id="rId3" Type="http://schemas.openxmlformats.org/officeDocument/2006/relationships/hyperlink" Target="https://www.quechoisir.org/enquete-nanoparticules-taille-mini-doutes-maxi-n50748/" TargetMode="External"/><Relationship Id="rId7" Type="http://schemas.openxmlformats.org/officeDocument/2006/relationships/hyperlink" Target="https://www.bund.net/fileadmin/user_upload_bund/publikationen/chemie/nanotechnologie_in_lebensmitteln_hintergrund.pdf" TargetMode="External"/><Relationship Id="rId12" Type="http://schemas.openxmlformats.org/officeDocument/2006/relationships/hyperlink" Target="https://www.efsa.europa.eu/sites/default/files/assets/corporatenanotechnology121003.pdf" TargetMode="External"/><Relationship Id="rId17" Type="http://schemas.openxmlformats.org/officeDocument/2006/relationships/hyperlink" Target="https://www.anses.fr/fr/system/files/ERCA2016SA0226Ra.pdf" TargetMode="External"/><Relationship Id="rId2" Type="http://schemas.openxmlformats.org/officeDocument/2006/relationships/hyperlink" Target="https://www.agirpourlenvironnement.org/communiques-presse/enquete-exclusive-des-analyses-revelent-la-presence-de-nanoparticules-dans-3980/" TargetMode="External"/><Relationship Id="rId16" Type="http://schemas.openxmlformats.org/officeDocument/2006/relationships/hyperlink" Target="https://www.anses.fr/fr/system/files/ERCA2016SA0226Ra.pdf" TargetMode="External"/><Relationship Id="rId1" Type="http://schemas.openxmlformats.org/officeDocument/2006/relationships/hyperlink" Target="https://www.anses.fr/fr/nanomateriaux-alimentation-premiere-application-methodologie" TargetMode="External"/><Relationship Id="rId6" Type="http://schemas.openxmlformats.org/officeDocument/2006/relationships/hyperlink" Target="https://www.foodwatch.org/de/potenziell-krebserregender-farbstoff-in-backzutaten-von-dr-oetker" TargetMode="External"/><Relationship Id="rId11" Type="http://schemas.openxmlformats.org/officeDocument/2006/relationships/hyperlink" Target="https://echa.europa.eu/-/what-do-eu-citizens-think-about-nanomaterials-" TargetMode="External"/><Relationship Id="rId5" Type="http://schemas.openxmlformats.org/officeDocument/2006/relationships/hyperlink" Target="https://veillenanos.fr/wp-content/uploads/2023/01/Rapport-test-EN-20230113.pdf" TargetMode="External"/><Relationship Id="rId15" Type="http://schemas.openxmlformats.org/officeDocument/2006/relationships/hyperlink" Target="https://www.anses.fr/en/system/files/AP2018SA0168RaEN.pdf" TargetMode="External"/><Relationship Id="rId10" Type="http://schemas.openxmlformats.org/officeDocument/2006/relationships/hyperlink" Target="https://www.ocu.org/toda-la-informacion?type=magazine-articles&amp;magazine=ocu%20compra%20maestra&amp;year=2019" TargetMode="External"/><Relationship Id="rId4" Type="http://schemas.openxmlformats.org/officeDocument/2006/relationships/hyperlink" Target="https://bibliotheque.60millions-mag.com/detail/publication/detail-top-right/561?issue_id=113421&amp;switch_toc=archive" TargetMode="External"/><Relationship Id="rId9" Type="http://schemas.openxmlformats.org/officeDocument/2006/relationships/hyperlink" Target="https://www.altroconsumo.it/alimentazione/sicurezza-alimentare/news/nanoparticelle" TargetMode="External"/><Relationship Id="rId14" Type="http://schemas.openxmlformats.org/officeDocument/2006/relationships/hyperlink" Target="https://www.anses.fr/en/system/files/AP2018SA0168Ra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264A4-58AC-4F9E-8DD2-ACAEF1508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1455</Words>
  <Characters>11061</Characters>
  <Application>Microsoft Office Word</Application>
  <DocSecurity>0</DocSecurity>
  <Lines>92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2024-04-24T11:25:00Z</dcterms:created>
  <dcterms:modified xsi:type="dcterms:W3CDTF">2024-04-24T11:25:00Z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B9-0225/2024</vt:lpwstr>
  </property>
  <property fmtid="{D5CDD505-2E9C-101B-9397-08002B2CF9AE}" pid="4" name="&lt;Type&gt;">
    <vt:lpwstr>RR</vt:lpwstr>
  </property>
</Properties>
</file>