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10AD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10AD1" w:rsidRDefault="00807BB3" w:rsidP="0010095E">
            <w:pPr>
              <w:pStyle w:val="EPName"/>
            </w:pPr>
            <w:r w:rsidRPr="00D10AD1">
              <w:t>Parlamento europeo</w:t>
            </w:r>
          </w:p>
          <w:p w:rsidR="00751A4A" w:rsidRPr="00D10AD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0AD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10AD1" w:rsidRDefault="00187494" w:rsidP="0010095E">
            <w:pPr>
              <w:pStyle w:val="EPLogo"/>
            </w:pPr>
            <w:r w:rsidRPr="00D10AD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10AD1" w:rsidRDefault="00D058B8" w:rsidP="004C5D52">
      <w:pPr>
        <w:pStyle w:val="LineTop"/>
      </w:pPr>
    </w:p>
    <w:p w:rsidR="00680577" w:rsidRPr="00D10AD1" w:rsidRDefault="00807BB3" w:rsidP="00680577">
      <w:pPr>
        <w:pStyle w:val="EPBodyTA1"/>
      </w:pPr>
      <w:r w:rsidRPr="00D10AD1">
        <w:t>TESTI APPROVATI</w:t>
      </w:r>
    </w:p>
    <w:p w:rsidR="00D058B8" w:rsidRPr="00D10AD1" w:rsidRDefault="00D058B8" w:rsidP="00D058B8">
      <w:pPr>
        <w:pStyle w:val="LineBottom"/>
      </w:pPr>
    </w:p>
    <w:p w:rsidR="00807BB3" w:rsidRPr="00D10AD1" w:rsidRDefault="00807BB3" w:rsidP="00807BB3">
      <w:pPr>
        <w:pStyle w:val="ATHeading1"/>
      </w:pPr>
      <w:bookmarkStart w:id="0" w:name="TANumber"/>
      <w:r w:rsidRPr="00D10AD1">
        <w:t>P9_TA(2024)0</w:t>
      </w:r>
      <w:r w:rsidR="00951F09">
        <w:t>316</w:t>
      </w:r>
      <w:bookmarkEnd w:id="0"/>
    </w:p>
    <w:p w:rsidR="00807BB3" w:rsidRPr="00D10AD1" w:rsidRDefault="00126C07" w:rsidP="00807BB3">
      <w:pPr>
        <w:pStyle w:val="ATHeading2"/>
      </w:pPr>
      <w:bookmarkStart w:id="1" w:name="title"/>
      <w:r>
        <w:t>Decisione di sollevare obiezioni a un atto delegato</w:t>
      </w:r>
      <w:r w:rsidR="00807BB3" w:rsidRPr="00D10AD1">
        <w:t>: Nuovi alimenti per quanto riguarda la definizione di "nanomateriali ingegnerizzati"</w:t>
      </w:r>
      <w:bookmarkEnd w:id="1"/>
    </w:p>
    <w:p w:rsidR="00807BB3" w:rsidRPr="00D10AD1" w:rsidRDefault="00807BB3" w:rsidP="00807BB3">
      <w:pPr>
        <w:rPr>
          <w:i/>
          <w:vanish/>
        </w:rPr>
      </w:pPr>
      <w:r w:rsidRPr="00D10AD1">
        <w:rPr>
          <w:i/>
        </w:rPr>
        <w:fldChar w:fldCharType="begin"/>
      </w:r>
      <w:r w:rsidRPr="00D10AD1">
        <w:rPr>
          <w:i/>
        </w:rPr>
        <w:instrText xml:space="preserve"> TC"(</w:instrText>
      </w:r>
      <w:bookmarkStart w:id="2" w:name="DocNumber"/>
      <w:r w:rsidRPr="00D10AD1">
        <w:rPr>
          <w:i/>
        </w:rPr>
        <w:instrText>B9-0225/2024</w:instrText>
      </w:r>
      <w:bookmarkEnd w:id="2"/>
      <w:r w:rsidRPr="00D10AD1">
        <w:rPr>
          <w:i/>
        </w:rPr>
        <w:instrText xml:space="preserve">)"\l3 \n&gt; \* MERGEFORMAT </w:instrText>
      </w:r>
      <w:r w:rsidRPr="00D10AD1">
        <w:rPr>
          <w:i/>
        </w:rPr>
        <w:fldChar w:fldCharType="end"/>
      </w:r>
    </w:p>
    <w:p w:rsidR="00807BB3" w:rsidRPr="00D10AD1" w:rsidRDefault="00807BB3" w:rsidP="00807BB3">
      <w:pPr>
        <w:rPr>
          <w:vanish/>
        </w:rPr>
      </w:pPr>
      <w:bookmarkStart w:id="3" w:name="PE"/>
      <w:r w:rsidRPr="00D10AD1">
        <w:rPr>
          <w:vanish/>
        </w:rPr>
        <w:t>PE760.689</w:t>
      </w:r>
      <w:bookmarkEnd w:id="3"/>
    </w:p>
    <w:p w:rsidR="00807BB3" w:rsidRPr="00D10AD1" w:rsidRDefault="00807BB3" w:rsidP="00807BB3">
      <w:pPr>
        <w:pStyle w:val="ATHeading3"/>
      </w:pPr>
      <w:bookmarkStart w:id="4" w:name="Sujet"/>
      <w:r w:rsidRPr="00D10AD1">
        <w:t>Risoluzione del Parlamento europeo del 24 aprile 2024 sul regolamento delegato della Commissione, del 14 marzo 2024, che modifica il regolamento (UE) 2015/2283 del Parlamento europeo e del Consiglio relativo ai nuovi alimenti per quanto riguarda la definizione di "nanomateriali ingegnerizzati"</w:t>
      </w:r>
      <w:bookmarkEnd w:id="4"/>
      <w:r w:rsidRPr="00D10AD1">
        <w:t xml:space="preserve"> </w:t>
      </w:r>
      <w:bookmarkStart w:id="5" w:name="References"/>
      <w:r w:rsidRPr="00D10AD1">
        <w:t>(C(2024)01612 – 2024/2691(DEA))</w:t>
      </w:r>
      <w:bookmarkEnd w:id="5"/>
    </w:p>
    <w:p w:rsidR="00BC2A8B" w:rsidRPr="00D10AD1" w:rsidRDefault="00BC2A8B" w:rsidP="00BC2A8B">
      <w:pPr>
        <w:pStyle w:val="EPComma"/>
      </w:pPr>
      <w:bookmarkStart w:id="6" w:name="TextBodyBegin"/>
      <w:bookmarkEnd w:id="6"/>
      <w:r w:rsidRPr="00D10AD1">
        <w:rPr>
          <w:i/>
          <w:iCs/>
        </w:rPr>
        <w:t>Il Parlamento europeo</w:t>
      </w:r>
      <w:r w:rsidRPr="00D10AD1">
        <w:t>,</w:t>
      </w:r>
    </w:p>
    <w:p w:rsidR="00BC2A8B" w:rsidRPr="00D10AD1" w:rsidRDefault="00BC2A8B" w:rsidP="00BC2A8B">
      <w:pPr>
        <w:pStyle w:val="NormalHanging12a"/>
      </w:pPr>
      <w:r w:rsidRPr="00D10AD1">
        <w:t>–</w:t>
      </w:r>
      <w:r w:rsidRPr="00D10AD1">
        <w:tab/>
        <w:t>visto il regolamento delegato della Commissione, del 14 marzo 2024, che modifica il regolamento (UE) 2015/2283 del Parlamento europeo e del Consiglio relativo ai nuovi alimenti per quanto riguarda la definizione di "nanomateriali ingegnerizzati" (C(2024)01612),</w:t>
      </w:r>
    </w:p>
    <w:p w:rsidR="00BC2A8B" w:rsidRPr="00D10AD1" w:rsidRDefault="00BC2A8B" w:rsidP="00BC2A8B">
      <w:pPr>
        <w:pStyle w:val="NormalHanging12a"/>
      </w:pPr>
      <w:r w:rsidRPr="00D10AD1">
        <w:t>–</w:t>
      </w:r>
      <w:r w:rsidRPr="00D10AD1">
        <w:tab/>
        <w:t>visto l'articolo 290 del trattato sul funzionamento dell'Unione europea (TFUE),</w:t>
      </w:r>
    </w:p>
    <w:p w:rsidR="00BC2A8B" w:rsidRPr="00D10AD1" w:rsidRDefault="00BC2A8B" w:rsidP="00BC2A8B">
      <w:pPr>
        <w:pStyle w:val="NormalHanging12a"/>
        <w:rPr>
          <w:noProof/>
        </w:rPr>
      </w:pPr>
      <w:r w:rsidRPr="00D10AD1">
        <w:t>–</w:t>
      </w:r>
      <w:r w:rsidRPr="00D10AD1">
        <w:tab/>
        <w:t>visto il regolamento (UE) 2015/2283 del Parlamento europeo e del Consiglio, del 25 novembre 2015, relativo ai nuovi alimenti e che modifica il regolamento (UE) n. 1169/2011 del Parlamento europeo e del Consiglio e abroga il regolamento (CE) n. 258/97 del Parlamento europeo e del Consiglio e il regolamento (CE) n. 1852/2001 della Commissione</w:t>
      </w:r>
      <w:r w:rsidRPr="00D10AD1">
        <w:rPr>
          <w:rStyle w:val="FootnoteReference"/>
          <w:noProof/>
          <w:color w:val="000000"/>
          <w:szCs w:val="24"/>
        </w:rPr>
        <w:footnoteReference w:id="1"/>
      </w:r>
      <w:r w:rsidRPr="00D10AD1">
        <w:t>, in particolare l'articolo 31 e l'articolo 32, paragrafo 6,</w:t>
      </w:r>
    </w:p>
    <w:p w:rsidR="00BC2A8B" w:rsidRPr="00D10AD1" w:rsidRDefault="00BC2A8B" w:rsidP="00BC2A8B">
      <w:pPr>
        <w:pStyle w:val="NormalHanging12a"/>
      </w:pPr>
      <w:r w:rsidRPr="00D10AD1">
        <w:t>–</w:t>
      </w:r>
      <w:r w:rsidRPr="00D10AD1">
        <w:tab/>
        <w:t>visto il regolamento (UE) n. 1169/2011 del Parlamento europeo e del Consiglio, del 25 ottobre 2011, relativo alla fornitura di informazioni sugli alimenti ai consumatori, che modifica i regolamenti (CE) n. 1924/2006 e (CE) n. 1925/2006 del Parlamento europeo e del Consiglio e abroga la direttiva 87/250/CEE della Commissione, la direttiva 90/496/CEE del Consiglio, la direttiva 1999/10/CE della Commissione, la direttiva 2000/13/CE del Parlamento europeo e del Consiglio, le direttive 2002/67/CE e 2008/5/CE della Commissione e il regolamento (CE) n. 608/2004 della Commissione</w:t>
      </w:r>
      <w:r w:rsidRPr="00D10AD1">
        <w:rPr>
          <w:rStyle w:val="FootnoteReference"/>
          <w:noProof/>
          <w:color w:val="000000"/>
          <w:szCs w:val="24"/>
        </w:rPr>
        <w:footnoteReference w:id="2"/>
      </w:r>
      <w:r w:rsidRPr="00D10AD1">
        <w:t>, in particolare l'articolo 18, paragrafo 3,</w:t>
      </w:r>
    </w:p>
    <w:p w:rsidR="00BC2A8B" w:rsidRPr="00D10AD1" w:rsidRDefault="00BC2A8B" w:rsidP="00BC2A8B">
      <w:pPr>
        <w:pStyle w:val="NormalHanging12a"/>
      </w:pPr>
      <w:r w:rsidRPr="00D10AD1">
        <w:t>–</w:t>
      </w:r>
      <w:r w:rsidRPr="00D10AD1">
        <w:tab/>
        <w:t xml:space="preserve">visto il regolamento (CE) n. 1333/2008 del Parlamento europeo e del Consiglio, del 16 </w:t>
      </w:r>
      <w:r w:rsidRPr="00D10AD1">
        <w:lastRenderedPageBreak/>
        <w:t>dicembre 2008, relativo agli additivi alimentari</w:t>
      </w:r>
      <w:r w:rsidRPr="00D10AD1">
        <w:rPr>
          <w:rStyle w:val="FootnoteReference"/>
          <w:color w:val="000000"/>
          <w:szCs w:val="24"/>
        </w:rPr>
        <w:footnoteReference w:id="3"/>
      </w:r>
      <w:r w:rsidRPr="00D10AD1">
        <w:t>,</w:t>
      </w:r>
    </w:p>
    <w:p w:rsidR="00BC2A8B" w:rsidRPr="00D10AD1" w:rsidRDefault="00BC2A8B" w:rsidP="00BC2A8B">
      <w:pPr>
        <w:pStyle w:val="NormalHanging12a"/>
      </w:pPr>
      <w:r w:rsidRPr="00D10AD1">
        <w:t>–</w:t>
      </w:r>
      <w:r w:rsidRPr="00D10AD1">
        <w:tab/>
        <w:t>visti gli elenchi dell'Unione istituiti dal regolamento (UE) n. 1129/2011 della Commissione, dell'11 novembre 2011, che modifica l'allegato II del regolamento (CE) n. 1333/2008 del Parlamento europeo e del Consiglio istituendo un elenco dell'Unione di additivi alimentari</w:t>
      </w:r>
      <w:r w:rsidRPr="00D10AD1">
        <w:rPr>
          <w:rStyle w:val="FootnoteReference"/>
          <w:color w:val="000000"/>
          <w:szCs w:val="24"/>
        </w:rPr>
        <w:footnoteReference w:id="4"/>
      </w:r>
      <w:r w:rsidRPr="00D10AD1">
        <w:t xml:space="preserve"> e dal regolamento (UE) n. 1130/2011 della Commissione, dell'11 novembre 2011, che modifica l'allegato III del regolamento (CE) n. 1333/2008 del Parlamento europeo e del Consiglio relativo agli additivi alimentari istituendo un elenco dell'Unione degli additivi alimentari autorizzati negli additivi alimentari, negli enzimi alimentari, negli aromi alimentari e nei nutrienti</w:t>
      </w:r>
      <w:r w:rsidRPr="00D10AD1">
        <w:rPr>
          <w:rStyle w:val="FootnoteReference"/>
          <w:color w:val="000000"/>
          <w:szCs w:val="24"/>
        </w:rPr>
        <w:footnoteReference w:id="5"/>
      </w:r>
      <w:r w:rsidRPr="00D10AD1">
        <w:t>,</w:t>
      </w:r>
    </w:p>
    <w:p w:rsidR="00BC2A8B" w:rsidRPr="00D10AD1" w:rsidRDefault="00BC2A8B" w:rsidP="00BC2A8B">
      <w:pPr>
        <w:pStyle w:val="NormalHanging12a"/>
      </w:pPr>
      <w:r w:rsidRPr="00D10AD1">
        <w:t>–</w:t>
      </w:r>
      <w:r w:rsidRPr="00D10AD1">
        <w:tab/>
        <w:t>visto il regolamento (UE) n. 257/2010 della Commissione, del 25 marzo 2010, che istituisce un programma relativo a una nuova valutazione degli additivi alimentari autorizzati conformemente al regolamento (CE) n. 1333/2008 del Parlamento europeo e del Consiglio relativo agli additivi alimentari</w:t>
      </w:r>
      <w:r w:rsidRPr="00D10AD1">
        <w:rPr>
          <w:rStyle w:val="FootnoteReference"/>
          <w:color w:val="000000"/>
          <w:szCs w:val="24"/>
        </w:rPr>
        <w:footnoteReference w:id="6"/>
      </w:r>
      <w:r w:rsidRPr="00D10AD1">
        <w:t>,</w:t>
      </w:r>
    </w:p>
    <w:p w:rsidR="00BC2A8B" w:rsidRPr="00D10AD1" w:rsidRDefault="00BC2A8B" w:rsidP="00BC2A8B">
      <w:pPr>
        <w:pStyle w:val="NormalHanging12a"/>
      </w:pPr>
      <w:r w:rsidRPr="00D10AD1">
        <w:t>–</w:t>
      </w:r>
      <w:r w:rsidRPr="00D10AD1">
        <w:tab/>
        <w:t>visto l'articolo 111, paragrafo 3, del suo regolamento,</w:t>
      </w:r>
    </w:p>
    <w:p w:rsidR="00BC2A8B" w:rsidRPr="00D10AD1" w:rsidRDefault="00BC2A8B" w:rsidP="00BC2A8B">
      <w:pPr>
        <w:pStyle w:val="NormalHanging12a"/>
      </w:pPr>
      <w:r w:rsidRPr="00D10AD1">
        <w:t>–</w:t>
      </w:r>
      <w:r w:rsidRPr="00D10AD1">
        <w:tab/>
        <w:t>vista la proposta di risoluzione della commissione per l'ambiente, la sanità pubblica e la sicurezza alimentare,</w:t>
      </w:r>
    </w:p>
    <w:p w:rsidR="00BC2A8B" w:rsidRPr="00D10AD1" w:rsidRDefault="00BC2A8B" w:rsidP="00BC2A8B">
      <w:pPr>
        <w:pStyle w:val="NormalHanging12a"/>
      </w:pPr>
      <w:r w:rsidRPr="00D10AD1">
        <w:t>A.</w:t>
      </w:r>
      <w:r w:rsidRPr="00D10AD1">
        <w:tab/>
        <w:t>considerando che l'articolo 18, paragrafo 3, del regolamento (UE) n. 1169/2011 dispone che tutti gli ingredienti presenti sotto forma di nanomateriali ingegnerizzati siano chiaramente indicati nell'elenco degli ingredienti al fine di garantire l'informazione dei consumatori; che, a tal fine, il regolamento (UE) n. 1169/2011 riprende la definizione di "nanomateriali ingegnerizzati" di cui all'articolo 3, paragrafo 2, lettera f), del regolamento (UE) 2015/2283;</w:t>
      </w:r>
    </w:p>
    <w:p w:rsidR="00BC2A8B" w:rsidRPr="00D10AD1" w:rsidRDefault="00BC2A8B" w:rsidP="00BC2A8B">
      <w:pPr>
        <w:pStyle w:val="NormalHanging12a"/>
      </w:pPr>
      <w:r w:rsidRPr="00D10AD1">
        <w:t>B.</w:t>
      </w:r>
      <w:r w:rsidRPr="00D10AD1">
        <w:tab/>
        <w:t>considerando che l'articolo 31 del regolamento (UE) 2015/2283 conferisce alla Commissione il potere di adeguare e adattare, mediante atti delegati, la definizione di "nanomateriali ingegnerizzati" ivi contenuta ai progressi tecnici e scientifici o alle definizioni stabilite a livello internazionale, allo scopo di realizzare gli obiettivi di detto regolamento;</w:t>
      </w:r>
    </w:p>
    <w:p w:rsidR="00BC2A8B" w:rsidRPr="00D10AD1" w:rsidRDefault="00BC2A8B" w:rsidP="00BC2A8B">
      <w:pPr>
        <w:pStyle w:val="NormalHanging12a"/>
      </w:pPr>
      <w:r w:rsidRPr="00D10AD1">
        <w:t>C.</w:t>
      </w:r>
      <w:r w:rsidRPr="00D10AD1">
        <w:tab/>
        <w:t>considerando che i regolamenti (UE) n. 1129/2011 e (UE) n. 1130/2011 hanno istituito elenchi esaustivi dell'Unione in cui figurano gli additivi alimentari il cui uso era autorizzato prima dell'entrata in vigore del regolamento (CE) n. 1333/2008, in seguito a un riesame della loro conformità alle disposizioni ivi contenute;</w:t>
      </w:r>
    </w:p>
    <w:p w:rsidR="00BC2A8B" w:rsidRPr="00D10AD1" w:rsidRDefault="00BC2A8B" w:rsidP="00BC2A8B">
      <w:pPr>
        <w:pStyle w:val="NormalHanging12a"/>
        <w:rPr>
          <w:i/>
        </w:rPr>
      </w:pPr>
      <w:r w:rsidRPr="00D10AD1">
        <w:rPr>
          <w:i/>
        </w:rPr>
        <w:t>Conseguenze della definizione</w:t>
      </w:r>
    </w:p>
    <w:p w:rsidR="00BC2A8B" w:rsidRPr="00D10AD1" w:rsidRDefault="00BC2A8B" w:rsidP="00BC2A8B">
      <w:pPr>
        <w:pStyle w:val="NormalHanging12a"/>
      </w:pPr>
      <w:r w:rsidRPr="00D10AD1">
        <w:t>D.</w:t>
      </w:r>
      <w:r w:rsidRPr="00D10AD1">
        <w:tab/>
        <w:t>considerando che la definizione di "nanomateriale ingegnerizzato" fornita nel regolamento delegato della Commissione stabilisce se un alimento debba essere indicato come "[nano]" nell'elenco degli ingredienti, come previsto dall'articolo 18, paragrafo 3, del regolamento (UE) n. 1169/2011;</w:t>
      </w:r>
    </w:p>
    <w:p w:rsidR="00BC2A8B" w:rsidRPr="00D10AD1" w:rsidRDefault="00BC2A8B" w:rsidP="00BC2A8B">
      <w:pPr>
        <w:pStyle w:val="NormalHanging12a"/>
      </w:pPr>
      <w:r w:rsidRPr="00D10AD1">
        <w:t>E.</w:t>
      </w:r>
      <w:r w:rsidRPr="00D10AD1">
        <w:tab/>
        <w:t xml:space="preserve">considerando che il regolamento delegato della Commissione mira ad affrontare i </w:t>
      </w:r>
      <w:r w:rsidRPr="00D10AD1">
        <w:lastRenderedPageBreak/>
        <w:t>problemi di interpretazione connessi all'attuale definizione introducendo elementi oggettivi per stabilire se un nanomateriale sia "ingegnerizzato" o meno, ad esempio sostituendo la dicitura "[materiale] prodotto intenzionalmente" con la dicitura "fabbricato";</w:t>
      </w:r>
    </w:p>
    <w:p w:rsidR="00BC2A8B" w:rsidRPr="00D10AD1" w:rsidRDefault="00BC2A8B" w:rsidP="00BC2A8B">
      <w:pPr>
        <w:pStyle w:val="NormalHanging12a"/>
      </w:pPr>
      <w:r w:rsidRPr="00D10AD1">
        <w:t>F.</w:t>
      </w:r>
      <w:r w:rsidRPr="00D10AD1">
        <w:tab/>
        <w:t>considerando che il regolamento delegato della Commissione prevede che le particelle non allo stato solido, come micelle, liposomi o nanogoccioline in emulsioni, e gli ingredienti contenenti meno del 50 % di particelle di dimensioni inferiori a 100 nm non siano considerati nanomateriali negli alimenti;</w:t>
      </w:r>
    </w:p>
    <w:p w:rsidR="00BC2A8B" w:rsidRPr="00D10AD1" w:rsidRDefault="00BC2A8B" w:rsidP="00BC2A8B">
      <w:pPr>
        <w:pStyle w:val="NormalHanging12a"/>
      </w:pPr>
      <w:r w:rsidRPr="00D10AD1">
        <w:t>G.</w:t>
      </w:r>
      <w:r w:rsidRPr="00D10AD1">
        <w:tab/>
        <w:t>considerando che il valore di soglia standard del 50 % o più di particelle su scala nanometrica proposto dalla Commissione è arbitrario e offre un livello di protezione inferiore rispetto all'interpretazione della definizione di cui al regolamento (UE) 2015/2283 fornita da taluni Stati membri, come la Francia; che detto regolamento non prevede un valore di soglia di distribuzione dimensionale per le particelle inferiori a 100 nm;</w:t>
      </w:r>
    </w:p>
    <w:p w:rsidR="00BC2A8B" w:rsidRPr="00D10AD1" w:rsidRDefault="00BC2A8B" w:rsidP="00BC2A8B">
      <w:pPr>
        <w:spacing w:after="240"/>
        <w:ind w:left="567" w:hanging="567"/>
        <w:rPr>
          <w:szCs w:val="24"/>
        </w:rPr>
      </w:pPr>
      <w:r w:rsidRPr="00D10AD1">
        <w:t>H.</w:t>
      </w:r>
      <w:r w:rsidRPr="00D10AD1">
        <w:tab/>
        <w:t>considerando che la definizione proposta potrebbe escludere numerose nanosostanze dall'ambito di applicazione del regolamento (UE) n. 1169/2011, le quali non sarebbero dunque soggette all'obbligo di essere indicate come "[nano]"; che, al punto 3 della sua relazione, la Commissione indica che "il numero di materiali utilizzati negli alimenti che possono contenere una determinata frazione di nanoparticelle è limitato e la maggior parte di tali materiali, se non tutti, non sono nuovi" e che "[i] potenziali impatti dell'atto delegato riguarderanno pertanto solo un numero molto limitato di materiali";</w:t>
      </w:r>
    </w:p>
    <w:p w:rsidR="00BC2A8B" w:rsidRPr="00D10AD1" w:rsidRDefault="00BC2A8B" w:rsidP="00BC2A8B">
      <w:pPr>
        <w:spacing w:after="240"/>
        <w:ind w:left="567" w:hanging="567"/>
        <w:rPr>
          <w:color w:val="0D0D0D"/>
          <w:szCs w:val="24"/>
        </w:rPr>
      </w:pPr>
      <w:r w:rsidRPr="00D10AD1">
        <w:t xml:space="preserve">I. </w:t>
      </w:r>
      <w:r w:rsidRPr="00D10AD1">
        <w:tab/>
        <w:t>considerando che attualmente sono proprio gli additivi alimentari che possono essere presenti negli alimenti sotto forma di nanomateriali; che l'Agenzia francese per la sicurezza sanitaria dell'alimentazione, dell'ambiente e del lavoro (Anses) ha stilato un elenco di 37 nanosostanze utilizzate in più di 900 prodotti alimentari</w:t>
      </w:r>
      <w:r w:rsidRPr="00D10AD1">
        <w:rPr>
          <w:rStyle w:val="FootnoteReference"/>
          <w:szCs w:val="24"/>
        </w:rPr>
        <w:footnoteReference w:id="7"/>
      </w:r>
      <w:r w:rsidRPr="00D10AD1">
        <w:t>;</w:t>
      </w:r>
      <w:r w:rsidRPr="00D10AD1">
        <w:rPr>
          <w:color w:val="0D0D0D"/>
        </w:rPr>
        <w:t xml:space="preserve"> </w:t>
      </w:r>
      <w:r w:rsidRPr="00D10AD1">
        <w:t>che i test effettuati da organizzazioni dei consumatori e da organizzazioni non governative (Agir pour l'Environnement</w:t>
      </w:r>
      <w:r w:rsidRPr="00D10AD1">
        <w:rPr>
          <w:rStyle w:val="FootnoteReference"/>
          <w:color w:val="0D0D0D"/>
          <w:szCs w:val="24"/>
        </w:rPr>
        <w:footnoteReference w:id="8"/>
      </w:r>
      <w:r w:rsidRPr="00D10AD1">
        <w:t>, Que Choisir</w:t>
      </w:r>
      <w:r w:rsidRPr="00D10AD1">
        <w:rPr>
          <w:rStyle w:val="FootnoteReference"/>
          <w:color w:val="0D0D0D"/>
          <w:szCs w:val="24"/>
        </w:rPr>
        <w:footnoteReference w:id="9"/>
      </w:r>
      <w:r w:rsidRPr="00D10AD1">
        <w:t>, 60 Millions de consommateurs</w:t>
      </w:r>
      <w:r w:rsidRPr="00D10AD1">
        <w:rPr>
          <w:rStyle w:val="FootnoteReference"/>
          <w:color w:val="0D0D0D"/>
          <w:szCs w:val="24"/>
        </w:rPr>
        <w:footnoteReference w:id="10"/>
      </w:r>
      <w:r w:rsidRPr="00D10AD1">
        <w:t xml:space="preserve"> e AVICENN</w:t>
      </w:r>
      <w:r w:rsidRPr="00D10AD1">
        <w:rPr>
          <w:rStyle w:val="FootnoteReference"/>
          <w:color w:val="0D0D0D"/>
          <w:szCs w:val="24"/>
        </w:rPr>
        <w:footnoteReference w:id="11"/>
      </w:r>
      <w:r w:rsidRPr="00D10AD1">
        <w:t xml:space="preserve"> in Francia; Foodwatch</w:t>
      </w:r>
      <w:r w:rsidRPr="00D10AD1">
        <w:rPr>
          <w:rStyle w:val="FootnoteReference"/>
          <w:color w:val="0D0D0D"/>
          <w:szCs w:val="24"/>
        </w:rPr>
        <w:footnoteReference w:id="12"/>
      </w:r>
      <w:r w:rsidRPr="00D10AD1">
        <w:t xml:space="preserve"> e Bund</w:t>
      </w:r>
      <w:r w:rsidRPr="00D10AD1">
        <w:rPr>
          <w:rStyle w:val="FootnoteReference"/>
          <w:color w:val="0D0D0D"/>
          <w:szCs w:val="24"/>
        </w:rPr>
        <w:footnoteReference w:id="13"/>
      </w:r>
      <w:r w:rsidRPr="00D10AD1">
        <w:t xml:space="preserve"> in Germania; TestAchats</w:t>
      </w:r>
      <w:r w:rsidRPr="00D10AD1">
        <w:rPr>
          <w:rStyle w:val="FootnoteReference"/>
          <w:color w:val="0D0D0D"/>
          <w:szCs w:val="24"/>
        </w:rPr>
        <w:footnoteReference w:id="14"/>
      </w:r>
      <w:r w:rsidRPr="00D10AD1">
        <w:t xml:space="preserve"> in Belgio; Altroconsumo</w:t>
      </w:r>
      <w:r w:rsidRPr="00D10AD1">
        <w:rPr>
          <w:rStyle w:val="FootnoteReference"/>
          <w:color w:val="0D0D0D"/>
          <w:szCs w:val="24"/>
        </w:rPr>
        <w:footnoteReference w:id="15"/>
      </w:r>
      <w:r w:rsidRPr="00D10AD1">
        <w:t xml:space="preserve"> in Italia e OCU</w:t>
      </w:r>
      <w:r w:rsidRPr="00D10AD1">
        <w:rPr>
          <w:rStyle w:val="FootnoteReference"/>
          <w:color w:val="0D0D0D"/>
          <w:szCs w:val="24"/>
        </w:rPr>
        <w:footnoteReference w:id="16"/>
      </w:r>
      <w:r w:rsidRPr="00D10AD1">
        <w:t xml:space="preserve"> in Spagna) hanno ripetutamente evidenziato la presenza di additivi alimentari con una percentuale significativa di nanoparticelle e che, ad esempio, l'ossido </w:t>
      </w:r>
      <w:r w:rsidRPr="00D10AD1">
        <w:lastRenderedPageBreak/>
        <w:t>di ferro utilizzato come colorante alimentare (E172) nei prodotti lattiero-caseari, nei prodotti da forno e in alcuni cereali da colazione può contenere una percentuale di nanoparticelle inferiore alla soglia del 50 %;</w:t>
      </w:r>
      <w:r w:rsidRPr="00D10AD1">
        <w:rPr>
          <w:color w:val="000000"/>
        </w:rPr>
        <w:t xml:space="preserve"> </w:t>
      </w:r>
      <w:r w:rsidRPr="00D10AD1">
        <w:rPr>
          <w:color w:val="0D0D0D"/>
        </w:rPr>
        <w:t>che ciò dimostra che il fatto che taluni ingredienti non siano adeguatamente indicati come "[nano]" è dovuto principalmente alla mancata applicazione della legislazione vigente e non tanto a problemi di interpretazione;</w:t>
      </w:r>
    </w:p>
    <w:p w:rsidR="00BC2A8B" w:rsidRPr="00D10AD1" w:rsidRDefault="00BC2A8B" w:rsidP="00BC2A8B">
      <w:pPr>
        <w:spacing w:after="240"/>
        <w:ind w:left="567" w:hanging="567"/>
        <w:rPr>
          <w:color w:val="0D0D0D"/>
          <w:szCs w:val="24"/>
        </w:rPr>
      </w:pPr>
      <w:r w:rsidRPr="00D10AD1">
        <w:rPr>
          <w:color w:val="0D0D0D"/>
        </w:rPr>
        <w:t>J.</w:t>
      </w:r>
      <w:r w:rsidRPr="00D10AD1">
        <w:rPr>
          <w:color w:val="0D0D0D"/>
        </w:rPr>
        <w:tab/>
        <w:t>considerando che da uno studio condotto nel 2020 su richiesta dell'Agenzia europea per le sostanze chimiche è emerso che i cittadini chiedono una migliore etichettatura dei prodotti di uso quotidiano contenenti nanomateriali</w:t>
      </w:r>
      <w:r w:rsidRPr="00D10AD1">
        <w:rPr>
          <w:rStyle w:val="FootnoteReference"/>
          <w:color w:val="0D0D0D"/>
          <w:szCs w:val="24"/>
        </w:rPr>
        <w:footnoteReference w:id="17"/>
      </w:r>
      <w:r w:rsidRPr="00D10AD1">
        <w:rPr>
          <w:color w:val="0D0D0D"/>
        </w:rPr>
        <w:t>;</w:t>
      </w:r>
    </w:p>
    <w:p w:rsidR="00BC2A8B" w:rsidRPr="00D10AD1" w:rsidRDefault="00BC2A8B" w:rsidP="00BC2A8B">
      <w:pPr>
        <w:spacing w:after="240"/>
        <w:rPr>
          <w:i/>
          <w:szCs w:val="24"/>
        </w:rPr>
      </w:pPr>
      <w:r w:rsidRPr="00D10AD1">
        <w:rPr>
          <w:i/>
        </w:rPr>
        <w:t>Contraddizioni con le raccomandazioni e i recenti progressi scientifici</w:t>
      </w:r>
    </w:p>
    <w:p w:rsidR="00BC2A8B" w:rsidRPr="00D10AD1" w:rsidRDefault="00BC2A8B" w:rsidP="00BC2A8B">
      <w:pPr>
        <w:spacing w:after="240"/>
        <w:ind w:left="567" w:hanging="567"/>
        <w:rPr>
          <w:szCs w:val="24"/>
        </w:rPr>
      </w:pPr>
      <w:r w:rsidRPr="00D10AD1">
        <w:t xml:space="preserve">K. </w:t>
      </w:r>
      <w:r w:rsidRPr="00D10AD1">
        <w:tab/>
        <w:t>considerando che, nella sua risoluzione del 12 marzo 2014 sul regolamento delegato della Commissione, del 12 dicembre 2013, che modifica il regolamento (UE) n. 1169/2011 del Parlamento europeo e del Consiglio relativo alla fornitura di informazioni sugli alimenti ai consumatori, per quanto concerne la definizione di "nanomateriali ingegnerizzati"</w:t>
      </w:r>
      <w:r w:rsidRPr="00D10AD1">
        <w:rPr>
          <w:rStyle w:val="FootnoteReference"/>
          <w:szCs w:val="24"/>
        </w:rPr>
        <w:footnoteReference w:id="18"/>
      </w:r>
      <w:r w:rsidRPr="00D10AD1">
        <w:t>, il Parlamento europeo ha sollevato obiezioni a una definizione molto simile che prevedeva la medesima soglia del 50 % ed escludeva tutti gli additivi alimentari, ritenendo che tale definizione fosse "in contrasto con l'obiettivo fondamentale della direttiva ossia il conseguimento di un livello elevato di protezione della salute e degli interessi dei consumatori fornendo ai consumatori finali una base sulla quale operare scelte informate"; che il Parlamento europeo ha chiesto alla Commissione di presentare un nuovo atto delegato che tenesse conto della sua posizione;</w:t>
      </w:r>
    </w:p>
    <w:p w:rsidR="00BC2A8B" w:rsidRPr="00D10AD1" w:rsidRDefault="00BC2A8B" w:rsidP="00BC2A8B">
      <w:pPr>
        <w:spacing w:after="240"/>
        <w:ind w:left="567" w:hanging="567"/>
        <w:rPr>
          <w:szCs w:val="24"/>
        </w:rPr>
      </w:pPr>
      <w:r w:rsidRPr="00D10AD1">
        <w:t xml:space="preserve">L. </w:t>
      </w:r>
      <w:r w:rsidRPr="00D10AD1">
        <w:tab/>
        <w:t>considerando che, nella sua risoluzione dell'8 ottobre 2020 sul progetto di regolamento della Commissione che modifica l'allegato del regolamento (UE) n. 231/2012 che stabilisce le specifiche degli additivi alimentari elencati negli allegati II e III del regolamento (CE) n. 1333/2008 del Parlamento europeo e del Consiglio per quanto riguarda le specifiche del biossido di titanio (E 171)</w:t>
      </w:r>
      <w:r w:rsidRPr="00D10AD1">
        <w:rPr>
          <w:rStyle w:val="FootnoteReference"/>
          <w:szCs w:val="24"/>
        </w:rPr>
        <w:footnoteReference w:id="19"/>
      </w:r>
      <w:r w:rsidRPr="00D10AD1">
        <w:t>, il Parlamento europeo si è opposto all'adozione di un progetto di regolamento della Commissione che autorizzava lotti di biossido di titanio alimentare (E 171) contenenti meno del 50 % di particelle di dimensioni inferiori a 100 nm;</w:t>
      </w:r>
    </w:p>
    <w:p w:rsidR="00BC2A8B" w:rsidRPr="00D10AD1" w:rsidRDefault="00BC2A8B" w:rsidP="00BC2A8B">
      <w:pPr>
        <w:spacing w:after="240"/>
        <w:ind w:left="567" w:hanging="567"/>
        <w:rPr>
          <w:szCs w:val="24"/>
        </w:rPr>
      </w:pPr>
      <w:r w:rsidRPr="00D10AD1">
        <w:t xml:space="preserve">M. </w:t>
      </w:r>
      <w:r w:rsidRPr="00D10AD1">
        <w:tab/>
        <w:t>considerando che l'Autorità europea per la sicurezza alimentare</w:t>
      </w:r>
      <w:r w:rsidRPr="00D10AD1">
        <w:rPr>
          <w:rStyle w:val="FootnoteReference"/>
          <w:szCs w:val="24"/>
        </w:rPr>
        <w:footnoteReference w:id="20"/>
      </w:r>
      <w:r w:rsidRPr="00D10AD1">
        <w:t xml:space="preserve"> ha raccomandato che, alla luce delle attuali incertezze in materia di sicurezza, è opportuno prendere in considerazione un valore di soglia inferiore per le nanoparticelle utilizzate negli alimenti, ad esempio il 10 % anziché il 50 % attualmente proposto nella raccomandazione;</w:t>
      </w:r>
    </w:p>
    <w:p w:rsidR="00BC2A8B" w:rsidRPr="00D10AD1" w:rsidRDefault="00BC2A8B" w:rsidP="00BC2A8B">
      <w:pPr>
        <w:spacing w:after="240"/>
        <w:ind w:left="567" w:hanging="567"/>
        <w:rPr>
          <w:szCs w:val="24"/>
        </w:rPr>
      </w:pPr>
      <w:r w:rsidRPr="00D10AD1">
        <w:t xml:space="preserve">N. </w:t>
      </w:r>
      <w:r w:rsidRPr="00D10AD1">
        <w:tab/>
        <w:t xml:space="preserve">considerando che, nel corso del processo di consultazione avviato dalla Commissione, organizzazioni accademiche, autorità pubbliche, organizzazioni non governative dei consumatori e ambientaliste e sindacati hanno chiesto l'adozione definizione che </w:t>
      </w:r>
      <w:r w:rsidRPr="00D10AD1">
        <w:lastRenderedPageBreak/>
        <w:t>comprenda tutti i materiali, siano essi fabbricati, derivati o naturali, nonché una soglia standard pari o superiore al 10 % di particelle nella distribuzione dimensionale numerica;</w:t>
      </w:r>
    </w:p>
    <w:p w:rsidR="00BC2A8B" w:rsidRPr="00D10AD1" w:rsidRDefault="00BC2A8B" w:rsidP="00BC2A8B">
      <w:pPr>
        <w:spacing w:after="240"/>
        <w:ind w:left="567" w:hanging="567"/>
        <w:rPr>
          <w:color w:val="0D0D0D"/>
          <w:szCs w:val="24"/>
        </w:rPr>
      </w:pPr>
      <w:r w:rsidRPr="00D10AD1">
        <w:rPr>
          <w:color w:val="0D0D0D"/>
        </w:rPr>
        <w:t xml:space="preserve">O. </w:t>
      </w:r>
      <w:r w:rsidRPr="00D10AD1">
        <w:rPr>
          <w:color w:val="0D0D0D"/>
        </w:rPr>
        <w:tab/>
        <w:t>considerando che dal 2014 i progressi della scienza e le nuove conoscenze scientifiche hanno confermato che i nanomateriali sono in grado di attraversare le barriere fisiologiche e sono spesso più pericolosi delle sostanze allo stato micro o macro</w:t>
      </w:r>
      <w:r w:rsidRPr="00D10AD1">
        <w:rPr>
          <w:rStyle w:val="FootnoteReference"/>
          <w:color w:val="0D0D0D"/>
          <w:szCs w:val="24"/>
        </w:rPr>
        <w:footnoteReference w:id="21"/>
      </w:r>
      <w:r w:rsidRPr="00D10AD1">
        <w:rPr>
          <w:color w:val="0D0D0D"/>
        </w:rPr>
        <w:t>;</w:t>
      </w:r>
    </w:p>
    <w:p w:rsidR="00BC2A8B" w:rsidRPr="00D10AD1" w:rsidRDefault="00BC2A8B" w:rsidP="00BC2A8B">
      <w:pPr>
        <w:spacing w:after="240"/>
        <w:ind w:left="567" w:hanging="567"/>
        <w:rPr>
          <w:color w:val="0D0D0D"/>
          <w:szCs w:val="24"/>
        </w:rPr>
      </w:pPr>
      <w:r w:rsidRPr="00D10AD1">
        <w:rPr>
          <w:color w:val="0D0D0D"/>
        </w:rPr>
        <w:t xml:space="preserve">P. </w:t>
      </w:r>
      <w:r w:rsidRPr="00D10AD1">
        <w:rPr>
          <w:color w:val="0D0D0D"/>
        </w:rPr>
        <w:tab/>
        <w:t>considerando che nell'aprile 2023</w:t>
      </w:r>
      <w:r w:rsidRPr="00D10AD1">
        <w:rPr>
          <w:rStyle w:val="FootnoteReference"/>
          <w:color w:val="0D0D0D"/>
          <w:szCs w:val="24"/>
        </w:rPr>
        <w:footnoteReference w:id="22"/>
      </w:r>
      <w:r w:rsidRPr="00D10AD1">
        <w:rPr>
          <w:color w:val="0D0D0D"/>
        </w:rPr>
        <w:t xml:space="preserve"> l'Anses ha pubblicato una relazione dettagliata nella quale afferma che la definizione di nanomateriali figurante nella raccomandazione della Commissione del 10 giugno 2022</w:t>
      </w:r>
      <w:r w:rsidRPr="00D10AD1">
        <w:rPr>
          <w:rStyle w:val="FootnoteReference"/>
          <w:color w:val="0D0D0D"/>
          <w:szCs w:val="24"/>
        </w:rPr>
        <w:footnoteReference w:id="23"/>
      </w:r>
      <w:r w:rsidRPr="00D10AD1">
        <w:rPr>
          <w:color w:val="0D0D0D"/>
        </w:rPr>
        <w:t xml:space="preserve">, che ha costituito la base per la revisione della definizione di "nanomateriali ingegnerizzati" di cui al regolamento (UE) 2015/2283, nelle normative settoriali, in particolare nel settore alimentare, avrebbe effetti deleteri sulla prevenzione dei rischi per la salute umana e l'ambiente; </w:t>
      </w:r>
      <w:r w:rsidRPr="00D10AD1">
        <w:t>che l'Anses ha sottolineato che la soglia del 50 % per le nanoparticelle prevista dalla definizione orizzontale della dicitura "[nano]" non si basa su argomentazioni scientifiche solide e ha raccomandato di fissare un valore di soglia inferiore;</w:t>
      </w:r>
    </w:p>
    <w:p w:rsidR="00BC2A8B" w:rsidRPr="00D10AD1" w:rsidRDefault="00BC2A8B" w:rsidP="00BC2A8B">
      <w:pPr>
        <w:spacing w:after="240"/>
        <w:ind w:left="567" w:hanging="567"/>
        <w:rPr>
          <w:color w:val="0D0D0D"/>
          <w:szCs w:val="24"/>
        </w:rPr>
      </w:pPr>
      <w:r w:rsidRPr="00D10AD1">
        <w:rPr>
          <w:color w:val="0D0D0D"/>
        </w:rPr>
        <w:t xml:space="preserve">Q. </w:t>
      </w:r>
      <w:r w:rsidRPr="00D10AD1">
        <w:rPr>
          <w:color w:val="0D0D0D"/>
        </w:rPr>
        <w:tab/>
        <w:t>considerando che è possibile individuare gli ingredienti "[nano]" utilizzando un valore di soglia del 10 % per le nanoparticelle, dato che in Francia la Direzione generale per i consumatori, la concorrenza e il controllo delle frodi attualmente applica tale valore di soglia nelle sue attività di controllo</w:t>
      </w:r>
      <w:r w:rsidRPr="00D10AD1">
        <w:rPr>
          <w:rStyle w:val="FootnoteReference"/>
          <w:color w:val="0D0D0D"/>
          <w:szCs w:val="24"/>
        </w:rPr>
        <w:footnoteReference w:id="24"/>
      </w:r>
      <w:r w:rsidRPr="00D10AD1">
        <w:rPr>
          <w:color w:val="0D0D0D"/>
        </w:rPr>
        <w:t>;</w:t>
      </w:r>
    </w:p>
    <w:p w:rsidR="00BC2A8B" w:rsidRPr="00D10AD1" w:rsidRDefault="00BC2A8B" w:rsidP="00BC2A8B">
      <w:pPr>
        <w:spacing w:after="240"/>
        <w:rPr>
          <w:i/>
          <w:color w:val="0D0D0D"/>
          <w:szCs w:val="24"/>
        </w:rPr>
      </w:pPr>
      <w:r w:rsidRPr="00D10AD1">
        <w:rPr>
          <w:i/>
          <w:color w:val="0D0D0D"/>
        </w:rPr>
        <w:t>Principio di precauzione</w:t>
      </w:r>
    </w:p>
    <w:p w:rsidR="00BC2A8B" w:rsidRPr="00D10AD1" w:rsidRDefault="00BC2A8B" w:rsidP="00BC2A8B">
      <w:pPr>
        <w:spacing w:after="240"/>
        <w:ind w:left="567" w:hanging="567"/>
        <w:rPr>
          <w:color w:val="0D0D0D"/>
          <w:szCs w:val="24"/>
        </w:rPr>
      </w:pPr>
      <w:r w:rsidRPr="00D10AD1">
        <w:rPr>
          <w:color w:val="0D0D0D"/>
        </w:rPr>
        <w:t>R.</w:t>
      </w:r>
      <w:r w:rsidRPr="00D10AD1">
        <w:rPr>
          <w:color w:val="0D0D0D"/>
        </w:rPr>
        <w:tab/>
        <w:t>considerando che l'articolo 191, paragrafo 2, del trattato sul funzionamento dell'Unione europea (TFUE) sancisce il principio di precauzione, definendolo come uno dei principi fondamentali dell'Unione;</w:t>
      </w:r>
    </w:p>
    <w:p w:rsidR="00BC2A8B" w:rsidRPr="00D10AD1" w:rsidRDefault="00BC2A8B" w:rsidP="00BC2A8B">
      <w:pPr>
        <w:spacing w:after="240"/>
        <w:ind w:left="567" w:hanging="567"/>
        <w:rPr>
          <w:szCs w:val="24"/>
        </w:rPr>
      </w:pPr>
      <w:r w:rsidRPr="00D10AD1">
        <w:t xml:space="preserve">S. </w:t>
      </w:r>
      <w:r w:rsidRPr="00D10AD1">
        <w:tab/>
        <w:t>considerando che l'articolo 168, paragrafo 1, TFUE, stabilisce che "nella definizione e nell'attuazione di tutte le politiche ed attività dell'Unione è garantito un livello elevato di protezione della salute umana";</w:t>
      </w:r>
    </w:p>
    <w:p w:rsidR="00BC2A8B" w:rsidRPr="00D10AD1" w:rsidRDefault="00BC2A8B" w:rsidP="00BC2A8B">
      <w:pPr>
        <w:pStyle w:val="NormalHanging12a"/>
        <w:rPr>
          <w:szCs w:val="24"/>
        </w:rPr>
      </w:pPr>
      <w:r w:rsidRPr="00D10AD1">
        <w:t>1.</w:t>
      </w:r>
      <w:r w:rsidRPr="00D10AD1">
        <w:tab/>
        <w:t>solleva obiezioni al regolamento delegato della Commissione;</w:t>
      </w:r>
    </w:p>
    <w:p w:rsidR="00BC2A8B" w:rsidRPr="00D10AD1" w:rsidRDefault="00BC2A8B" w:rsidP="00BC2A8B">
      <w:pPr>
        <w:pStyle w:val="NormalHanging12a"/>
        <w:rPr>
          <w:szCs w:val="24"/>
        </w:rPr>
      </w:pPr>
      <w:r w:rsidRPr="00D10AD1">
        <w:t>2.</w:t>
      </w:r>
      <w:r w:rsidRPr="00D10AD1">
        <w:tab/>
        <w:t xml:space="preserve">incarica la sua Presidente di trasmettere la presente risoluzione alla Commissione e di comunicarle che il regolamento delegato non può entrare in vigore; </w:t>
      </w:r>
    </w:p>
    <w:p w:rsidR="00BC2A8B" w:rsidRPr="00D10AD1" w:rsidRDefault="00BC2A8B" w:rsidP="00BC2A8B">
      <w:pPr>
        <w:spacing w:after="240"/>
        <w:ind w:left="567" w:hanging="567"/>
        <w:rPr>
          <w:szCs w:val="24"/>
        </w:rPr>
      </w:pPr>
      <w:r w:rsidRPr="00D10AD1">
        <w:t xml:space="preserve">3. </w:t>
      </w:r>
      <w:r w:rsidRPr="00D10AD1">
        <w:tab/>
        <w:t xml:space="preserve">ritiene che il regolamento delegato della Commissione non sia conforme allo scopo e al contenuto del regolamento (UE) </w:t>
      </w:r>
      <w:bookmarkStart w:id="7" w:name="_GoBack"/>
      <w:bookmarkEnd w:id="7"/>
      <w:r w:rsidRPr="00D10AD1">
        <w:t xml:space="preserve">2015/2283 e che superi i poteri delegati conferiti alla </w:t>
      </w:r>
      <w:r w:rsidRPr="00D10AD1">
        <w:lastRenderedPageBreak/>
        <w:t>Commissione a norma dell'articolo 31 di tale regolamento;</w:t>
      </w:r>
    </w:p>
    <w:p w:rsidR="00BC2A8B" w:rsidRPr="00D10AD1" w:rsidRDefault="00BC2A8B" w:rsidP="00BC2A8B">
      <w:pPr>
        <w:spacing w:after="240"/>
        <w:ind w:left="567" w:hanging="567"/>
        <w:rPr>
          <w:szCs w:val="24"/>
        </w:rPr>
      </w:pPr>
      <w:r w:rsidRPr="00D10AD1">
        <w:t xml:space="preserve">4. </w:t>
      </w:r>
      <w:r w:rsidRPr="00D10AD1">
        <w:tab/>
        <w:t>deplora il fatto che la soglia del 50 % proposta non tenga conto dei progressi tecnici e scientifici;</w:t>
      </w:r>
    </w:p>
    <w:p w:rsidR="00BC2A8B" w:rsidRPr="00D10AD1" w:rsidRDefault="00BC2A8B" w:rsidP="00BC2A8B">
      <w:pPr>
        <w:pStyle w:val="NormalHanging12a"/>
        <w:rPr>
          <w:szCs w:val="24"/>
        </w:rPr>
      </w:pPr>
      <w:r w:rsidRPr="00D10AD1">
        <w:t xml:space="preserve">5. </w:t>
      </w:r>
      <w:r w:rsidRPr="00D10AD1">
        <w:tab/>
        <w:t>invita la Commissione ad applicare il principio di precauzione, a garantire la sicurezza e l'informazione dei consumatori e a tenere conto dell'approccio "One Health";</w:t>
      </w:r>
    </w:p>
    <w:p w:rsidR="00BC2A8B" w:rsidRPr="00D10AD1" w:rsidRDefault="00BC2A8B" w:rsidP="00BC2A8B">
      <w:pPr>
        <w:pStyle w:val="NormalHanging12a"/>
        <w:rPr>
          <w:szCs w:val="24"/>
        </w:rPr>
      </w:pPr>
      <w:r w:rsidRPr="00D10AD1">
        <w:t>6.</w:t>
      </w:r>
      <w:r w:rsidRPr="00D10AD1">
        <w:tab/>
        <w:t>incarica la sua Presidente di trasmettere la presente risoluzione al Consiglio e ai governi e parlamenti degli Stati membri.</w:t>
      </w:r>
    </w:p>
    <w:sectPr w:rsidR="00BC2A8B" w:rsidRPr="00D10AD1" w:rsidSect="00D10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BB3" w:rsidRPr="00D10AD1" w:rsidRDefault="00807BB3">
      <w:r w:rsidRPr="00D10AD1">
        <w:separator/>
      </w:r>
    </w:p>
  </w:endnote>
  <w:endnote w:type="continuationSeparator" w:id="0">
    <w:p w:rsidR="00807BB3" w:rsidRPr="00D10AD1" w:rsidRDefault="00807BB3">
      <w:r w:rsidRPr="00D10A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0AD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0AD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0A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BB3" w:rsidRPr="00D10AD1" w:rsidRDefault="00807BB3">
      <w:r w:rsidRPr="00D10AD1">
        <w:separator/>
      </w:r>
    </w:p>
  </w:footnote>
  <w:footnote w:type="continuationSeparator" w:id="0">
    <w:p w:rsidR="00807BB3" w:rsidRPr="00D10AD1" w:rsidRDefault="00807BB3">
      <w:r w:rsidRPr="00D10AD1">
        <w:continuationSeparator/>
      </w:r>
    </w:p>
  </w:footnote>
  <w:footnote w:id="1">
    <w:p w:rsidR="00BC2A8B" w:rsidRPr="00D10AD1" w:rsidRDefault="00BC2A8B" w:rsidP="00D10AD1">
      <w:pPr>
        <w:pStyle w:val="FootnoteText"/>
        <w:ind w:left="567" w:hanging="567"/>
        <w:rPr>
          <w:sz w:val="24"/>
          <w:lang w:val="it-IT"/>
        </w:rPr>
      </w:pPr>
      <w:r w:rsidRPr="00D10AD1">
        <w:rPr>
          <w:rStyle w:val="FootnoteReference"/>
          <w:sz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r w:rsidRPr="00D10AD1">
        <w:rPr>
          <w:sz w:val="24"/>
          <w:lang w:val="it-IT"/>
        </w:rPr>
        <w:t xml:space="preserve">GU L 327 dell'11.12.2015, pag. 1. </w:t>
      </w:r>
    </w:p>
  </w:footnote>
  <w:footnote w:id="2">
    <w:p w:rsidR="00BC2A8B" w:rsidRPr="00D10AD1" w:rsidRDefault="00BC2A8B" w:rsidP="00D10AD1">
      <w:pPr>
        <w:pStyle w:val="FootnoteText"/>
        <w:ind w:left="567" w:hanging="567"/>
        <w:rPr>
          <w:sz w:val="24"/>
          <w:lang w:val="it-IT"/>
        </w:rPr>
      </w:pPr>
      <w:r w:rsidRPr="00D10AD1">
        <w:rPr>
          <w:rStyle w:val="FootnoteReference"/>
          <w:sz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r w:rsidRPr="00D10AD1">
        <w:rPr>
          <w:sz w:val="24"/>
          <w:lang w:val="it-IT"/>
        </w:rPr>
        <w:t>GU L 304 del 22.11.2011, pag. 18.</w:t>
      </w:r>
    </w:p>
  </w:footnote>
  <w:footnote w:id="3">
    <w:p w:rsidR="00BC2A8B" w:rsidRPr="00D10AD1" w:rsidRDefault="00BC2A8B" w:rsidP="00D10AD1">
      <w:pPr>
        <w:pStyle w:val="FootnoteText"/>
        <w:ind w:left="567" w:hanging="567"/>
        <w:rPr>
          <w:sz w:val="24"/>
          <w:lang w:val="it-IT"/>
        </w:rPr>
      </w:pPr>
      <w:r w:rsidRPr="00D10AD1">
        <w:rPr>
          <w:rStyle w:val="FootnoteReference"/>
          <w:sz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r w:rsidRPr="00D10AD1">
        <w:rPr>
          <w:sz w:val="24"/>
          <w:lang w:val="it-IT"/>
        </w:rPr>
        <w:t>GU L 354 del 31.12.2008, pag. 16.</w:t>
      </w:r>
    </w:p>
  </w:footnote>
  <w:footnote w:id="4">
    <w:p w:rsidR="00BC2A8B" w:rsidRPr="00D10AD1" w:rsidRDefault="00BC2A8B" w:rsidP="00D10AD1">
      <w:pPr>
        <w:pStyle w:val="FootnoteText"/>
        <w:ind w:left="567" w:hanging="567"/>
        <w:rPr>
          <w:sz w:val="24"/>
          <w:lang w:val="it-IT"/>
        </w:rPr>
      </w:pPr>
      <w:r w:rsidRPr="00D10AD1">
        <w:rPr>
          <w:rStyle w:val="FootnoteReference"/>
          <w:sz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r w:rsidRPr="00D10AD1">
        <w:rPr>
          <w:sz w:val="24"/>
          <w:lang w:val="it-IT"/>
        </w:rPr>
        <w:t>GU L 295 del 12.11.2011, pag. 1.</w:t>
      </w:r>
    </w:p>
  </w:footnote>
  <w:footnote w:id="5">
    <w:p w:rsidR="00BC2A8B" w:rsidRPr="00D10AD1" w:rsidRDefault="00BC2A8B" w:rsidP="00D10AD1">
      <w:pPr>
        <w:pStyle w:val="FootnoteText"/>
        <w:ind w:left="567" w:hanging="567"/>
        <w:rPr>
          <w:sz w:val="24"/>
          <w:lang w:val="it-IT"/>
        </w:rPr>
      </w:pPr>
      <w:r w:rsidRPr="00D10AD1">
        <w:rPr>
          <w:rStyle w:val="FootnoteReference"/>
          <w:sz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r w:rsidRPr="00D10AD1">
        <w:rPr>
          <w:sz w:val="24"/>
          <w:lang w:val="it-IT"/>
        </w:rPr>
        <w:t>GU L 295 del 12.11.2011, pag. 178.</w:t>
      </w:r>
    </w:p>
  </w:footnote>
  <w:footnote w:id="6">
    <w:p w:rsidR="00BC2A8B" w:rsidRPr="00D10AD1" w:rsidRDefault="00BC2A8B" w:rsidP="00D10AD1">
      <w:pPr>
        <w:pStyle w:val="FootnoteText"/>
        <w:ind w:left="567" w:hanging="567"/>
        <w:rPr>
          <w:sz w:val="24"/>
          <w:lang w:val="it-IT"/>
        </w:rPr>
      </w:pPr>
      <w:r w:rsidRPr="00D10AD1">
        <w:rPr>
          <w:rStyle w:val="FootnoteReference"/>
          <w:sz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r w:rsidRPr="00D10AD1">
        <w:rPr>
          <w:sz w:val="24"/>
          <w:lang w:val="it-IT"/>
        </w:rPr>
        <w:t>GU L 80 del 26.3.2010, pag. 19.</w:t>
      </w:r>
    </w:p>
  </w:footnote>
  <w:footnote w:id="7">
    <w:p w:rsidR="00BC2A8B" w:rsidRPr="00D10AD1" w:rsidRDefault="00BC2A8B" w:rsidP="00D10AD1">
      <w:pPr>
        <w:pStyle w:val="FootnoteText"/>
        <w:ind w:left="567" w:hanging="567"/>
        <w:rPr>
          <w:sz w:val="24"/>
          <w:szCs w:val="24"/>
          <w:lang w:val="it-IT"/>
        </w:rPr>
      </w:pPr>
      <w:r w:rsidRPr="00D10AD1">
        <w:rPr>
          <w:rStyle w:val="FootnoteReference"/>
          <w:sz w:val="24"/>
          <w:szCs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hyperlink r:id="rId1" w:history="1">
        <w:r w:rsidRPr="00D10AD1">
          <w:rPr>
            <w:rStyle w:val="Hyperlink"/>
            <w:color w:val="1155CC"/>
            <w:sz w:val="24"/>
            <w:lang w:val="it-IT"/>
          </w:rPr>
          <w:t>https://www.anses.fr/fr/nanomateriaux-alimentation-premiere-application-methodologie</w:t>
        </w:r>
      </w:hyperlink>
      <w:r w:rsidRPr="00D10AD1">
        <w:rPr>
          <w:sz w:val="24"/>
          <w:lang w:val="it-IT"/>
        </w:rPr>
        <w:t>.</w:t>
      </w:r>
      <w:r w:rsidRPr="00D10AD1">
        <w:rPr>
          <w:color w:val="1155CC"/>
          <w:sz w:val="24"/>
          <w:u w:val="single"/>
          <w:lang w:val="it-IT"/>
        </w:rPr>
        <w:t xml:space="preserve"> </w:t>
      </w:r>
    </w:p>
  </w:footnote>
  <w:footnote w:id="8">
    <w:p w:rsidR="00BC2A8B" w:rsidRPr="00D10AD1" w:rsidRDefault="00BC2A8B" w:rsidP="00D10AD1">
      <w:pPr>
        <w:pStyle w:val="FootnoteText"/>
        <w:ind w:left="567" w:hanging="567"/>
        <w:rPr>
          <w:sz w:val="24"/>
          <w:szCs w:val="24"/>
          <w:lang w:val="it-IT"/>
        </w:rPr>
      </w:pPr>
      <w:r w:rsidRPr="00D10AD1">
        <w:rPr>
          <w:rStyle w:val="FootnoteReference"/>
          <w:sz w:val="24"/>
          <w:szCs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hyperlink r:id="rId2" w:history="1">
        <w:r w:rsidRPr="00D10AD1">
          <w:rPr>
            <w:rStyle w:val="Hyperlink"/>
            <w:sz w:val="24"/>
            <w:lang w:val="it-IT"/>
          </w:rPr>
          <w:t>https://www.agirpourlenvironnement.org/communiques-presse/enquete-exclusive-des-analyses-revelent-la-presence-de-nanoparticules-dans-3980/</w:t>
        </w:r>
      </w:hyperlink>
      <w:r w:rsidRPr="00D10AD1">
        <w:rPr>
          <w:sz w:val="24"/>
          <w:lang w:val="it-IT"/>
        </w:rPr>
        <w:t>.</w:t>
      </w:r>
    </w:p>
  </w:footnote>
  <w:footnote w:id="9">
    <w:p w:rsidR="00BC2A8B" w:rsidRPr="00D10AD1" w:rsidRDefault="00BC2A8B" w:rsidP="00D10AD1">
      <w:pPr>
        <w:pStyle w:val="FootnoteText"/>
        <w:ind w:left="567" w:hanging="567"/>
        <w:rPr>
          <w:sz w:val="24"/>
          <w:szCs w:val="24"/>
          <w:lang w:val="it-IT"/>
        </w:rPr>
      </w:pPr>
      <w:r w:rsidRPr="00D10AD1">
        <w:rPr>
          <w:rStyle w:val="FootnoteReference"/>
          <w:sz w:val="24"/>
          <w:szCs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hyperlink r:id="rId3" w:history="1">
        <w:r w:rsidRPr="00D10AD1">
          <w:rPr>
            <w:rStyle w:val="Hyperlink"/>
            <w:color w:val="1155CC"/>
            <w:sz w:val="24"/>
            <w:lang w:val="it-IT"/>
          </w:rPr>
          <w:t>https://www.quechoisir.org/enquete-nanoparticules-taille-mini-doutes-maxi-n50748/</w:t>
        </w:r>
      </w:hyperlink>
      <w:r w:rsidRPr="00D10AD1">
        <w:rPr>
          <w:sz w:val="24"/>
          <w:lang w:val="it-IT"/>
        </w:rPr>
        <w:t>.</w:t>
      </w:r>
      <w:r w:rsidRPr="00D10AD1">
        <w:rPr>
          <w:color w:val="1155CC"/>
          <w:sz w:val="24"/>
          <w:u w:val="single"/>
          <w:lang w:val="it-IT"/>
        </w:rPr>
        <w:t xml:space="preserve"> </w:t>
      </w:r>
    </w:p>
  </w:footnote>
  <w:footnote w:id="10">
    <w:p w:rsidR="00BC2A8B" w:rsidRPr="00D10AD1" w:rsidRDefault="00BC2A8B" w:rsidP="00D10AD1">
      <w:pPr>
        <w:pStyle w:val="FootnoteText"/>
        <w:ind w:left="567" w:hanging="567"/>
        <w:rPr>
          <w:sz w:val="24"/>
          <w:szCs w:val="24"/>
          <w:lang w:val="it-IT"/>
        </w:rPr>
      </w:pPr>
      <w:r w:rsidRPr="00D10AD1">
        <w:rPr>
          <w:rStyle w:val="FootnoteReference"/>
          <w:sz w:val="24"/>
          <w:szCs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hyperlink r:id="rId4" w:history="1">
        <w:r w:rsidRPr="00D10AD1">
          <w:rPr>
            <w:rStyle w:val="Hyperlink"/>
            <w:color w:val="1155CC"/>
            <w:sz w:val="24"/>
            <w:lang w:val="it-IT"/>
          </w:rPr>
          <w:t>https://bibliotheque.60millions-mag.com/detail/publication/detail-top-right/561?issue_id=113421&amp;switch_toc=archive</w:t>
        </w:r>
      </w:hyperlink>
      <w:r w:rsidRPr="00D10AD1">
        <w:rPr>
          <w:sz w:val="24"/>
          <w:lang w:val="it-IT"/>
        </w:rPr>
        <w:t>.</w:t>
      </w:r>
    </w:p>
  </w:footnote>
  <w:footnote w:id="11">
    <w:p w:rsidR="00BC2A8B" w:rsidRPr="00D10AD1" w:rsidRDefault="00BC2A8B" w:rsidP="00D10AD1">
      <w:pPr>
        <w:pStyle w:val="FootnoteText"/>
        <w:ind w:left="567" w:hanging="567"/>
        <w:rPr>
          <w:sz w:val="24"/>
          <w:szCs w:val="24"/>
          <w:lang w:val="it-IT"/>
        </w:rPr>
      </w:pPr>
      <w:r w:rsidRPr="00D10AD1">
        <w:rPr>
          <w:rStyle w:val="FootnoteReference"/>
          <w:sz w:val="24"/>
          <w:szCs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hyperlink r:id="rId5" w:history="1">
        <w:r w:rsidRPr="00D10AD1">
          <w:rPr>
            <w:rStyle w:val="Hyperlink"/>
            <w:color w:val="1155CC"/>
            <w:sz w:val="24"/>
            <w:lang w:val="it-IT"/>
          </w:rPr>
          <w:t>https://veillenanos.fr/wp-content/uploads/2023/01/Rapport-test-EN-20230113.pdf</w:t>
        </w:r>
      </w:hyperlink>
      <w:r w:rsidRPr="00D10AD1">
        <w:rPr>
          <w:sz w:val="24"/>
          <w:lang w:val="it-IT"/>
        </w:rPr>
        <w:t>.</w:t>
      </w:r>
    </w:p>
  </w:footnote>
  <w:footnote w:id="12">
    <w:p w:rsidR="00BC2A8B" w:rsidRPr="00D10AD1" w:rsidRDefault="00BC2A8B" w:rsidP="00D10AD1">
      <w:pPr>
        <w:pStyle w:val="FootnoteText"/>
        <w:ind w:left="567" w:hanging="567"/>
        <w:rPr>
          <w:sz w:val="24"/>
          <w:szCs w:val="24"/>
          <w:lang w:val="it-IT"/>
        </w:rPr>
      </w:pPr>
      <w:r w:rsidRPr="00D10AD1">
        <w:rPr>
          <w:rStyle w:val="FootnoteReference"/>
          <w:sz w:val="24"/>
          <w:szCs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hyperlink r:id="rId6" w:history="1">
        <w:r w:rsidRPr="00D10AD1">
          <w:rPr>
            <w:rStyle w:val="Hyperlink"/>
            <w:color w:val="1155CC"/>
            <w:sz w:val="24"/>
            <w:lang w:val="it-IT"/>
          </w:rPr>
          <w:t>https://www.foodwatch.org/de/potenziell-krebserregender-farbstoff-in-backzutaten-von-dr-oetker</w:t>
        </w:r>
      </w:hyperlink>
      <w:r w:rsidRPr="00D10AD1">
        <w:rPr>
          <w:sz w:val="24"/>
          <w:lang w:val="it-IT"/>
        </w:rPr>
        <w:t>.</w:t>
      </w:r>
    </w:p>
  </w:footnote>
  <w:footnote w:id="13">
    <w:p w:rsidR="00BC2A8B" w:rsidRPr="00D10AD1" w:rsidRDefault="00BC2A8B" w:rsidP="00D10AD1">
      <w:pPr>
        <w:pStyle w:val="FootnoteText"/>
        <w:ind w:left="567" w:hanging="567"/>
        <w:rPr>
          <w:sz w:val="24"/>
          <w:szCs w:val="24"/>
          <w:lang w:val="it-IT"/>
        </w:rPr>
      </w:pPr>
      <w:r w:rsidRPr="00D10AD1">
        <w:rPr>
          <w:rStyle w:val="FootnoteReference"/>
          <w:sz w:val="24"/>
          <w:szCs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hyperlink r:id="rId7" w:history="1">
        <w:r w:rsidRPr="00D10AD1">
          <w:rPr>
            <w:rStyle w:val="Hyperlink"/>
            <w:color w:val="1155CC"/>
            <w:sz w:val="24"/>
            <w:lang w:val="it-IT"/>
          </w:rPr>
          <w:t>https://www.bund.net/fileadmin/user_upload_bund/publikationen/chemie/‌nanotechnologie_in_lebensmitteln_hintergrund.pdf</w:t>
        </w:r>
      </w:hyperlink>
      <w:r w:rsidRPr="00D10AD1">
        <w:rPr>
          <w:sz w:val="24"/>
          <w:lang w:val="it-IT"/>
        </w:rPr>
        <w:t>.</w:t>
      </w:r>
    </w:p>
  </w:footnote>
  <w:footnote w:id="14">
    <w:p w:rsidR="00BC2A8B" w:rsidRPr="00D10AD1" w:rsidRDefault="00BC2A8B" w:rsidP="00D10AD1">
      <w:pPr>
        <w:pStyle w:val="FootnoteText"/>
        <w:ind w:left="567" w:hanging="567"/>
        <w:rPr>
          <w:sz w:val="24"/>
          <w:szCs w:val="24"/>
          <w:lang w:val="it-IT"/>
        </w:rPr>
      </w:pPr>
      <w:r w:rsidRPr="00D10AD1">
        <w:rPr>
          <w:rStyle w:val="FootnoteReference"/>
          <w:sz w:val="24"/>
          <w:szCs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hyperlink r:id="rId8" w:history="1">
        <w:r w:rsidRPr="00D10AD1">
          <w:rPr>
            <w:rStyle w:val="Hyperlink"/>
            <w:color w:val="1155CC"/>
            <w:sz w:val="24"/>
            <w:lang w:val="it-IT"/>
          </w:rPr>
          <w:t>https://www.test-achats.be/sante/sante-au-quotidien/produits-testes/news/nanoparticules-affichage</w:t>
        </w:r>
      </w:hyperlink>
      <w:r w:rsidRPr="00D10AD1">
        <w:rPr>
          <w:sz w:val="24"/>
          <w:lang w:val="it-IT"/>
        </w:rPr>
        <w:t>.</w:t>
      </w:r>
      <w:r w:rsidRPr="00D10AD1">
        <w:rPr>
          <w:color w:val="1155CC"/>
          <w:sz w:val="24"/>
          <w:u w:val="single"/>
          <w:lang w:val="it-IT"/>
        </w:rPr>
        <w:t xml:space="preserve"> </w:t>
      </w:r>
    </w:p>
  </w:footnote>
  <w:footnote w:id="15">
    <w:p w:rsidR="00BC2A8B" w:rsidRPr="00D10AD1" w:rsidRDefault="00BC2A8B" w:rsidP="00D10AD1">
      <w:pPr>
        <w:pStyle w:val="FootnoteText"/>
        <w:ind w:left="567" w:hanging="567"/>
        <w:rPr>
          <w:sz w:val="24"/>
          <w:szCs w:val="24"/>
          <w:lang w:val="it-IT"/>
        </w:rPr>
      </w:pPr>
      <w:r w:rsidRPr="00D10AD1">
        <w:rPr>
          <w:rStyle w:val="FootnoteReference"/>
          <w:sz w:val="24"/>
          <w:szCs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hyperlink r:id="rId9" w:history="1">
        <w:r w:rsidRPr="00D10AD1">
          <w:rPr>
            <w:rStyle w:val="Hyperlink"/>
            <w:color w:val="1155CC"/>
            <w:sz w:val="24"/>
            <w:lang w:val="it-IT"/>
          </w:rPr>
          <w:t>https://www.altroconsumo.it/alimentazione/sicurezza-alimentare/news/nanoparticelle</w:t>
        </w:r>
      </w:hyperlink>
      <w:r w:rsidRPr="00D10AD1">
        <w:rPr>
          <w:sz w:val="24"/>
          <w:lang w:val="it-IT"/>
        </w:rPr>
        <w:t>.</w:t>
      </w:r>
    </w:p>
  </w:footnote>
  <w:footnote w:id="16">
    <w:p w:rsidR="00BC2A8B" w:rsidRPr="00D10AD1" w:rsidRDefault="00BC2A8B" w:rsidP="00D10AD1">
      <w:pPr>
        <w:ind w:left="567" w:hanging="567"/>
        <w:rPr>
          <w:color w:val="1155CC"/>
          <w:szCs w:val="24"/>
          <w:u w:val="single"/>
        </w:rPr>
      </w:pPr>
      <w:r w:rsidRPr="00D10AD1">
        <w:rPr>
          <w:rStyle w:val="FootnoteReference"/>
          <w:szCs w:val="24"/>
        </w:rPr>
        <w:footnoteRef/>
      </w:r>
      <w:r w:rsidR="00D10AD1" w:rsidRPr="00D10AD1">
        <w:t xml:space="preserve"> </w:t>
      </w:r>
      <w:r w:rsidR="00D10AD1" w:rsidRPr="00D10AD1">
        <w:tab/>
      </w:r>
      <w:hyperlink r:id="rId10" w:history="1">
        <w:r w:rsidRPr="00D10AD1">
          <w:rPr>
            <w:rStyle w:val="Hyperlink"/>
          </w:rPr>
          <w:t>https://www.ocu.org/toda-la-informacion?type=magazine-articles&amp;magazine=ocu%20compra%20maestra&amp;year=2019</w:t>
        </w:r>
      </w:hyperlink>
      <w:r w:rsidRPr="00D10AD1">
        <w:t>.</w:t>
      </w:r>
    </w:p>
  </w:footnote>
  <w:footnote w:id="17">
    <w:p w:rsidR="00BC2A8B" w:rsidRPr="00D10AD1" w:rsidRDefault="00BC2A8B" w:rsidP="00D10AD1">
      <w:pPr>
        <w:pStyle w:val="FootnoteText"/>
        <w:ind w:left="567" w:hanging="567"/>
        <w:rPr>
          <w:sz w:val="24"/>
          <w:szCs w:val="24"/>
          <w:lang w:val="it-IT"/>
        </w:rPr>
      </w:pPr>
      <w:r w:rsidRPr="00D10AD1">
        <w:rPr>
          <w:rStyle w:val="FootnoteReference"/>
          <w:sz w:val="24"/>
          <w:szCs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hyperlink r:id="rId11" w:history="1">
        <w:r w:rsidRPr="00D10AD1">
          <w:rPr>
            <w:rStyle w:val="Hyperlink"/>
            <w:sz w:val="24"/>
            <w:lang w:val="it-IT"/>
          </w:rPr>
          <w:t>https://echa.europa.eu/-/what-do-eu-citizens-think-about-nanomaterials-</w:t>
        </w:r>
      </w:hyperlink>
      <w:r w:rsidRPr="00D10AD1">
        <w:rPr>
          <w:sz w:val="24"/>
          <w:lang w:val="it-IT"/>
        </w:rPr>
        <w:t xml:space="preserve">. </w:t>
      </w:r>
    </w:p>
  </w:footnote>
  <w:footnote w:id="18">
    <w:p w:rsidR="00BC2A8B" w:rsidRPr="00D10AD1" w:rsidRDefault="00BC2A8B" w:rsidP="00D10AD1">
      <w:pPr>
        <w:pStyle w:val="FootnoteText"/>
        <w:ind w:left="567" w:hanging="567"/>
        <w:rPr>
          <w:sz w:val="24"/>
          <w:szCs w:val="24"/>
          <w:lang w:val="it-IT"/>
        </w:rPr>
      </w:pPr>
      <w:r w:rsidRPr="00D10AD1">
        <w:rPr>
          <w:rStyle w:val="FootnoteReference"/>
          <w:sz w:val="24"/>
          <w:szCs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r w:rsidRPr="00D10AD1">
        <w:rPr>
          <w:sz w:val="24"/>
          <w:lang w:val="it-IT"/>
        </w:rPr>
        <w:t>GU C 378 del 9.11.2017, pag. 92.</w:t>
      </w:r>
    </w:p>
  </w:footnote>
  <w:footnote w:id="19">
    <w:p w:rsidR="00BC2A8B" w:rsidRPr="00D10AD1" w:rsidRDefault="00BC2A8B" w:rsidP="00D10AD1">
      <w:pPr>
        <w:pStyle w:val="FootnoteText"/>
        <w:ind w:left="567" w:hanging="567"/>
        <w:rPr>
          <w:sz w:val="24"/>
          <w:szCs w:val="24"/>
          <w:lang w:val="it-IT"/>
        </w:rPr>
      </w:pPr>
      <w:r w:rsidRPr="00D10AD1">
        <w:rPr>
          <w:rStyle w:val="FootnoteReference"/>
          <w:sz w:val="24"/>
          <w:szCs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r w:rsidRPr="00D10AD1">
        <w:rPr>
          <w:sz w:val="24"/>
          <w:lang w:val="it-IT"/>
        </w:rPr>
        <w:t>GU C 395 del 29.3.2021, pag. 28.</w:t>
      </w:r>
    </w:p>
  </w:footnote>
  <w:footnote w:id="20">
    <w:p w:rsidR="00BC2A8B" w:rsidRPr="00D10AD1" w:rsidRDefault="00BC2A8B" w:rsidP="00D10AD1">
      <w:pPr>
        <w:pStyle w:val="FootnoteText"/>
        <w:ind w:left="567" w:hanging="567"/>
        <w:rPr>
          <w:sz w:val="24"/>
          <w:szCs w:val="24"/>
          <w:lang w:val="it-IT"/>
        </w:rPr>
      </w:pPr>
      <w:r w:rsidRPr="00D10AD1">
        <w:rPr>
          <w:rStyle w:val="FootnoteReference"/>
          <w:sz w:val="24"/>
          <w:szCs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hyperlink r:id="rId12" w:history="1">
        <w:r w:rsidRPr="00D10AD1">
          <w:rPr>
            <w:rStyle w:val="Hyperlink"/>
            <w:sz w:val="24"/>
            <w:lang w:val="it-IT"/>
          </w:rPr>
          <w:t>https://www.efsa.europa.eu/sites/default/files/assets/corporatenanotechnology121003.pdf</w:t>
        </w:r>
      </w:hyperlink>
      <w:r w:rsidRPr="00D10AD1">
        <w:rPr>
          <w:sz w:val="24"/>
          <w:lang w:val="it-IT"/>
        </w:rPr>
        <w:t>.</w:t>
      </w:r>
    </w:p>
  </w:footnote>
  <w:footnote w:id="21">
    <w:p w:rsidR="00BC2A8B" w:rsidRPr="00D10AD1" w:rsidRDefault="00BC2A8B" w:rsidP="00D10AD1">
      <w:pPr>
        <w:pStyle w:val="FootnoteText"/>
        <w:ind w:left="567" w:hanging="567"/>
        <w:rPr>
          <w:sz w:val="24"/>
          <w:szCs w:val="24"/>
          <w:lang w:val="it-IT"/>
        </w:rPr>
      </w:pPr>
      <w:r w:rsidRPr="00D10AD1">
        <w:rPr>
          <w:rStyle w:val="FootnoteReference"/>
          <w:sz w:val="24"/>
          <w:szCs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hyperlink r:id="rId13" w:history="1">
        <w:r w:rsidRPr="00D10AD1">
          <w:rPr>
            <w:rStyle w:val="Hyperlink"/>
            <w:color w:val="1155CC"/>
            <w:sz w:val="24"/>
            <w:lang w:val="it-IT"/>
          </w:rPr>
          <w:t>https://veillenanos.fr/en/dossier/nanos-and-health/nanos-health-risks/</w:t>
        </w:r>
      </w:hyperlink>
      <w:r w:rsidRPr="00D10AD1">
        <w:rPr>
          <w:sz w:val="24"/>
          <w:lang w:val="it-IT"/>
        </w:rPr>
        <w:t>.</w:t>
      </w:r>
    </w:p>
  </w:footnote>
  <w:footnote w:id="22">
    <w:p w:rsidR="00BC2A8B" w:rsidRPr="00D10AD1" w:rsidRDefault="00BC2A8B" w:rsidP="00D10AD1">
      <w:pPr>
        <w:pStyle w:val="FootnoteText"/>
        <w:ind w:left="567" w:hanging="567"/>
        <w:rPr>
          <w:sz w:val="24"/>
          <w:szCs w:val="24"/>
          <w:lang w:val="it-IT"/>
        </w:rPr>
      </w:pPr>
      <w:r w:rsidRPr="00D10AD1">
        <w:rPr>
          <w:rStyle w:val="FootnoteReference"/>
          <w:sz w:val="24"/>
          <w:szCs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r w:rsidRPr="00D10AD1">
        <w:rPr>
          <w:sz w:val="24"/>
          <w:lang w:val="it-IT"/>
        </w:rPr>
        <w:t>Parere dell'Anses (2023), "</w:t>
      </w:r>
      <w:r w:rsidR="00951F09">
        <w:rPr>
          <w:sz w:val="24"/>
          <w:lang w:val="it-IT"/>
        </w:rPr>
        <w:t xml:space="preserve">Définition des nanomatériaux : </w:t>
      </w:r>
      <w:r w:rsidRPr="00D10AD1">
        <w:rPr>
          <w:sz w:val="24"/>
          <w:lang w:val="it-IT"/>
        </w:rPr>
        <w:t xml:space="preserve">analyse, enjeux et controverses" (Definizione dei nanomateriali: analisi, sfide e controversie), </w:t>
      </w:r>
      <w:hyperlink r:id="rId14" w:history="1">
        <w:r w:rsidRPr="00D10AD1">
          <w:rPr>
            <w:rStyle w:val="Hyperlink"/>
            <w:color w:val="1155CC"/>
            <w:sz w:val="24"/>
            <w:lang w:val="it-IT"/>
          </w:rPr>
          <w:t>https://www.anses.fr/fr/system/files/AP2018SA0168Ra.pdf</w:t>
        </w:r>
      </w:hyperlink>
      <w:r w:rsidRPr="00D10AD1">
        <w:rPr>
          <w:sz w:val="24"/>
          <w:lang w:val="it-IT"/>
        </w:rPr>
        <w:t>.</w:t>
      </w:r>
    </w:p>
  </w:footnote>
  <w:footnote w:id="23">
    <w:p w:rsidR="00BC2A8B" w:rsidRPr="00D10AD1" w:rsidRDefault="00BC2A8B" w:rsidP="00D10AD1">
      <w:pPr>
        <w:pStyle w:val="FootnoteText"/>
        <w:ind w:left="567" w:hanging="567"/>
        <w:rPr>
          <w:sz w:val="24"/>
          <w:szCs w:val="24"/>
          <w:lang w:val="it-IT"/>
        </w:rPr>
      </w:pPr>
      <w:r w:rsidRPr="00D10AD1">
        <w:rPr>
          <w:rStyle w:val="FootnoteReference"/>
          <w:sz w:val="24"/>
          <w:szCs w:val="24"/>
          <w:lang w:val="it-IT"/>
        </w:rPr>
        <w:footnoteRef/>
      </w:r>
      <w:r w:rsidR="00D10AD1" w:rsidRPr="00D10AD1">
        <w:rPr>
          <w:sz w:val="24"/>
          <w:lang w:val="it-IT"/>
        </w:rPr>
        <w:t xml:space="preserve"> </w:t>
      </w:r>
      <w:r w:rsidR="00D10AD1" w:rsidRPr="00D10AD1">
        <w:rPr>
          <w:sz w:val="24"/>
          <w:lang w:val="it-IT"/>
        </w:rPr>
        <w:tab/>
      </w:r>
      <w:r w:rsidRPr="00D10AD1">
        <w:rPr>
          <w:sz w:val="24"/>
          <w:lang w:val="it-IT"/>
        </w:rPr>
        <w:t>Raccomandazione della Commissione, del 10 giugno 2022, sulla definizione di nanomateriale (GU C 229 del 14.6.2022, pag. 1).</w:t>
      </w:r>
    </w:p>
  </w:footnote>
  <w:footnote w:id="24">
    <w:p w:rsidR="00BC2A8B" w:rsidRPr="00D10AD1" w:rsidRDefault="00BC2A8B" w:rsidP="00D10AD1">
      <w:pPr>
        <w:pStyle w:val="FootnoteText"/>
        <w:ind w:left="567" w:hanging="567"/>
        <w:rPr>
          <w:sz w:val="24"/>
          <w:szCs w:val="24"/>
          <w:lang w:val="it-IT"/>
        </w:rPr>
      </w:pPr>
      <w:r w:rsidRPr="00D10AD1">
        <w:rPr>
          <w:rStyle w:val="FootnoteReference"/>
          <w:sz w:val="24"/>
          <w:szCs w:val="24"/>
          <w:lang w:val="it-IT"/>
        </w:rPr>
        <w:footnoteRef/>
      </w:r>
      <w:r w:rsidR="00D10AD1" w:rsidRPr="00951F09">
        <w:rPr>
          <w:sz w:val="24"/>
        </w:rPr>
        <w:t xml:space="preserve"> </w:t>
      </w:r>
      <w:r w:rsidR="00D10AD1" w:rsidRPr="00951F09">
        <w:rPr>
          <w:sz w:val="24"/>
        </w:rPr>
        <w:tab/>
      </w:r>
      <w:r w:rsidRPr="00951F09">
        <w:rPr>
          <w:sz w:val="24"/>
        </w:rPr>
        <w:t xml:space="preserve">Anses (2020), "Nanomatériaux dans les produits destinés à l'alimentation. </w:t>
      </w:r>
      <w:r w:rsidRPr="00D10AD1">
        <w:rPr>
          <w:sz w:val="24"/>
          <w:lang w:val="it-IT"/>
        </w:rPr>
        <w:t xml:space="preserve">Rapport d'expertise collective" (Nanomateriali nei prodotti destinati all'alimentazione. Relazione di un gruppo di esperti), </w:t>
      </w:r>
      <w:hyperlink r:id="rId15" w:history="1">
        <w:r w:rsidRPr="00D10AD1">
          <w:rPr>
            <w:rStyle w:val="Hyperlink"/>
            <w:color w:val="1155CC"/>
            <w:sz w:val="24"/>
            <w:lang w:val="it-IT"/>
          </w:rPr>
          <w:t>https://www.anses.fr/fr/system/files/ERCA2016SA0226Ra.pdf</w:t>
        </w:r>
      </w:hyperlink>
      <w:r w:rsidRPr="00D10AD1">
        <w:rPr>
          <w:sz w:val="24"/>
          <w:lang w:val="it-IT"/>
        </w:rPr>
        <w:t xml:space="preserve"> (pag. 86).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0AD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0AD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10A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5/2024"/>
    <w:docVar w:name="dvlangue" w:val="IT"/>
    <w:docVar w:name="dvnumam" w:val="0"/>
    <w:docVar w:name="dvpe" w:val="760.689"/>
    <w:docVar w:name="dvtitre" w:val="Risoluzione del Parlamento europeo del 24 aprile 2024 sul regolamento delegato della Commissione, del 14 marzo 2024, che modifica il regolamento (UE) 2015/2283 del Parlamento europeo e del Consiglio relativo ai nuovi alimenti per quanto riguarda la definizione di &quot;nanomateriali ingegnerizzati&quot;(C(2024)01612 – 2024/2691(DEA))"/>
  </w:docVars>
  <w:rsids>
    <w:rsidRoot w:val="00807BB3"/>
    <w:rsid w:val="00002272"/>
    <w:rsid w:val="00020717"/>
    <w:rsid w:val="00064002"/>
    <w:rsid w:val="000677B9"/>
    <w:rsid w:val="000831BA"/>
    <w:rsid w:val="000A42CC"/>
    <w:rsid w:val="000E7DD9"/>
    <w:rsid w:val="0010095E"/>
    <w:rsid w:val="00125B37"/>
    <w:rsid w:val="00126C0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509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BB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F09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2A8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0AD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E17FB4"/>
  <w15:chartTrackingRefBased/>
  <w15:docId w15:val="{B8B182DD-9A97-44DF-B672-FB2BD0A8F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C2A8B"/>
    <w:pPr>
      <w:spacing w:before="480" w:after="240"/>
    </w:pPr>
  </w:style>
  <w:style w:type="paragraph" w:customStyle="1" w:styleId="NormalHanging12a">
    <w:name w:val="NormalHanging12a"/>
    <w:basedOn w:val="Normal"/>
    <w:rsid w:val="00BC2A8B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BC2A8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126C0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951F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51F09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t-achats.be/sante/sante-au-quotidien/produits-testes/news/nanoparticules-affichage" TargetMode="External"/><Relationship Id="rId13" Type="http://schemas.openxmlformats.org/officeDocument/2006/relationships/hyperlink" Target="https://veillenanos.fr/en/dossier/nanos-and-health/nanos-health-risks/" TargetMode="External"/><Relationship Id="rId3" Type="http://schemas.openxmlformats.org/officeDocument/2006/relationships/hyperlink" Target="https://www.quechoisir.org/enquete-nanoparticules-taille-mini-doutes-maxi-n50748/" TargetMode="External"/><Relationship Id="rId7" Type="http://schemas.openxmlformats.org/officeDocument/2006/relationships/hyperlink" Target="https://www.bund.net/fileadmin/user_upload_bund/publikationen/chemie/nanotechnologie_in_lebensmitteln_hintergrund.pdf" TargetMode="External"/><Relationship Id="rId12" Type="http://schemas.openxmlformats.org/officeDocument/2006/relationships/hyperlink" Target="https://www.efsa.europa.eu/sites/default/files/assets/corporatenanotechnology121003.pdf" TargetMode="External"/><Relationship Id="rId2" Type="http://schemas.openxmlformats.org/officeDocument/2006/relationships/hyperlink" Target="https://www.agirpourlenvironnement.org/communiques-presse/enquete-exclusive-des-analyses-revelent-la-presence-de-nanoparticules-dans-3980/" TargetMode="External"/><Relationship Id="rId1" Type="http://schemas.openxmlformats.org/officeDocument/2006/relationships/hyperlink" Target="https://www.anses.fr/fr/nanomateriaux-alimentation-premiere-application-methodologie" TargetMode="External"/><Relationship Id="rId6" Type="http://schemas.openxmlformats.org/officeDocument/2006/relationships/hyperlink" Target="https://www.foodwatch.org/de/potenziell-krebserregender-farbstoff-in-backzutaten-von-dr-oetker" TargetMode="External"/><Relationship Id="rId11" Type="http://schemas.openxmlformats.org/officeDocument/2006/relationships/hyperlink" Target="https://echa.europa.eu/-/what-do-eu-citizens-think-about-nanomaterials-" TargetMode="External"/><Relationship Id="rId5" Type="http://schemas.openxmlformats.org/officeDocument/2006/relationships/hyperlink" Target="https://veillenanos.fr/wp-content/uploads/2023/01/Rapport-test-EN-20230113.pdf" TargetMode="External"/><Relationship Id="rId15" Type="http://schemas.openxmlformats.org/officeDocument/2006/relationships/hyperlink" Target="https://www.anses.fr/fr/system/files/ERCA2016SA0226Ra.pdf" TargetMode="External"/><Relationship Id="rId10" Type="http://schemas.openxmlformats.org/officeDocument/2006/relationships/hyperlink" Target="https://www.ocu.org/toda-la-informacion?type=magazine-articles&amp;magazine=ocu%20compra%20maestra&amp;year=2019" TargetMode="External"/><Relationship Id="rId4" Type="http://schemas.openxmlformats.org/officeDocument/2006/relationships/hyperlink" Target="https://bibliotheque.60millions-mag.com/detail/publication/detail-top-right/561?issue_id=113421&amp;switch_toc=archive" TargetMode="External"/><Relationship Id="rId9" Type="http://schemas.openxmlformats.org/officeDocument/2006/relationships/hyperlink" Target="https://www.altroconsumo.it/alimentazione/sicurezza-alimentare/news/nanoparticelle" TargetMode="External"/><Relationship Id="rId14" Type="http://schemas.openxmlformats.org/officeDocument/2006/relationships/hyperlink" Target="https://www.anses.fr/fr/system/files/AP2018SA0168R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DCC8F-15A8-4BED-8B98-64D2428ED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1824</Words>
  <Characters>11080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anonimo</cp:lastModifiedBy>
  <cp:revision>4</cp:revision>
  <cp:lastPrinted>2004-11-19T15:42:00Z</cp:lastPrinted>
  <dcterms:created xsi:type="dcterms:W3CDTF">2024-04-24T08:35:00Z</dcterms:created>
  <dcterms:modified xsi:type="dcterms:W3CDTF">2024-06-12T13:45:00Z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B9-0225/2024</vt:lpwstr>
  </property>
  <property fmtid="{D5CDD505-2E9C-101B-9397-08002B2CF9AE}" pid="4" name="&lt;Type&gt;">
    <vt:lpwstr>RR</vt:lpwstr>
  </property>
</Properties>
</file>