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6142ED" w:rsidTr="0010095E">
        <w:trPr>
          <w:trHeight w:hRule="exact" w:val="1418"/>
        </w:trPr>
        <w:tc>
          <w:tcPr>
            <w:tcW w:w="6804" w:type="dxa"/>
            <w:shd w:val="clear" w:color="auto" w:fill="auto"/>
            <w:vAlign w:val="center"/>
          </w:tcPr>
          <w:p w:rsidR="00751A4A" w:rsidRPr="006142ED" w:rsidRDefault="00AD0B59" w:rsidP="0010095E">
            <w:pPr>
              <w:pStyle w:val="EPName"/>
            </w:pPr>
            <w:r w:rsidRPr="006142ED">
              <w:t>Europos Parlamentas</w:t>
            </w:r>
          </w:p>
          <w:p w:rsidR="00751A4A" w:rsidRPr="006142ED" w:rsidRDefault="00817416" w:rsidP="00756632">
            <w:pPr>
              <w:pStyle w:val="EPTerm"/>
              <w:rPr>
                <w:rStyle w:val="HideTWBExt"/>
                <w:noProof w:val="0"/>
                <w:vanish w:val="0"/>
                <w:color w:val="auto"/>
              </w:rPr>
            </w:pPr>
            <w:r w:rsidRPr="006142ED">
              <w:t>2019-2024</w:t>
            </w:r>
          </w:p>
        </w:tc>
        <w:tc>
          <w:tcPr>
            <w:tcW w:w="2268" w:type="dxa"/>
            <w:shd w:val="clear" w:color="auto" w:fill="auto"/>
          </w:tcPr>
          <w:p w:rsidR="00751A4A" w:rsidRPr="006142ED" w:rsidRDefault="00187494" w:rsidP="0010095E">
            <w:pPr>
              <w:pStyle w:val="EPLogo"/>
            </w:pPr>
            <w:r w:rsidRPr="006142E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6142ED" w:rsidRDefault="00D058B8" w:rsidP="004C5D52">
      <w:pPr>
        <w:pStyle w:val="LineTop"/>
      </w:pPr>
    </w:p>
    <w:p w:rsidR="00680577" w:rsidRPr="006142ED" w:rsidRDefault="00AD0B59" w:rsidP="00680577">
      <w:pPr>
        <w:pStyle w:val="EPBodyTA1"/>
      </w:pPr>
      <w:r w:rsidRPr="006142ED">
        <w:t>PRIIMTI TEKSTAI</w:t>
      </w:r>
    </w:p>
    <w:p w:rsidR="00D058B8" w:rsidRPr="006142ED" w:rsidRDefault="00D058B8" w:rsidP="00D058B8">
      <w:pPr>
        <w:pStyle w:val="LineBottom"/>
      </w:pPr>
    </w:p>
    <w:p w:rsidR="00AD0B59" w:rsidRPr="006142ED" w:rsidRDefault="00AD0B59" w:rsidP="00AD0B59">
      <w:pPr>
        <w:pStyle w:val="ATHeading1"/>
      </w:pPr>
      <w:bookmarkStart w:id="0" w:name="TANumber"/>
      <w:r w:rsidRPr="006142ED">
        <w:t>P9_TA(2024)0</w:t>
      </w:r>
      <w:r w:rsidR="006938B5">
        <w:t>316</w:t>
      </w:r>
      <w:bookmarkStart w:id="1" w:name="_GoBack"/>
      <w:bookmarkEnd w:id="0"/>
      <w:bookmarkEnd w:id="1"/>
    </w:p>
    <w:p w:rsidR="00AD0B59" w:rsidRPr="006142ED" w:rsidRDefault="00AD0B59" w:rsidP="00AD0B59">
      <w:pPr>
        <w:pStyle w:val="ATHeading2"/>
      </w:pPr>
      <w:bookmarkStart w:id="2" w:name="title"/>
      <w:r w:rsidRPr="006142ED">
        <w:t xml:space="preserve">Prieštaravimai </w:t>
      </w:r>
      <w:r w:rsidR="006B334E">
        <w:t xml:space="preserve">deleguotajam aktui: </w:t>
      </w:r>
      <w:r w:rsidRPr="006142ED">
        <w:t>nauji maisto produktai – termino „dirbtinai sukurtos nanomedžiagos“ apibrėžtis</w:t>
      </w:r>
      <w:bookmarkEnd w:id="2"/>
    </w:p>
    <w:p w:rsidR="00AD0B59" w:rsidRPr="006142ED" w:rsidRDefault="00AD0B59" w:rsidP="00AD0B59">
      <w:pPr>
        <w:rPr>
          <w:i/>
          <w:vanish/>
        </w:rPr>
      </w:pPr>
      <w:r w:rsidRPr="006142ED">
        <w:rPr>
          <w:i/>
        </w:rPr>
        <w:fldChar w:fldCharType="begin"/>
      </w:r>
      <w:r w:rsidRPr="006142ED">
        <w:rPr>
          <w:i/>
        </w:rPr>
        <w:instrText xml:space="preserve"> TC"(</w:instrText>
      </w:r>
      <w:bookmarkStart w:id="3" w:name="DocNumber"/>
      <w:r w:rsidRPr="006142ED">
        <w:rPr>
          <w:i/>
        </w:rPr>
        <w:instrText>B9-0225/2024</w:instrText>
      </w:r>
      <w:bookmarkEnd w:id="3"/>
      <w:r w:rsidRPr="006142ED">
        <w:rPr>
          <w:i/>
        </w:rPr>
        <w:instrText xml:space="preserve">)"\l3 \n&gt; \* MERGEFORMAT </w:instrText>
      </w:r>
      <w:r w:rsidRPr="006142ED">
        <w:rPr>
          <w:i/>
        </w:rPr>
        <w:fldChar w:fldCharType="end"/>
      </w:r>
    </w:p>
    <w:p w:rsidR="00AD0B59" w:rsidRPr="006142ED" w:rsidRDefault="00AD0B59" w:rsidP="00AD0B59">
      <w:pPr>
        <w:rPr>
          <w:vanish/>
        </w:rPr>
      </w:pPr>
      <w:bookmarkStart w:id="4" w:name="PE"/>
      <w:r w:rsidRPr="006142ED">
        <w:rPr>
          <w:vanish/>
        </w:rPr>
        <w:t>PE760.689</w:t>
      </w:r>
      <w:bookmarkEnd w:id="4"/>
    </w:p>
    <w:p w:rsidR="00AD0B59" w:rsidRPr="006142ED" w:rsidRDefault="00AD0B59" w:rsidP="007F2CE2">
      <w:pPr>
        <w:pStyle w:val="ATHeading3"/>
      </w:pPr>
      <w:bookmarkStart w:id="5" w:name="Sujet"/>
      <w:r w:rsidRPr="006142ED">
        <w:t xml:space="preserve">2024 m. </w:t>
      </w:r>
      <w:r w:rsidR="006B334E" w:rsidRPr="006142ED">
        <w:t>balandžio</w:t>
      </w:r>
      <w:r w:rsidRPr="006142ED">
        <w:t xml:space="preserve"> 24 d. Europos Parlamento rezoliucija dėl 2024 m. kovo 14 d. Komisijos deleguotojo reglamento, kuriuo dėl termino „dirbtinai sukurtos nanomedžiagos“ apibrėžties iš dalies keičiamas Europos Parlamento ir Tarybos reglamentas (ES) 2015/2283 dėl naujų maisto produktų</w:t>
      </w:r>
      <w:bookmarkEnd w:id="5"/>
      <w:r w:rsidRPr="006142ED">
        <w:t xml:space="preserve"> </w:t>
      </w:r>
      <w:bookmarkStart w:id="6" w:name="References"/>
      <w:r w:rsidRPr="006142ED">
        <w:t>(C(2024)01612 – 2024/2691(DEA))</w:t>
      </w:r>
      <w:bookmarkEnd w:id="6"/>
    </w:p>
    <w:p w:rsidR="00CB5A7E" w:rsidRPr="006142ED" w:rsidRDefault="00CB5A7E">
      <w:pPr>
        <w:pStyle w:val="EPComma"/>
      </w:pPr>
      <w:bookmarkStart w:id="7" w:name="TextBodyBegin"/>
      <w:bookmarkEnd w:id="7"/>
      <w:r w:rsidRPr="006142ED">
        <w:rPr>
          <w:i/>
        </w:rPr>
        <w:t>Europos Parlamentas</w:t>
      </w:r>
      <w:r w:rsidRPr="006142ED">
        <w:t>,</w:t>
      </w:r>
    </w:p>
    <w:p w:rsidR="00CB5A7E" w:rsidRPr="006142ED" w:rsidRDefault="00CB5A7E">
      <w:pPr>
        <w:pStyle w:val="NormalHanging12a"/>
      </w:pPr>
      <w:r w:rsidRPr="006142ED">
        <w:t>–</w:t>
      </w:r>
      <w:r w:rsidRPr="006142ED">
        <w:tab/>
        <w:t>atsižvelgdamas į 2024 m. kovo 14 d. Komisijos deleguotąjį reglamentą, kuriuo dėl termino „dirbtinai sukurtos nanomedžiagos“ apibrėžties iš dalies keičiamas Europos Parlamento ir Tarybos reglamentas (ES) 2015/2283 dėl naujų maisto produktų (C(2024)01612),</w:t>
      </w:r>
    </w:p>
    <w:p w:rsidR="00CB5A7E" w:rsidRPr="006142ED" w:rsidRDefault="00CB5A7E">
      <w:pPr>
        <w:pStyle w:val="NormalHanging12a"/>
      </w:pPr>
      <w:r w:rsidRPr="006142ED">
        <w:t>–</w:t>
      </w:r>
      <w:r w:rsidRPr="006142ED">
        <w:tab/>
        <w:t>atsižvelgdamas į Sutarties dėl Europos Sąjungos veikimo (SESV) 290 straipsnį,</w:t>
      </w:r>
    </w:p>
    <w:p w:rsidR="00CB5A7E" w:rsidRPr="006142ED" w:rsidRDefault="00CB5A7E">
      <w:pPr>
        <w:pStyle w:val="NormalHanging12a"/>
        <w:rPr>
          <w:noProof/>
        </w:rPr>
      </w:pPr>
      <w:r w:rsidRPr="006142ED">
        <w:t>–</w:t>
      </w:r>
      <w:r w:rsidRPr="006142ED">
        <w:tab/>
        <w:t>atsižvelgdamas į 2015 m. lapkričio 25 d. Europos Parlamento ir Tarybos reglamentą (ES) 2015/2283 dėl naujų maisto produktų, iš dalies keičiantį Europos Parlamento ir Tarybos reglamentą (ES) Nr. 1169/2011 ir panaikinantį Europos Parlamento ir Tarybos reglamentą (EB) Nr. 258/97 ir Komisijos reglamentą (EB) Nr. 1852/2001</w:t>
      </w:r>
      <w:r w:rsidRPr="006142ED">
        <w:rPr>
          <w:rStyle w:val="FootnoteReference"/>
          <w:noProof/>
          <w:color w:val="000000"/>
          <w:szCs w:val="24"/>
        </w:rPr>
        <w:footnoteReference w:id="1"/>
      </w:r>
      <w:r w:rsidRPr="006142ED">
        <w:t>, ypač į jo 31 straipsnį ir 32 straipsnio 6 dalį,</w:t>
      </w:r>
    </w:p>
    <w:p w:rsidR="00CB5A7E" w:rsidRPr="006142ED" w:rsidRDefault="00CB5A7E">
      <w:pPr>
        <w:pStyle w:val="NormalHanging12a"/>
      </w:pPr>
      <w:r w:rsidRPr="006142ED">
        <w:t>–</w:t>
      </w:r>
      <w:r w:rsidRPr="006142ED">
        <w:tab/>
        <w:t>atsižvelgdamas į 2011 m. spalio 25 d. Europos Parlamento ir Tarybos reglamentą (ES) Nr. 1169/2011 dėl informacijos apie maistą teikimo vartotojams, kuriuo iš dalies keičiami Europos Parlamento ir Tarybos reglamentai (EB) Nr. 1924/2006 ir (EB) Nr. 1925/2006 bei kuriuo panaikinami Komisijos direktyva 87/250/EEB, Tarybos direktyva 90/496/EEB, Komisijos direktyva 1999/10/EB, Europos Parlamento ir Tarybos direktyva 2000/13/EB, Komisijos direktyvos 2002/67/EB ir 2008/5/EB bei Komisijos reglamentas (EB) Nr. 608/2004</w:t>
      </w:r>
      <w:r w:rsidRPr="006142ED">
        <w:rPr>
          <w:rStyle w:val="FootnoteReference"/>
          <w:noProof/>
          <w:color w:val="000000"/>
          <w:szCs w:val="24"/>
        </w:rPr>
        <w:footnoteReference w:id="2"/>
      </w:r>
      <w:r w:rsidRPr="006142ED">
        <w:t>, ypač į jo 18 straipsnio 3 dalį,</w:t>
      </w:r>
    </w:p>
    <w:p w:rsidR="00CB5A7E" w:rsidRPr="006142ED" w:rsidRDefault="00CB5A7E">
      <w:pPr>
        <w:pStyle w:val="NormalHanging12a"/>
      </w:pPr>
      <w:r w:rsidRPr="006142ED">
        <w:t>–</w:t>
      </w:r>
      <w:r w:rsidRPr="006142ED">
        <w:tab/>
        <w:t xml:space="preserve">atsižvelgdamas į 2008 m. gruodžio 16 d. Europos Parlamento ir Tarybos reglamentą </w:t>
      </w:r>
      <w:r w:rsidRPr="006142ED">
        <w:lastRenderedPageBreak/>
        <w:t>(EB) Nr. 1333/2008 dėl maisto priedų</w:t>
      </w:r>
      <w:r w:rsidRPr="006142ED">
        <w:rPr>
          <w:rStyle w:val="FootnoteReference"/>
          <w:color w:val="000000"/>
          <w:szCs w:val="24"/>
        </w:rPr>
        <w:footnoteReference w:id="3"/>
      </w:r>
      <w:r w:rsidRPr="006142ED">
        <w:t>,</w:t>
      </w:r>
    </w:p>
    <w:p w:rsidR="00CB5A7E" w:rsidRPr="006142ED" w:rsidRDefault="00CB5A7E">
      <w:pPr>
        <w:pStyle w:val="NormalHanging12a"/>
      </w:pPr>
      <w:r w:rsidRPr="006142ED">
        <w:t>–</w:t>
      </w:r>
      <w:r w:rsidRPr="006142ED">
        <w:tab/>
        <w:t>atsižvelgdamas į Sąjungos sąrašus, nustatytus 2011 m. lapkričio 11 d. Komisijos reglamentu (ES) Nr. 1129/2011, kuriuo iš dalies keičiamas Europos Parlamento ir Tarybos reglamento (EB) Nr. 1333/2008 II priedas sudarant Sąjungos maisto priedų sąrašą</w:t>
      </w:r>
      <w:r w:rsidRPr="006142ED">
        <w:rPr>
          <w:rStyle w:val="FootnoteReference"/>
          <w:color w:val="000000"/>
          <w:szCs w:val="24"/>
        </w:rPr>
        <w:footnoteReference w:id="4"/>
      </w:r>
      <w:r w:rsidRPr="006142ED">
        <w:t>, taip pat į 2011 m. lapkričio 11 d. Komisijos reglamentą (ES) Nr. 1130/2011, kuriuo dėl sudaromo Sąjungos maisto prieduose, maisto fermentuose, maisto kvapiosiose medžiagose ir maistingosiose medžiagose leidžiamų naudoti maisto priedų sąrašo iš dalies keičiamas Europos Parlamento ir Tarybos reglamento (EB) Nr. 1333/2008 dėl maisto priedų III priedas</w:t>
      </w:r>
      <w:r w:rsidRPr="006142ED">
        <w:rPr>
          <w:rStyle w:val="FootnoteReference"/>
          <w:color w:val="000000"/>
          <w:szCs w:val="24"/>
        </w:rPr>
        <w:footnoteReference w:id="5"/>
      </w:r>
      <w:r w:rsidRPr="006142ED">
        <w:t>,</w:t>
      </w:r>
    </w:p>
    <w:p w:rsidR="00CB5A7E" w:rsidRPr="006142ED" w:rsidRDefault="00CB5A7E">
      <w:pPr>
        <w:pStyle w:val="NormalHanging12a"/>
      </w:pPr>
      <w:r w:rsidRPr="006142ED">
        <w:t>–</w:t>
      </w:r>
      <w:r w:rsidRPr="006142ED">
        <w:tab/>
        <w:t>atsižvelgdamas į 2010 m. kovo 25 d. Komisijos reglamentą (ES) Nr. 257/2010, kuriuo nustatoma patvirtintų maisto priedų pakartotinio vertinimo programa pagal Europos Parlamento ir Tarybos reglamentą (EB) Nr. 1333/2008 dėl maisto priedų</w:t>
      </w:r>
      <w:r w:rsidRPr="006142ED">
        <w:rPr>
          <w:rStyle w:val="FootnoteReference"/>
          <w:color w:val="000000"/>
          <w:szCs w:val="24"/>
        </w:rPr>
        <w:footnoteReference w:id="6"/>
      </w:r>
      <w:r w:rsidRPr="006142ED">
        <w:t>,</w:t>
      </w:r>
    </w:p>
    <w:p w:rsidR="00CB5A7E" w:rsidRPr="006142ED" w:rsidRDefault="00CB5A7E">
      <w:pPr>
        <w:pStyle w:val="NormalHanging12a"/>
      </w:pPr>
      <w:r w:rsidRPr="006142ED">
        <w:t>–</w:t>
      </w:r>
      <w:r w:rsidRPr="006142ED">
        <w:tab/>
        <w:t>atsižvelgdamas į Darbo tvarkos taisyklių 111 straipsnio 3 dalį,</w:t>
      </w:r>
    </w:p>
    <w:p w:rsidR="00CB5A7E" w:rsidRPr="006142ED" w:rsidRDefault="00CB5A7E">
      <w:pPr>
        <w:pStyle w:val="NormalHanging12a"/>
      </w:pPr>
      <w:r w:rsidRPr="006142ED">
        <w:t>–</w:t>
      </w:r>
      <w:r w:rsidRPr="006142ED">
        <w:tab/>
        <w:t>atsižvelgdamas į Aplinkos, visuomenės sveikatos ir maisto saugos komiteto pasiūlymą dėl rezoliucijos,</w:t>
      </w:r>
    </w:p>
    <w:p w:rsidR="00CB5A7E" w:rsidRPr="006142ED" w:rsidRDefault="00CB5A7E">
      <w:pPr>
        <w:pStyle w:val="NormalHanging12a"/>
      </w:pPr>
      <w:r w:rsidRPr="006142ED">
        <w:t>A.</w:t>
      </w:r>
      <w:r w:rsidRPr="006142ED">
        <w:tab/>
        <w:t>kadangi Reglamento (ES) Nr. 1169/2011 18 straipsnio 3 dalyje nustatyta, kad visos dirbtinai sukurtų nanomedžiagų pavidalu esančios maisto sudedamosios dalys turi būti aiškiai nurodytos maisto sudedamųjų dalių sąraše, kad būtų užtikrintas vartotojų informavimas; kadangi atitinkamai Reglamente (ES) Nr. 1169/2011 terminas „dirbtinai sukurtos nanomedžiagos“ apibrėžiamas taip, kaip nustatyta Reglamento (ES) 2015/2283 3 straipsnio 2 dalies f punkte;</w:t>
      </w:r>
    </w:p>
    <w:p w:rsidR="00CB5A7E" w:rsidRPr="006142ED" w:rsidRDefault="00CB5A7E">
      <w:pPr>
        <w:pStyle w:val="NormalHanging12a"/>
      </w:pPr>
      <w:r w:rsidRPr="006142ED">
        <w:t>B.</w:t>
      </w:r>
      <w:r w:rsidRPr="006142ED">
        <w:tab/>
        <w:t>kadangi, kad būtų pasiekti šio reglamento tikslai, Reglamento (ES) 2015/2283 31 straipsniu Komisijai suteikiami įgaliojimai deleguotaisiais aktais priderinti ir pritaikyti reglamente nurodytą termino „dirbtinai sukurtos nanomedžiagos“ apibrėžtį prie technikos ir mokslo pažangos arba prie terminų apibrėžčių, dėl kurių susitarta tarptautiniu lygiu;</w:t>
      </w:r>
    </w:p>
    <w:p w:rsidR="00CB5A7E" w:rsidRPr="006142ED" w:rsidRDefault="00CB5A7E">
      <w:pPr>
        <w:pStyle w:val="NormalHanging12a"/>
      </w:pPr>
      <w:r w:rsidRPr="006142ED">
        <w:t>C.</w:t>
      </w:r>
      <w:r w:rsidRPr="006142ED">
        <w:tab/>
        <w:t>kadangi Reglamentais (ES) Nr. 1129/2011 ir (ES) Nr. 1130/2011 nustatytuose išsamiuose Sąjungos sąrašuose išvardyti maisto priedai, kuriuos leista naudoti kol įsigalios Reglamentas (EB) Nr. 1333/2008 po to, kai bus atlikta jų atitikties nuostatoms peržiūra;</w:t>
      </w:r>
    </w:p>
    <w:p w:rsidR="00CB5A7E" w:rsidRPr="006142ED" w:rsidRDefault="00CB5A7E">
      <w:pPr>
        <w:pStyle w:val="NormalHanging12a"/>
        <w:rPr>
          <w:i/>
        </w:rPr>
      </w:pPr>
      <w:r w:rsidRPr="006142ED">
        <w:rPr>
          <w:i/>
        </w:rPr>
        <w:t>Su apibrėžtimi susijusios pasekmės</w:t>
      </w:r>
    </w:p>
    <w:p w:rsidR="00CB5A7E" w:rsidRPr="006142ED" w:rsidRDefault="00CB5A7E">
      <w:pPr>
        <w:pStyle w:val="NormalHanging12a"/>
      </w:pPr>
      <w:r w:rsidRPr="006142ED">
        <w:t>D.</w:t>
      </w:r>
      <w:r w:rsidRPr="006142ED">
        <w:tab/>
        <w:t>kadangi tai, ar maisto produktas sudedamųjų dalių sąraše turi būti ženklinamas žodžiu „[nano]“, kaip nurodyta Reglamento (ES) Nr. 1169/2011 18 straipsnio 3 dalyje, bus nustatyta pagal Komisijos deleguotajame reglamente pateiktą termino „dirbtinai sukurta nanomedžiaga“ apibrėžtį;</w:t>
      </w:r>
    </w:p>
    <w:p w:rsidR="00CB5A7E" w:rsidRPr="006142ED" w:rsidRDefault="00CB5A7E">
      <w:pPr>
        <w:pStyle w:val="NormalHanging12a"/>
      </w:pPr>
      <w:r w:rsidRPr="006142ED">
        <w:t>E.</w:t>
      </w:r>
      <w:r w:rsidRPr="006142ED">
        <w:tab/>
        <w:t xml:space="preserve">kadangi Komisijos deleguotuoju reglamentu siekiama išspręsti su dabartine termino apibrėžtimi susijusias aiškinimo problemas, įtraukiant objektyvius elementus, pagal </w:t>
      </w:r>
      <w:r w:rsidRPr="006142ED">
        <w:lastRenderedPageBreak/>
        <w:t>kuriuos būtų galima nustatyti, ar nanomedžiaga yra „sukurta“, pavyzdžiui, formuluotę „sąmoningai pagaminta [medžiaga]“ pakeičiant žodžiu „dirbtinė“;</w:t>
      </w:r>
    </w:p>
    <w:p w:rsidR="00CB5A7E" w:rsidRPr="006142ED" w:rsidRDefault="00CB5A7E">
      <w:pPr>
        <w:pStyle w:val="NormalHanging12a"/>
      </w:pPr>
      <w:r w:rsidRPr="006142ED">
        <w:t>F.</w:t>
      </w:r>
      <w:r w:rsidRPr="006142ED">
        <w:tab/>
        <w:t>kadangi pagal Komisijos deleguotąjį reglamentą nanomedžiagomis maiste nelaikomos dalelės, kurios nėra kietosios medžiagos, pavyzdžiui, micelės, liposomos ar nanoskalės lašeliai emulsijose, ir sudedamosios dalys, kurių sudėtyje yra mažiau nei 50 proc. mažesnių nei 100 nm dalelių;</w:t>
      </w:r>
    </w:p>
    <w:p w:rsidR="00CB5A7E" w:rsidRPr="006142ED" w:rsidRDefault="00CB5A7E">
      <w:pPr>
        <w:pStyle w:val="NormalHanging12a"/>
      </w:pPr>
      <w:r w:rsidRPr="006142ED">
        <w:t>G.</w:t>
      </w:r>
      <w:r w:rsidRPr="006142ED">
        <w:tab/>
        <w:t>kadangi siūloma nanoskalės dalelių 50 proc. ar didesnė numatytoji slenkstinė vertė yra sutartinė ir užtikrina mažesnę apsaugą, palyginti su tuo, kaip kai kurios valstybės narės, pavyzdžiui, Prancūzija, aiškina Reglamente (ES) 2015/2283 pateiktą apibrėžtį; kadangi tame reglamente nenumatyta mažesnių nei 100 nm dalelių dydžio skirstinio slenkstinė vertė;</w:t>
      </w:r>
    </w:p>
    <w:p w:rsidR="00CB5A7E" w:rsidRPr="006142ED" w:rsidRDefault="00CB5A7E" w:rsidP="007F2CE2">
      <w:pPr>
        <w:spacing w:after="240"/>
        <w:ind w:left="567" w:hanging="567"/>
        <w:rPr>
          <w:szCs w:val="24"/>
        </w:rPr>
      </w:pPr>
      <w:r w:rsidRPr="006142ED">
        <w:t>H.</w:t>
      </w:r>
      <w:r w:rsidRPr="006142ED">
        <w:tab/>
        <w:t>kadangi pagal siūlomą apibrėžtį į Reglamento (ES) Nr. 1169/2011 taikymo sritį galimai nepatektų didelė dalis nanomedžiagų, kurių dėl to nebūtų privaloma ženklinti žodžiu „[nano]“; kadangi Komisija savo aiškinamojo memorandumo 3 punkte nurodo, kad „maisto produktuose naudojamų medžiagų, kuriose gali būti tam tikra nanodalelių dalis, yra nedaug ir dauguma tų medžiagų (jei ne visos) nėra naujos“ ir kad „galimas deleguotojo akto poveikis bus susijęs tik su labai nedaug medžiagų“;</w:t>
      </w:r>
    </w:p>
    <w:p w:rsidR="00CB5A7E" w:rsidRPr="006142ED" w:rsidRDefault="00CB5A7E" w:rsidP="007F2CE2">
      <w:pPr>
        <w:spacing w:after="240"/>
        <w:ind w:left="567" w:hanging="567"/>
        <w:rPr>
          <w:color w:val="0D0D0D"/>
          <w:szCs w:val="24"/>
        </w:rPr>
      </w:pPr>
      <w:r w:rsidRPr="006142ED">
        <w:t>I.</w:t>
      </w:r>
      <w:r w:rsidRPr="006142ED">
        <w:tab/>
        <w:t xml:space="preserve">kadangi šuo metu maiste būtent maisto priedai gali būti nanomedžiagų pavidalu; kadangi </w:t>
      </w:r>
      <w:r w:rsidRPr="006142ED">
        <w:rPr>
          <w:color w:val="0D0D0D"/>
        </w:rPr>
        <w:t>Prancūzijos nacionalinė sveikatos ir saugos agentūra</w:t>
      </w:r>
      <w:r w:rsidRPr="006142ED">
        <w:t xml:space="preserve"> (ANSES) pateikė 37 nanomedžiagų, naudojamų daugiau kaip 900 maisto produktų, sąrašą</w:t>
      </w:r>
      <w:r w:rsidRPr="006142ED">
        <w:rPr>
          <w:rStyle w:val="FootnoteReference"/>
          <w:szCs w:val="24"/>
        </w:rPr>
        <w:footnoteReference w:id="7"/>
      </w:r>
      <w:r w:rsidRPr="006142ED">
        <w:t>;</w:t>
      </w:r>
      <w:r w:rsidRPr="006142ED">
        <w:rPr>
          <w:color w:val="0D0D0D"/>
        </w:rPr>
        <w:t xml:space="preserve"> kadangi vartotojų organizacijų ir nevyriausybinių organizacijų („Agir pour l’Environnement“</w:t>
      </w:r>
      <w:r w:rsidRPr="006142ED">
        <w:rPr>
          <w:rStyle w:val="FootnoteReference"/>
          <w:color w:val="0D0D0D"/>
          <w:szCs w:val="24"/>
        </w:rPr>
        <w:footnoteReference w:id="8"/>
      </w:r>
      <w:r w:rsidRPr="006142ED">
        <w:rPr>
          <w:color w:val="0D0D0D"/>
        </w:rPr>
        <w:t>, „Que Choisir“</w:t>
      </w:r>
      <w:r w:rsidRPr="006142ED">
        <w:rPr>
          <w:rStyle w:val="FootnoteReference"/>
          <w:color w:val="0D0D0D"/>
          <w:szCs w:val="24"/>
        </w:rPr>
        <w:footnoteReference w:id="9"/>
      </w:r>
      <w:r w:rsidRPr="006142ED">
        <w:rPr>
          <w:color w:val="0D0D0D"/>
        </w:rPr>
        <w:t>, „60 Millions de consommateurs“</w:t>
      </w:r>
      <w:r w:rsidRPr="006142ED">
        <w:rPr>
          <w:rStyle w:val="FootnoteReference"/>
          <w:color w:val="0D0D0D"/>
          <w:szCs w:val="24"/>
        </w:rPr>
        <w:footnoteReference w:id="10"/>
      </w:r>
      <w:r w:rsidRPr="006142ED">
        <w:rPr>
          <w:color w:val="0D0D0D"/>
        </w:rPr>
        <w:t>, AVICENN</w:t>
      </w:r>
      <w:r w:rsidRPr="006142ED">
        <w:rPr>
          <w:rStyle w:val="FootnoteReference"/>
          <w:color w:val="0D0D0D"/>
          <w:szCs w:val="24"/>
        </w:rPr>
        <w:footnoteReference w:id="11"/>
      </w:r>
      <w:r w:rsidRPr="006142ED">
        <w:rPr>
          <w:color w:val="0D0D0D"/>
        </w:rPr>
        <w:t xml:space="preserve"> Prancūzijoje, „Foodwatch“</w:t>
      </w:r>
      <w:r w:rsidRPr="006142ED">
        <w:rPr>
          <w:rStyle w:val="FootnoteReference"/>
          <w:color w:val="0D0D0D"/>
          <w:szCs w:val="24"/>
        </w:rPr>
        <w:footnoteReference w:id="12"/>
      </w:r>
      <w:r w:rsidRPr="006142ED">
        <w:rPr>
          <w:color w:val="0D0D0D"/>
        </w:rPr>
        <w:t xml:space="preserve"> ir „Bund“</w:t>
      </w:r>
      <w:r w:rsidRPr="006142ED">
        <w:rPr>
          <w:rStyle w:val="FootnoteReference"/>
          <w:color w:val="0D0D0D"/>
          <w:szCs w:val="24"/>
        </w:rPr>
        <w:footnoteReference w:id="13"/>
      </w:r>
      <w:r w:rsidRPr="006142ED">
        <w:rPr>
          <w:color w:val="0D0D0D"/>
        </w:rPr>
        <w:t xml:space="preserve"> Vokietijoje, „Testachats“</w:t>
      </w:r>
      <w:r w:rsidRPr="006142ED">
        <w:rPr>
          <w:rStyle w:val="FootnoteReference"/>
          <w:color w:val="0D0D0D"/>
          <w:szCs w:val="24"/>
        </w:rPr>
        <w:footnoteReference w:id="14"/>
      </w:r>
      <w:r w:rsidRPr="006142ED">
        <w:rPr>
          <w:color w:val="0D0D0D"/>
        </w:rPr>
        <w:t xml:space="preserve"> Belgijoje, „Altroconsumo“</w:t>
      </w:r>
      <w:r w:rsidRPr="006142ED">
        <w:rPr>
          <w:rStyle w:val="FootnoteReference"/>
          <w:color w:val="0D0D0D"/>
          <w:szCs w:val="24"/>
        </w:rPr>
        <w:footnoteReference w:id="15"/>
      </w:r>
      <w:r w:rsidRPr="006142ED">
        <w:rPr>
          <w:color w:val="0D0D0D"/>
        </w:rPr>
        <w:t xml:space="preserve"> Italijoje ir OCU Ispanijoje</w:t>
      </w:r>
      <w:r w:rsidRPr="006142ED">
        <w:rPr>
          <w:rStyle w:val="FootnoteReference"/>
          <w:color w:val="0D0D0D"/>
          <w:szCs w:val="24"/>
        </w:rPr>
        <w:footnoteReference w:id="16"/>
      </w:r>
      <w:r w:rsidRPr="006142ED">
        <w:rPr>
          <w:color w:val="0D0D0D"/>
        </w:rPr>
        <w:t>) atlikti tyrimai ne kartą parodė, kad maisto priedų sudėtyje yra didelė dalis nanodalelių, pavyzdžiui, pieno produktuose, kepiniuose ir kai kuriuose pusryčių dribsniuose naudojamo maistinio dažiklio geležies oksido (E 172) sudėtyje gali būti 50 proc. slenkstinės vertės nesiekiančių nanodalelių</w:t>
      </w:r>
      <w:r w:rsidRPr="006142ED">
        <w:rPr>
          <w:color w:val="000000"/>
        </w:rPr>
        <w:t xml:space="preserve">; </w:t>
      </w:r>
      <w:r w:rsidRPr="006142ED">
        <w:rPr>
          <w:color w:val="0D0D0D"/>
        </w:rPr>
        <w:t>kadangi tai parodo, kad tam tikros maisto sudedamosios dalys nėra tinkamai ženklinamos žodžiu „[nano]“ daugiausia dėl to, kad nepakankamai užtikrinamas galiojančių teisės aktų vykdymas, ir daug rečiau dėl aiškinimo problemų;</w:t>
      </w:r>
    </w:p>
    <w:p w:rsidR="00CB5A7E" w:rsidRPr="006142ED" w:rsidRDefault="00CB5A7E" w:rsidP="007F2CE2">
      <w:pPr>
        <w:spacing w:after="240"/>
        <w:ind w:left="567" w:hanging="567"/>
        <w:rPr>
          <w:color w:val="0D0D0D"/>
          <w:szCs w:val="24"/>
        </w:rPr>
      </w:pPr>
      <w:r w:rsidRPr="006142ED">
        <w:rPr>
          <w:color w:val="0D0D0D"/>
        </w:rPr>
        <w:lastRenderedPageBreak/>
        <w:t>J.</w:t>
      </w:r>
      <w:r w:rsidRPr="006142ED">
        <w:rPr>
          <w:color w:val="0D0D0D"/>
        </w:rPr>
        <w:tab/>
        <w:t>kadangi 2020 m. Europos cheminių medžiagų agentūros užsakymu atlikto tyrimo duomenimis, piliečiai reikalauja, kad kasdieniai produktai, kurių sudėtyje yra nanomedžiagų, būtų tinkamiau ženklinami</w:t>
      </w:r>
      <w:r w:rsidRPr="006142ED">
        <w:rPr>
          <w:rStyle w:val="FootnoteReference"/>
          <w:color w:val="0D0D0D"/>
          <w:szCs w:val="24"/>
        </w:rPr>
        <w:footnoteReference w:id="17"/>
      </w:r>
      <w:r w:rsidRPr="006142ED">
        <w:rPr>
          <w:color w:val="0D0D0D"/>
        </w:rPr>
        <w:t>;</w:t>
      </w:r>
    </w:p>
    <w:p w:rsidR="00CB5A7E" w:rsidRPr="006142ED" w:rsidRDefault="00CB5A7E" w:rsidP="007F2CE2">
      <w:pPr>
        <w:spacing w:after="240"/>
        <w:rPr>
          <w:i/>
          <w:szCs w:val="24"/>
        </w:rPr>
      </w:pPr>
      <w:r w:rsidRPr="006142ED">
        <w:rPr>
          <w:i/>
        </w:rPr>
        <w:t>Prieštaravimai rekomendacijoms ir naujiems mokslo pasiekimams</w:t>
      </w:r>
    </w:p>
    <w:p w:rsidR="00CB5A7E" w:rsidRPr="006142ED" w:rsidRDefault="00CB5A7E" w:rsidP="007F2CE2">
      <w:pPr>
        <w:spacing w:after="240"/>
        <w:ind w:left="567" w:hanging="567"/>
        <w:rPr>
          <w:szCs w:val="24"/>
        </w:rPr>
      </w:pPr>
      <w:r w:rsidRPr="006142ED">
        <w:t>K.</w:t>
      </w:r>
      <w:r w:rsidRPr="006142ED">
        <w:tab/>
        <w:t>kadangi 2014 m. kovo 12 d. rezoliucijoje dėl 2013 m. gruodžio 12 d. Komisijos deleguotojo reglamento, kuriuo dėl termino „dirbtinai sukurtos nanomedžiagos“ apibrėžties iš dalies keičiamas Europos Parlamento ir Tarybos reglamentas (ES) Nr. 1169/2011 dėl informacijos apie maistą teikimo vartotojams</w:t>
      </w:r>
      <w:r w:rsidRPr="006142ED">
        <w:rPr>
          <w:rStyle w:val="FootnoteReference"/>
          <w:szCs w:val="24"/>
        </w:rPr>
        <w:footnoteReference w:id="18"/>
      </w:r>
      <w:r w:rsidRPr="006142ED">
        <w:t>, Europos Parlamentas išreiškė prieštaravimą labai panašiai apibrėžčiai su ta pačia 50 proc. slenkstine verte, į kurią neįtraukti jokie maisto priedai, manydamas, kad tokia apibrėžtimi „pažeidžiamas esminis direktyvos tikslas, kuriuo siekiama užtikrinti aukšto lygio vartotojų sveikatos ir interesų apsaugą galutiniams vartotojams suteikiant pagrindą rinktis produktus remiantis informacija“; kadangi Europos Parlamentas paragino Komisiją pateikti naują deleguotąjį aktą, kuriame būtų atsižvelgta į jo poziciją;</w:t>
      </w:r>
    </w:p>
    <w:p w:rsidR="00CB5A7E" w:rsidRPr="006142ED" w:rsidRDefault="00CB5A7E" w:rsidP="007F2CE2">
      <w:pPr>
        <w:spacing w:after="240"/>
        <w:ind w:left="567" w:hanging="567"/>
        <w:rPr>
          <w:szCs w:val="24"/>
        </w:rPr>
      </w:pPr>
      <w:r w:rsidRPr="006142ED">
        <w:t>L.</w:t>
      </w:r>
      <w:r w:rsidRPr="006142ED">
        <w:tab/>
        <w:t>kadangi 2020 m. spalio 8 d. rezoliucijoje dėl Komisijos reglamento, kuriuo dėl titano dioksido (E 171) specifikacijų iš dalies keičiamas Reglamento (ES) Nr. 231/2012, kuriuo nustatomos Europos Parlamento ir Tarybos reglamento (EB) Nr. 1333/2008 II ir III prieduose išvardytų maisto priedų specifikacijos, priedas, projekto</w:t>
      </w:r>
      <w:r w:rsidRPr="006142ED">
        <w:rPr>
          <w:rStyle w:val="FootnoteReference"/>
          <w:szCs w:val="24"/>
        </w:rPr>
        <w:footnoteReference w:id="19"/>
      </w:r>
      <w:r w:rsidRPr="006142ED">
        <w:t xml:space="preserve"> Europos Parlamentas išreiškė prieštaravimą Komisijos reglamento projektui, pagal kurį leista naudoti maistui skirto titano dioksido (E 171) partijas, kurių sudėtyje yra mažiau nei 50 proc. mažesnių nei 100 nm dalelių;</w:t>
      </w:r>
    </w:p>
    <w:p w:rsidR="00CB5A7E" w:rsidRPr="006142ED" w:rsidRDefault="00CB5A7E" w:rsidP="007F2CE2">
      <w:pPr>
        <w:spacing w:after="240"/>
        <w:ind w:left="567" w:hanging="567"/>
        <w:rPr>
          <w:szCs w:val="24"/>
        </w:rPr>
      </w:pPr>
      <w:r w:rsidRPr="006142ED">
        <w:t>M.</w:t>
      </w:r>
      <w:r w:rsidRPr="006142ED">
        <w:tab/>
        <w:t>kadangi Europos maisto saugos tarnyba rekomendavo</w:t>
      </w:r>
      <w:r w:rsidRPr="006142ED">
        <w:rPr>
          <w:rStyle w:val="FootnoteReference"/>
          <w:szCs w:val="24"/>
        </w:rPr>
        <w:footnoteReference w:id="20"/>
      </w:r>
      <w:r w:rsidRPr="006142ED">
        <w:t>, kad „atsižvelgiant į dabartinį neaiškumą dėl saugos, reikėtų apsvarstyti galimybę su maistu susijusioms reikmėms taikyti mažesnę nanodalelių skaičiaus slenkstinę vertę, pvz., 10 proc., o ne šiuo metu rekomendacijoje siūlomą (50 proc.)“;</w:t>
      </w:r>
    </w:p>
    <w:p w:rsidR="00CB5A7E" w:rsidRPr="006142ED" w:rsidRDefault="00CB5A7E" w:rsidP="007F2CE2">
      <w:pPr>
        <w:spacing w:after="240"/>
        <w:ind w:left="567" w:hanging="567"/>
        <w:rPr>
          <w:szCs w:val="24"/>
        </w:rPr>
      </w:pPr>
      <w:r w:rsidRPr="006142ED">
        <w:t>N.</w:t>
      </w:r>
      <w:r w:rsidRPr="006142ED">
        <w:tab/>
        <w:t>kadangi per Komisijos konsultacijas akademinės organizacijos, valdžios institucijos, nevyriausybinės vartotojų ir aplinkos apsaugos organizacijos bei profesinės sąjungos pasisakė už apibrėžtį, kuri apimtų visas dirbtines, šalutines ar gamtines medžiagas ir dalelių dydžio skirstinyje pagal skaičių nustatytąją ne mažesnę kaip 10 proc. slenkstinę vertę;</w:t>
      </w:r>
    </w:p>
    <w:p w:rsidR="00CB5A7E" w:rsidRPr="006142ED" w:rsidRDefault="00CB5A7E" w:rsidP="007F2CE2">
      <w:pPr>
        <w:spacing w:after="240"/>
        <w:ind w:left="567" w:hanging="567"/>
        <w:rPr>
          <w:color w:val="0D0D0D"/>
          <w:szCs w:val="24"/>
        </w:rPr>
      </w:pPr>
      <w:r w:rsidRPr="006142ED">
        <w:rPr>
          <w:color w:val="0D0D0D"/>
        </w:rPr>
        <w:t>O.</w:t>
      </w:r>
      <w:r w:rsidRPr="006142ED">
        <w:rPr>
          <w:color w:val="0D0D0D"/>
        </w:rPr>
        <w:tab/>
        <w:t>kadangi nuo 2014 m. pasiekti nauji mokslo laimėjimai ir įgytos žinios patvirtina, kad nanomedžiagos gali peržengti fiziologinius barjerus ir dažnu atveju kelia didesnį pavojų nei mikro- ar makromedžiagos</w:t>
      </w:r>
      <w:r w:rsidRPr="006142ED">
        <w:rPr>
          <w:rStyle w:val="FootnoteReference"/>
          <w:color w:val="0D0D0D"/>
          <w:szCs w:val="24"/>
        </w:rPr>
        <w:footnoteReference w:id="21"/>
      </w:r>
      <w:r w:rsidRPr="006142ED">
        <w:rPr>
          <w:color w:val="0D0D0D"/>
        </w:rPr>
        <w:t>;</w:t>
      </w:r>
    </w:p>
    <w:p w:rsidR="00CB5A7E" w:rsidRPr="006142ED" w:rsidRDefault="00CB5A7E" w:rsidP="007F2CE2">
      <w:pPr>
        <w:spacing w:after="240"/>
        <w:ind w:left="567" w:hanging="567"/>
        <w:rPr>
          <w:color w:val="0D0D0D"/>
          <w:szCs w:val="24"/>
        </w:rPr>
      </w:pPr>
      <w:r w:rsidRPr="006142ED">
        <w:rPr>
          <w:color w:val="0D0D0D"/>
        </w:rPr>
        <w:t>P.</w:t>
      </w:r>
      <w:r w:rsidRPr="006142ED">
        <w:rPr>
          <w:color w:val="0D0D0D"/>
        </w:rPr>
        <w:tab/>
        <w:t>kadangi ANSES 2023 m. balandžio mėn. paskelbė išsamią ataskaitą</w:t>
      </w:r>
      <w:r w:rsidRPr="006142ED">
        <w:rPr>
          <w:rStyle w:val="FootnoteReference"/>
          <w:color w:val="0D0D0D"/>
          <w:szCs w:val="24"/>
        </w:rPr>
        <w:footnoteReference w:id="22"/>
      </w:r>
      <w:r w:rsidRPr="006142ED">
        <w:rPr>
          <w:color w:val="0D0D0D"/>
        </w:rPr>
        <w:t xml:space="preserve">, kurioje teigiama, kad konkrečių sektorių taisyklėse, visų pirma maisto produktų srityje, numačius </w:t>
      </w:r>
      <w:r w:rsidRPr="006142ED">
        <w:rPr>
          <w:color w:val="0D0D0D"/>
        </w:rPr>
        <w:lastRenderedPageBreak/>
        <w:t>2022 m. birželio 10 d. Komisijos rekomendacijoje</w:t>
      </w:r>
      <w:r w:rsidRPr="006142ED">
        <w:rPr>
          <w:rStyle w:val="FootnoteReference"/>
          <w:color w:val="0D0D0D"/>
          <w:szCs w:val="24"/>
        </w:rPr>
        <w:footnoteReference w:id="23"/>
      </w:r>
      <w:r w:rsidRPr="006142ED">
        <w:rPr>
          <w:color w:val="0D0D0D"/>
        </w:rPr>
        <w:t xml:space="preserve">, kuria remiantis peržiūrėta Reglamente (ES) 2015/2283 nustatyta termino „dirbtinai sukurtos nanomedžiagos“ apibrėžtis, pateiktą nanomedžiagų apibrėžtį būtų trukdoma vykdyti rizikos sveikatai ir aplinkai prevenciją; kadangi ANSES pabrėžė, kad horizontaliojoje termino </w:t>
      </w:r>
      <w:r w:rsidRPr="006142ED">
        <w:t>„[nano]“</w:t>
      </w:r>
      <w:r w:rsidRPr="006142ED">
        <w:rPr>
          <w:color w:val="0D0D0D"/>
        </w:rPr>
        <w:t xml:space="preserve"> apibrėžtyje nurodyta 50 proc. nanodalelių skaičiaus slenkstinė vertė „nėra pagrįsta patikimais moksliniais argumentais“, ir rekomendavo nustatyti žemesnę slenkstinę vertę;</w:t>
      </w:r>
    </w:p>
    <w:p w:rsidR="00CB5A7E" w:rsidRPr="006142ED" w:rsidRDefault="00CB5A7E" w:rsidP="007F2CE2">
      <w:pPr>
        <w:spacing w:after="240"/>
        <w:ind w:left="567" w:hanging="567"/>
        <w:rPr>
          <w:color w:val="0D0D0D"/>
          <w:szCs w:val="24"/>
        </w:rPr>
      </w:pPr>
      <w:r w:rsidRPr="006142ED">
        <w:rPr>
          <w:color w:val="0D0D0D"/>
        </w:rPr>
        <w:t>Q.</w:t>
      </w:r>
      <w:r w:rsidRPr="006142ED">
        <w:rPr>
          <w:color w:val="0D0D0D"/>
        </w:rPr>
        <w:tab/>
        <w:t>kadangi aptikti nanodaleles maisto sudedamosiose dalyse, remiantis 10 proc. dalelių dydžio skirstinyje pagal skaičių slenkstine verte yra įmanoma, nes tokią ribinę vertę šiuo metu taiko Prancūzijos vartotojų reikalų, konkurencijos ir sukčiavimo kontrolės generalinis direktoratas, vykdydamas savo kontrolės veiklą</w:t>
      </w:r>
      <w:r w:rsidRPr="006142ED">
        <w:rPr>
          <w:rStyle w:val="FootnoteReference"/>
          <w:color w:val="0D0D0D"/>
          <w:szCs w:val="24"/>
        </w:rPr>
        <w:footnoteReference w:id="24"/>
      </w:r>
      <w:r w:rsidRPr="006142ED">
        <w:rPr>
          <w:color w:val="0D0D0D"/>
        </w:rPr>
        <w:t>;</w:t>
      </w:r>
    </w:p>
    <w:p w:rsidR="00CB5A7E" w:rsidRPr="006142ED" w:rsidRDefault="00CB5A7E" w:rsidP="007F2CE2">
      <w:pPr>
        <w:spacing w:after="240"/>
        <w:rPr>
          <w:i/>
          <w:color w:val="0D0D0D"/>
          <w:szCs w:val="24"/>
        </w:rPr>
      </w:pPr>
      <w:r w:rsidRPr="006142ED">
        <w:rPr>
          <w:i/>
          <w:color w:val="0D0D0D"/>
        </w:rPr>
        <w:t>Atsargumo principas</w:t>
      </w:r>
    </w:p>
    <w:p w:rsidR="00CB5A7E" w:rsidRPr="006142ED" w:rsidRDefault="00CB5A7E" w:rsidP="007F2CE2">
      <w:pPr>
        <w:spacing w:after="240"/>
        <w:ind w:left="567" w:hanging="567"/>
        <w:rPr>
          <w:color w:val="0D0D0D"/>
          <w:szCs w:val="24"/>
        </w:rPr>
      </w:pPr>
      <w:r w:rsidRPr="006142ED">
        <w:rPr>
          <w:color w:val="0D0D0D"/>
        </w:rPr>
        <w:t>R.</w:t>
      </w:r>
      <w:r w:rsidRPr="006142ED">
        <w:rPr>
          <w:color w:val="0D0D0D"/>
        </w:rPr>
        <w:tab/>
        <w:t>kadangi SESV 191 straipsnio 2 dalyje atsargumo principas įtvirtintas kaip vienas iš pagrindinių Sąjungos principų;</w:t>
      </w:r>
    </w:p>
    <w:p w:rsidR="00CB5A7E" w:rsidRPr="006142ED" w:rsidRDefault="00CB5A7E" w:rsidP="007F2CE2">
      <w:pPr>
        <w:spacing w:after="240"/>
        <w:ind w:left="567" w:hanging="567"/>
        <w:rPr>
          <w:szCs w:val="24"/>
        </w:rPr>
      </w:pPr>
      <w:r w:rsidRPr="006142ED">
        <w:t>S.</w:t>
      </w:r>
      <w:r w:rsidRPr="006142ED">
        <w:tab/>
        <w:t>kadangi SESV 168 straipsnio 1 dalyje teigiama, kad „žmonių sveikatos aukšto lygio apsauga užtikrinama nustatant ir įgyvendinant visas Sąjungos politikos ir veiklos kryptis“;</w:t>
      </w:r>
    </w:p>
    <w:p w:rsidR="00CB5A7E" w:rsidRPr="006142ED" w:rsidRDefault="00CB5A7E" w:rsidP="007F2CE2">
      <w:pPr>
        <w:pStyle w:val="NormalHanging12a"/>
        <w:rPr>
          <w:szCs w:val="24"/>
        </w:rPr>
      </w:pPr>
      <w:r w:rsidRPr="006142ED">
        <w:t>1.</w:t>
      </w:r>
      <w:r w:rsidRPr="006142ED">
        <w:tab/>
        <w:t>pareiškia prieštaravimą dėl Komisijos deleguotojo reglamento;</w:t>
      </w:r>
    </w:p>
    <w:p w:rsidR="00CB5A7E" w:rsidRPr="006142ED" w:rsidRDefault="00CB5A7E" w:rsidP="007F2CE2">
      <w:pPr>
        <w:pStyle w:val="NormalHanging12a"/>
        <w:rPr>
          <w:szCs w:val="24"/>
        </w:rPr>
      </w:pPr>
      <w:r w:rsidRPr="006142ED">
        <w:t>2.</w:t>
      </w:r>
      <w:r w:rsidRPr="006142ED">
        <w:tab/>
        <w:t xml:space="preserve">paveda Pirmininkei perduoti šią rezoliuciją Komisijai ir pranešti jai, kad deleguotasis reglamentas negali įsigalioti; </w:t>
      </w:r>
    </w:p>
    <w:p w:rsidR="00CB5A7E" w:rsidRPr="006142ED" w:rsidRDefault="00CB5A7E" w:rsidP="007F2CE2">
      <w:pPr>
        <w:spacing w:after="240"/>
        <w:ind w:left="567" w:hanging="567"/>
        <w:rPr>
          <w:szCs w:val="24"/>
        </w:rPr>
      </w:pPr>
      <w:r w:rsidRPr="006142ED">
        <w:t>3.</w:t>
      </w:r>
      <w:r w:rsidRPr="006142ED">
        <w:tab/>
        <w:t>mano, kad Komisijos deleguotasis reglamentas neatitinka Reglamento (ES) 2015/2283 tikslo ir turinio, ir juo viršijami to reglamento 31 straipsniu Komisijai suteikti deleguotieji įgaliojimai;</w:t>
      </w:r>
    </w:p>
    <w:p w:rsidR="00CB5A7E" w:rsidRPr="006142ED" w:rsidRDefault="00CB5A7E" w:rsidP="007F2CE2">
      <w:pPr>
        <w:spacing w:after="240"/>
        <w:ind w:left="567" w:hanging="567"/>
        <w:rPr>
          <w:szCs w:val="24"/>
        </w:rPr>
      </w:pPr>
      <w:r w:rsidRPr="006142ED">
        <w:t>4.</w:t>
      </w:r>
      <w:r w:rsidRPr="006142ED">
        <w:tab/>
        <w:t>apgailestauja, kad siūloma 50 proc. slenkstinė vertė nustatyta neatsižvelgiant į technikos ir mokslo pažangą;</w:t>
      </w:r>
    </w:p>
    <w:p w:rsidR="00CB5A7E" w:rsidRPr="006142ED" w:rsidRDefault="00CB5A7E" w:rsidP="007F2CE2">
      <w:pPr>
        <w:pStyle w:val="NormalHanging12a"/>
        <w:rPr>
          <w:szCs w:val="24"/>
        </w:rPr>
      </w:pPr>
      <w:r w:rsidRPr="006142ED">
        <w:t>5.</w:t>
      </w:r>
      <w:r w:rsidRPr="006142ED">
        <w:tab/>
        <w:t>ragina Komisiją taikyti atsargumo principą, užtikrinti vartotojų saugą ir informavimą bei atsižvelgti į koncepciją „Viena sveikata“;</w:t>
      </w:r>
    </w:p>
    <w:p w:rsidR="00CB5A7E" w:rsidRPr="006142ED" w:rsidRDefault="00CB5A7E" w:rsidP="007F2CE2">
      <w:pPr>
        <w:pStyle w:val="NormalHanging12a"/>
        <w:rPr>
          <w:szCs w:val="24"/>
        </w:rPr>
      </w:pPr>
      <w:r w:rsidRPr="006142ED">
        <w:t>6.</w:t>
      </w:r>
      <w:r w:rsidRPr="006142ED">
        <w:tab/>
        <w:t>paveda Pirmininkei perduoti šią rezoliuciją Tarybai ir valstybių narių vyriausybėms ir parlamentams.</w:t>
      </w:r>
    </w:p>
    <w:p w:rsidR="00E365E1" w:rsidRPr="006142ED" w:rsidRDefault="00E365E1" w:rsidP="00AD0B59">
      <w:bookmarkStart w:id="8" w:name="TextBodyEnd"/>
      <w:bookmarkEnd w:id="8"/>
    </w:p>
    <w:sectPr w:rsidR="00E365E1" w:rsidRPr="006142ED" w:rsidSect="006142ED">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AD0B59" w:rsidRPr="006142ED" w:rsidRDefault="00AD0B59">
      <w:r w:rsidRPr="006142ED">
        <w:separator/>
      </w:r>
    </w:p>
  </w:endnote>
  <w:endnote w:type="continuationSeparator" w:id="0">
    <w:p w:rsidR="00AD0B59" w:rsidRPr="006142ED" w:rsidRDefault="00AD0B59">
      <w:r w:rsidRPr="006142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2ED"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2ED"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2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AD0B59" w:rsidRPr="006142ED" w:rsidRDefault="00AD0B59">
      <w:r w:rsidRPr="006142ED">
        <w:separator/>
      </w:r>
    </w:p>
  </w:footnote>
  <w:footnote w:type="continuationSeparator" w:id="0">
    <w:p w:rsidR="00AD0B59" w:rsidRPr="006142ED" w:rsidRDefault="00AD0B59">
      <w:r w:rsidRPr="006142ED">
        <w:continuationSeparator/>
      </w:r>
    </w:p>
  </w:footnote>
  <w:footnote w:id="1">
    <w:p w:rsidR="00CB5A7E" w:rsidRPr="006142ED" w:rsidRDefault="00CB5A7E" w:rsidP="006142ED">
      <w:pPr>
        <w:pStyle w:val="FootnoteText"/>
        <w:ind w:left="567" w:hanging="567"/>
        <w:rPr>
          <w:sz w:val="24"/>
          <w:lang w:val="lt-LT"/>
        </w:rPr>
      </w:pPr>
      <w:r w:rsidRPr="006142ED">
        <w:rPr>
          <w:rStyle w:val="FootnoteReference"/>
          <w:sz w:val="24"/>
          <w:lang w:val="lt-LT"/>
        </w:rPr>
        <w:footnoteRef/>
      </w:r>
      <w:r w:rsidR="006142ED" w:rsidRPr="006142ED">
        <w:rPr>
          <w:sz w:val="24"/>
          <w:lang w:val="lt-LT"/>
        </w:rPr>
        <w:t xml:space="preserve"> </w:t>
      </w:r>
      <w:r w:rsidR="006142ED" w:rsidRPr="006142ED">
        <w:rPr>
          <w:sz w:val="24"/>
          <w:lang w:val="lt-LT"/>
        </w:rPr>
        <w:tab/>
      </w:r>
      <w:r w:rsidRPr="006142ED">
        <w:rPr>
          <w:sz w:val="24"/>
          <w:lang w:val="lt-LT"/>
        </w:rPr>
        <w:t xml:space="preserve">OL L 327, 2015 12 11, p. 1. </w:t>
      </w:r>
    </w:p>
  </w:footnote>
  <w:footnote w:id="2">
    <w:p w:rsidR="00CB5A7E" w:rsidRPr="006142ED" w:rsidRDefault="00CB5A7E" w:rsidP="006142ED">
      <w:pPr>
        <w:pStyle w:val="FootnoteText"/>
        <w:ind w:left="567" w:hanging="567"/>
        <w:rPr>
          <w:sz w:val="24"/>
          <w:lang w:val="lt-LT"/>
        </w:rPr>
      </w:pPr>
      <w:r w:rsidRPr="006142ED">
        <w:rPr>
          <w:rStyle w:val="FootnoteReference"/>
          <w:sz w:val="24"/>
          <w:lang w:val="lt-LT"/>
        </w:rPr>
        <w:footnoteRef/>
      </w:r>
      <w:r w:rsidR="006142ED" w:rsidRPr="006142ED">
        <w:rPr>
          <w:sz w:val="24"/>
          <w:lang w:val="lt-LT"/>
        </w:rPr>
        <w:t xml:space="preserve"> </w:t>
      </w:r>
      <w:r w:rsidR="006142ED" w:rsidRPr="006142ED">
        <w:rPr>
          <w:sz w:val="24"/>
          <w:lang w:val="lt-LT"/>
        </w:rPr>
        <w:tab/>
      </w:r>
      <w:r w:rsidRPr="006142ED">
        <w:rPr>
          <w:sz w:val="24"/>
          <w:lang w:val="lt-LT"/>
        </w:rPr>
        <w:t>OL L 304, 2011 11 22, p. 18.</w:t>
      </w:r>
    </w:p>
  </w:footnote>
  <w:footnote w:id="3">
    <w:p w:rsidR="00CB5A7E" w:rsidRPr="006142ED" w:rsidRDefault="00CB5A7E" w:rsidP="006142ED">
      <w:pPr>
        <w:pStyle w:val="FootnoteText"/>
        <w:ind w:left="567" w:hanging="567"/>
        <w:rPr>
          <w:sz w:val="24"/>
          <w:lang w:val="lt-LT"/>
        </w:rPr>
      </w:pPr>
      <w:r w:rsidRPr="006142ED">
        <w:rPr>
          <w:rStyle w:val="FootnoteReference"/>
          <w:sz w:val="24"/>
          <w:lang w:val="lt-LT"/>
        </w:rPr>
        <w:footnoteRef/>
      </w:r>
      <w:r w:rsidR="006142ED" w:rsidRPr="006142ED">
        <w:rPr>
          <w:sz w:val="24"/>
          <w:lang w:val="lt-LT"/>
        </w:rPr>
        <w:t xml:space="preserve"> </w:t>
      </w:r>
      <w:r w:rsidR="006142ED" w:rsidRPr="006142ED">
        <w:rPr>
          <w:sz w:val="24"/>
          <w:lang w:val="lt-LT"/>
        </w:rPr>
        <w:tab/>
      </w:r>
      <w:r w:rsidRPr="006142ED">
        <w:rPr>
          <w:sz w:val="24"/>
          <w:lang w:val="lt-LT"/>
        </w:rPr>
        <w:t>OL L 354, 2008 12 31, p. 16.</w:t>
      </w:r>
    </w:p>
  </w:footnote>
  <w:footnote w:id="4">
    <w:p w:rsidR="00CB5A7E" w:rsidRPr="006142ED" w:rsidRDefault="00CB5A7E" w:rsidP="006142ED">
      <w:pPr>
        <w:pStyle w:val="FootnoteText"/>
        <w:ind w:left="567" w:hanging="567"/>
        <w:rPr>
          <w:sz w:val="24"/>
          <w:lang w:val="lt-LT"/>
        </w:rPr>
      </w:pPr>
      <w:r w:rsidRPr="006142ED">
        <w:rPr>
          <w:rStyle w:val="FootnoteReference"/>
          <w:sz w:val="24"/>
          <w:lang w:val="lt-LT"/>
        </w:rPr>
        <w:footnoteRef/>
      </w:r>
      <w:r w:rsidR="006142ED" w:rsidRPr="006142ED">
        <w:rPr>
          <w:sz w:val="24"/>
          <w:lang w:val="lt-LT"/>
        </w:rPr>
        <w:t xml:space="preserve"> </w:t>
      </w:r>
      <w:r w:rsidR="006142ED" w:rsidRPr="006142ED">
        <w:rPr>
          <w:sz w:val="24"/>
          <w:lang w:val="lt-LT"/>
        </w:rPr>
        <w:tab/>
      </w:r>
      <w:r w:rsidRPr="006142ED">
        <w:rPr>
          <w:sz w:val="24"/>
          <w:lang w:val="lt-LT"/>
        </w:rPr>
        <w:t>OL L 295, 2011 11 12, p. 1.</w:t>
      </w:r>
    </w:p>
  </w:footnote>
  <w:footnote w:id="5">
    <w:p w:rsidR="00CB5A7E" w:rsidRPr="006142ED" w:rsidRDefault="00CB5A7E" w:rsidP="006142ED">
      <w:pPr>
        <w:pStyle w:val="FootnoteText"/>
        <w:ind w:left="567" w:hanging="567"/>
        <w:rPr>
          <w:sz w:val="24"/>
          <w:lang w:val="lt-LT"/>
        </w:rPr>
      </w:pPr>
      <w:r w:rsidRPr="006142ED">
        <w:rPr>
          <w:rStyle w:val="FootnoteReference"/>
          <w:sz w:val="24"/>
          <w:lang w:val="lt-LT"/>
        </w:rPr>
        <w:footnoteRef/>
      </w:r>
      <w:r w:rsidR="006142ED" w:rsidRPr="006142ED">
        <w:rPr>
          <w:sz w:val="24"/>
          <w:lang w:val="lt-LT"/>
        </w:rPr>
        <w:t xml:space="preserve"> </w:t>
      </w:r>
      <w:r w:rsidR="006142ED" w:rsidRPr="006142ED">
        <w:rPr>
          <w:sz w:val="24"/>
          <w:lang w:val="lt-LT"/>
        </w:rPr>
        <w:tab/>
      </w:r>
      <w:r w:rsidRPr="006142ED">
        <w:rPr>
          <w:sz w:val="24"/>
          <w:lang w:val="lt-LT"/>
        </w:rPr>
        <w:t>OL L 295, 2011 11 12, p. 178.</w:t>
      </w:r>
    </w:p>
  </w:footnote>
  <w:footnote w:id="6">
    <w:p w:rsidR="00CB5A7E" w:rsidRPr="006142ED" w:rsidRDefault="00CB5A7E" w:rsidP="006142ED">
      <w:pPr>
        <w:pStyle w:val="FootnoteText"/>
        <w:ind w:left="567" w:hanging="567"/>
        <w:rPr>
          <w:sz w:val="24"/>
          <w:lang w:val="lt-LT"/>
        </w:rPr>
      </w:pPr>
      <w:r w:rsidRPr="006142ED">
        <w:rPr>
          <w:rStyle w:val="FootnoteReference"/>
          <w:sz w:val="24"/>
          <w:lang w:val="lt-LT"/>
        </w:rPr>
        <w:footnoteRef/>
      </w:r>
      <w:r w:rsidR="006142ED" w:rsidRPr="006142ED">
        <w:rPr>
          <w:sz w:val="24"/>
          <w:lang w:val="lt-LT"/>
        </w:rPr>
        <w:t xml:space="preserve"> </w:t>
      </w:r>
      <w:r w:rsidR="006142ED" w:rsidRPr="006142ED">
        <w:rPr>
          <w:sz w:val="24"/>
          <w:lang w:val="lt-LT"/>
        </w:rPr>
        <w:tab/>
      </w:r>
      <w:r w:rsidRPr="006142ED">
        <w:rPr>
          <w:sz w:val="24"/>
          <w:lang w:val="lt-LT"/>
        </w:rPr>
        <w:t>OL L 80, 2010 3 26, p. 19.</w:t>
      </w:r>
    </w:p>
  </w:footnote>
  <w:footnote w:id="7">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1" w:history="1">
        <w:r w:rsidRPr="006142ED">
          <w:rPr>
            <w:rStyle w:val="Hyperlink"/>
            <w:color w:val="1155CC"/>
            <w:sz w:val="24"/>
            <w:lang w:val="lt-LT"/>
          </w:rPr>
          <w:t>https://www.anses.fr/fr/nanomateriaux-alimentation-premiere-application-methodologie</w:t>
        </w:r>
      </w:hyperlink>
      <w:r w:rsidRPr="006142ED">
        <w:rPr>
          <w:color w:val="1155CC"/>
          <w:sz w:val="24"/>
          <w:u w:val="single"/>
          <w:lang w:val="lt-LT"/>
        </w:rPr>
        <w:t xml:space="preserve"> </w:t>
      </w:r>
    </w:p>
  </w:footnote>
  <w:footnote w:id="8">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2" w:history="1">
        <w:r w:rsidRPr="006142ED">
          <w:rPr>
            <w:rStyle w:val="Hyperlink"/>
            <w:sz w:val="24"/>
            <w:lang w:val="lt-LT"/>
          </w:rPr>
          <w:t>https://www.agirpourlenvironnement.org/communiques-presse/enquete-exclusive-des-analyses-revelent-la-presence-de-nanoparticules-dans-3980/</w:t>
        </w:r>
      </w:hyperlink>
    </w:p>
  </w:footnote>
  <w:footnote w:id="9">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3" w:history="1">
        <w:r w:rsidRPr="006142ED">
          <w:rPr>
            <w:rStyle w:val="Hyperlink"/>
            <w:color w:val="1155CC"/>
            <w:sz w:val="24"/>
            <w:lang w:val="lt-LT"/>
          </w:rPr>
          <w:t>https://www.quechoisir.org/enquete-nanoparticules-taille-mini-doutes-maxi-n50748/</w:t>
        </w:r>
      </w:hyperlink>
      <w:r w:rsidRPr="006142ED">
        <w:rPr>
          <w:color w:val="1155CC"/>
          <w:sz w:val="24"/>
          <w:u w:val="single"/>
          <w:lang w:val="lt-LT"/>
        </w:rPr>
        <w:t xml:space="preserve"> </w:t>
      </w:r>
    </w:p>
  </w:footnote>
  <w:footnote w:id="10">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4" w:history="1">
        <w:r w:rsidRPr="006142ED">
          <w:rPr>
            <w:rStyle w:val="Hyperlink"/>
            <w:color w:val="1155CC"/>
            <w:sz w:val="24"/>
            <w:lang w:val="lt-LT"/>
          </w:rPr>
          <w:t>https://bibliotheque.60millions-mag.com/detail/publication/detail-top-right/561?issue_id=113421&amp;switch_toc=archive</w:t>
        </w:r>
      </w:hyperlink>
    </w:p>
  </w:footnote>
  <w:footnote w:id="11">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5" w:history="1">
        <w:r w:rsidRPr="006142ED">
          <w:rPr>
            <w:rStyle w:val="Hyperlink"/>
            <w:color w:val="1155CC"/>
            <w:sz w:val="24"/>
            <w:lang w:val="lt-LT"/>
          </w:rPr>
          <w:t>https://veillenanos.fr/wp-content/uploads/2023/01/Rapport-test-EN-20230113.pdf</w:t>
        </w:r>
      </w:hyperlink>
    </w:p>
  </w:footnote>
  <w:footnote w:id="12">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6" w:history="1">
        <w:r w:rsidRPr="006142ED">
          <w:rPr>
            <w:rStyle w:val="Hyperlink"/>
            <w:color w:val="1155CC"/>
            <w:sz w:val="24"/>
            <w:lang w:val="lt-LT"/>
          </w:rPr>
          <w:t>https://www.foodwatch.org/de/potenziell-krebserregender-farbstoff-in-backzutaten-von-dr-oetker</w:t>
        </w:r>
      </w:hyperlink>
    </w:p>
  </w:footnote>
  <w:footnote w:id="13">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7" w:history="1">
        <w:r w:rsidRPr="006142ED">
          <w:rPr>
            <w:rStyle w:val="Hyperlink"/>
            <w:color w:val="1155CC"/>
            <w:sz w:val="24"/>
            <w:lang w:val="lt-LT"/>
          </w:rPr>
          <w:t>https://www.bund.net/fileadmin/user_upload_bund/publikationen/chemie/‌nanotechnologie_in_lebensmitteln_hintergrund.pdf</w:t>
        </w:r>
      </w:hyperlink>
    </w:p>
  </w:footnote>
  <w:footnote w:id="14">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8" w:history="1">
        <w:r w:rsidRPr="006142ED">
          <w:rPr>
            <w:rStyle w:val="Hyperlink"/>
            <w:color w:val="1155CC"/>
            <w:sz w:val="24"/>
            <w:lang w:val="lt-LT"/>
          </w:rPr>
          <w:t>https://www.test-achats.be/sante/sante-au-quotidien/produits-testes/news/nanoparticules-affichage</w:t>
        </w:r>
      </w:hyperlink>
      <w:r w:rsidRPr="006142ED">
        <w:rPr>
          <w:color w:val="1155CC"/>
          <w:sz w:val="24"/>
          <w:u w:val="single"/>
          <w:lang w:val="lt-LT"/>
        </w:rPr>
        <w:t xml:space="preserve"> </w:t>
      </w:r>
    </w:p>
  </w:footnote>
  <w:footnote w:id="15">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9" w:history="1">
        <w:r w:rsidRPr="006142ED">
          <w:rPr>
            <w:rStyle w:val="Hyperlink"/>
            <w:color w:val="1155CC"/>
            <w:sz w:val="24"/>
            <w:lang w:val="lt-LT"/>
          </w:rPr>
          <w:t>https://www.altroconsumo.it/alimentazione/sicurezza-alimentare/news/nanoparticelle</w:t>
        </w:r>
      </w:hyperlink>
    </w:p>
  </w:footnote>
  <w:footnote w:id="16">
    <w:p w:rsidR="00CB5A7E" w:rsidRPr="006142ED" w:rsidRDefault="00CB5A7E" w:rsidP="006142ED">
      <w:pPr>
        <w:ind w:left="567" w:hanging="567"/>
        <w:rPr>
          <w:color w:val="1155CC"/>
          <w:szCs w:val="24"/>
          <w:u w:val="single"/>
        </w:rPr>
      </w:pPr>
      <w:r w:rsidRPr="006142ED">
        <w:rPr>
          <w:rStyle w:val="FootnoteReference"/>
          <w:szCs w:val="24"/>
        </w:rPr>
        <w:footnoteRef/>
      </w:r>
      <w:r w:rsidR="006142ED" w:rsidRPr="006142ED">
        <w:t xml:space="preserve"> </w:t>
      </w:r>
      <w:r w:rsidR="006142ED" w:rsidRPr="006142ED">
        <w:tab/>
      </w:r>
      <w:hyperlink r:id="rId10" w:history="1">
        <w:r w:rsidRPr="006142ED">
          <w:rPr>
            <w:rStyle w:val="Hyperlink"/>
          </w:rPr>
          <w:t>https://www.ocu.org/toda-la-informacion?type=magazine-articles&amp;magazine=ocu%20compra%20maestra&amp;year=2019</w:t>
        </w:r>
      </w:hyperlink>
    </w:p>
  </w:footnote>
  <w:footnote w:id="17">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11" w:history="1">
        <w:r w:rsidRPr="006142ED">
          <w:rPr>
            <w:rStyle w:val="Hyperlink"/>
            <w:sz w:val="24"/>
            <w:lang w:val="lt-LT"/>
          </w:rPr>
          <w:t>https://echa.europa.eu/-/what-do-eu-citizens-think-about-nanomaterials-</w:t>
        </w:r>
      </w:hyperlink>
      <w:r w:rsidRPr="006142ED">
        <w:rPr>
          <w:sz w:val="24"/>
          <w:lang w:val="lt-LT"/>
        </w:rPr>
        <w:t xml:space="preserve"> </w:t>
      </w:r>
    </w:p>
  </w:footnote>
  <w:footnote w:id="18">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r w:rsidRPr="006142ED">
        <w:rPr>
          <w:sz w:val="24"/>
          <w:lang w:val="lt-LT"/>
        </w:rPr>
        <w:t>OL C 378, 2017 11 9, p. 92.</w:t>
      </w:r>
    </w:p>
  </w:footnote>
  <w:footnote w:id="19">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r w:rsidRPr="006142ED">
        <w:rPr>
          <w:sz w:val="24"/>
          <w:lang w:val="lt-LT"/>
        </w:rPr>
        <w:t>OL C 395, 2021 3 29, p. 28.</w:t>
      </w:r>
    </w:p>
  </w:footnote>
  <w:footnote w:id="20">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12" w:history="1">
        <w:r w:rsidRPr="006142ED">
          <w:rPr>
            <w:rStyle w:val="Hyperlink"/>
            <w:sz w:val="24"/>
            <w:lang w:val="lt-LT"/>
          </w:rPr>
          <w:t>https://www.efsa.europa.eu/sites/default/files/assets/corporatenanotechnology121003.pdf</w:t>
        </w:r>
      </w:hyperlink>
    </w:p>
  </w:footnote>
  <w:footnote w:id="21">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hyperlink r:id="rId13" w:history="1">
        <w:r w:rsidRPr="006142ED">
          <w:rPr>
            <w:rStyle w:val="Hyperlink"/>
            <w:color w:val="1155CC"/>
            <w:sz w:val="24"/>
            <w:lang w:val="lt-LT"/>
          </w:rPr>
          <w:t>https://veillenanos.fr/en/dossier/nanos-and-health/nanos-health-risks/</w:t>
        </w:r>
      </w:hyperlink>
    </w:p>
  </w:footnote>
  <w:footnote w:id="22">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r w:rsidRPr="006142ED">
        <w:rPr>
          <w:sz w:val="24"/>
          <w:lang w:val="lt-LT"/>
        </w:rPr>
        <w:t xml:space="preserve">ANSES nuomonė (2023): </w:t>
      </w:r>
      <w:r w:rsidRPr="006142ED">
        <w:rPr>
          <w:i/>
          <w:sz w:val="24"/>
          <w:lang w:val="lt-LT"/>
        </w:rPr>
        <w:t>Definition of nanomaterials:</w:t>
      </w:r>
      <w:r w:rsidRPr="006142ED">
        <w:rPr>
          <w:sz w:val="24"/>
          <w:lang w:val="lt-LT"/>
        </w:rPr>
        <w:t xml:space="preserve"> </w:t>
      </w:r>
      <w:proofErr w:type="spellStart"/>
      <w:r w:rsidRPr="006142ED">
        <w:rPr>
          <w:i/>
          <w:sz w:val="24"/>
          <w:lang w:val="lt-LT"/>
        </w:rPr>
        <w:t>analysis</w:t>
      </w:r>
      <w:proofErr w:type="spellEnd"/>
      <w:r w:rsidRPr="006142ED">
        <w:rPr>
          <w:i/>
          <w:sz w:val="24"/>
          <w:lang w:val="lt-LT"/>
        </w:rPr>
        <w:t xml:space="preserve">, </w:t>
      </w:r>
      <w:proofErr w:type="spellStart"/>
      <w:r w:rsidRPr="006142ED">
        <w:rPr>
          <w:i/>
          <w:sz w:val="24"/>
          <w:lang w:val="lt-LT"/>
        </w:rPr>
        <w:t>challenges</w:t>
      </w:r>
      <w:proofErr w:type="spellEnd"/>
      <w:r w:rsidRPr="006142ED">
        <w:rPr>
          <w:i/>
          <w:sz w:val="24"/>
          <w:lang w:val="lt-LT"/>
        </w:rPr>
        <w:t xml:space="preserve"> and </w:t>
      </w:r>
      <w:proofErr w:type="spellStart"/>
      <w:r w:rsidRPr="006142ED">
        <w:rPr>
          <w:i/>
          <w:sz w:val="24"/>
          <w:lang w:val="lt-LT"/>
        </w:rPr>
        <w:t>controversies</w:t>
      </w:r>
      <w:proofErr w:type="spellEnd"/>
      <w:r w:rsidRPr="006142ED">
        <w:rPr>
          <w:sz w:val="24"/>
          <w:lang w:val="lt-LT"/>
        </w:rPr>
        <w:t>,</w:t>
      </w:r>
      <w:hyperlink r:id="rId14" w:history="1">
        <w:r w:rsidRPr="006142ED">
          <w:rPr>
            <w:rStyle w:val="Hyperlink"/>
            <w:sz w:val="24"/>
            <w:lang w:val="lt-LT"/>
          </w:rPr>
          <w:t xml:space="preserve"> </w:t>
        </w:r>
      </w:hyperlink>
      <w:hyperlink r:id="rId15" w:history="1">
        <w:r w:rsidRPr="006142ED">
          <w:rPr>
            <w:rStyle w:val="Hyperlink"/>
            <w:color w:val="1155CC"/>
            <w:sz w:val="24"/>
            <w:lang w:val="lt-LT"/>
          </w:rPr>
          <w:t>https://www.anses.fr/en/system/files/AP2018SA0168RaEN.pdf</w:t>
        </w:r>
      </w:hyperlink>
      <w:r w:rsidRPr="006142ED">
        <w:rPr>
          <w:rStyle w:val="Hyperlink"/>
          <w:color w:val="1155CC"/>
          <w:sz w:val="24"/>
          <w:lang w:val="lt-LT"/>
        </w:rPr>
        <w:t>.</w:t>
      </w:r>
    </w:p>
  </w:footnote>
  <w:footnote w:id="23">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r w:rsidRPr="006142ED">
        <w:rPr>
          <w:sz w:val="24"/>
          <w:lang w:val="lt-LT"/>
        </w:rPr>
        <w:t>2022 m. birželio 10 d. Komisijos rekomendacija dėl nanomedžiagos apibrėžties (OL C 229, 2022 6 14, p. 1).</w:t>
      </w:r>
    </w:p>
  </w:footnote>
  <w:footnote w:id="24">
    <w:p w:rsidR="00CB5A7E" w:rsidRPr="006142ED" w:rsidRDefault="00CB5A7E" w:rsidP="006142ED">
      <w:pPr>
        <w:pStyle w:val="FootnoteText"/>
        <w:ind w:left="567" w:hanging="567"/>
        <w:rPr>
          <w:sz w:val="24"/>
          <w:szCs w:val="24"/>
          <w:lang w:val="lt-LT"/>
        </w:rPr>
      </w:pPr>
      <w:r w:rsidRPr="006142ED">
        <w:rPr>
          <w:rStyle w:val="FootnoteReference"/>
          <w:sz w:val="24"/>
          <w:szCs w:val="24"/>
          <w:lang w:val="lt-LT"/>
        </w:rPr>
        <w:footnoteRef/>
      </w:r>
      <w:r w:rsidR="006142ED" w:rsidRPr="006142ED">
        <w:rPr>
          <w:sz w:val="24"/>
          <w:lang w:val="lt-LT"/>
        </w:rPr>
        <w:t xml:space="preserve"> </w:t>
      </w:r>
      <w:r w:rsidR="006142ED" w:rsidRPr="006142ED">
        <w:rPr>
          <w:sz w:val="24"/>
          <w:lang w:val="lt-LT"/>
        </w:rPr>
        <w:tab/>
      </w:r>
      <w:r w:rsidRPr="006142ED">
        <w:rPr>
          <w:sz w:val="24"/>
          <w:lang w:val="lt-LT"/>
        </w:rPr>
        <w:t xml:space="preserve">ANSES (2020): </w:t>
      </w:r>
      <w:r w:rsidRPr="006142ED">
        <w:rPr>
          <w:i/>
          <w:sz w:val="24"/>
          <w:lang w:val="lt-LT"/>
        </w:rPr>
        <w:t>Nanomatériaux dans les produits destinés à l’alimentation.</w:t>
      </w:r>
      <w:r w:rsidRPr="006142ED">
        <w:rPr>
          <w:sz w:val="24"/>
          <w:lang w:val="lt-LT"/>
        </w:rPr>
        <w:t xml:space="preserve"> </w:t>
      </w:r>
      <w:r w:rsidRPr="006142ED">
        <w:rPr>
          <w:i/>
          <w:sz w:val="24"/>
          <w:lang w:val="lt-LT"/>
        </w:rPr>
        <w:t>Rapport d’expertise collective</w:t>
      </w:r>
      <w:r w:rsidRPr="006142ED">
        <w:rPr>
          <w:sz w:val="24"/>
          <w:lang w:val="lt-LT"/>
        </w:rPr>
        <w:t>,</w:t>
      </w:r>
      <w:hyperlink r:id="rId16" w:history="1">
        <w:r w:rsidRPr="006142ED">
          <w:rPr>
            <w:rStyle w:val="Hyperlink"/>
            <w:sz w:val="24"/>
            <w:lang w:val="lt-LT"/>
          </w:rPr>
          <w:t xml:space="preserve"> </w:t>
        </w:r>
      </w:hyperlink>
      <w:hyperlink r:id="rId17" w:history="1">
        <w:r w:rsidRPr="006142ED">
          <w:rPr>
            <w:rStyle w:val="Hyperlink"/>
            <w:color w:val="1155CC"/>
            <w:sz w:val="24"/>
            <w:lang w:val="lt-LT"/>
          </w:rPr>
          <w:t>https://www.anses.fr/fr/system/files/ERCA2016SA0226Ra.pdf</w:t>
        </w:r>
      </w:hyperlink>
      <w:r w:rsidRPr="006142ED">
        <w:rPr>
          <w:sz w:val="24"/>
          <w:lang w:val="lt-LT"/>
        </w:rPr>
        <w:t xml:space="preserve"> (p. 86).</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2E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2E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6142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75"/>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225/2024"/>
    <w:docVar w:name="dvlangue" w:val="LT"/>
    <w:docVar w:name="dvnumam" w:val="0"/>
    <w:docVar w:name="dvpe" w:val="760.689"/>
    <w:docVar w:name="dvtitre" w:val="2024 m. balandzio 24 d. Europos Parlamento rezoliucija dėl 2024 m. kovo 14 d. Komisijos deleguotojo reglamento, kuriuo dėl termino „dirbtinai sukurtos nanomedžiagos“ apibrėžties iš dalies keičiamas Europos Parlamento ir Tarybos reglamentas (ES) 2015/2283 dėl naujų maisto produktų(C(2024)01612 – 2024/2691(DEA))"/>
  </w:docVars>
  <w:rsids>
    <w:rsidRoot w:val="00AD0B59"/>
    <w:rsid w:val="00002272"/>
    <w:rsid w:val="00064002"/>
    <w:rsid w:val="000677B9"/>
    <w:rsid w:val="000831BA"/>
    <w:rsid w:val="000A42CC"/>
    <w:rsid w:val="000E7DD9"/>
    <w:rsid w:val="0010095E"/>
    <w:rsid w:val="00125B37"/>
    <w:rsid w:val="00187494"/>
    <w:rsid w:val="001F32AE"/>
    <w:rsid w:val="002767FF"/>
    <w:rsid w:val="002B18FE"/>
    <w:rsid w:val="002B5493"/>
    <w:rsid w:val="002E51F6"/>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42ED"/>
    <w:rsid w:val="006631B6"/>
    <w:rsid w:val="00680577"/>
    <w:rsid w:val="006938B5"/>
    <w:rsid w:val="006B334E"/>
    <w:rsid w:val="006F74FA"/>
    <w:rsid w:val="00731ADD"/>
    <w:rsid w:val="00734777"/>
    <w:rsid w:val="00747932"/>
    <w:rsid w:val="00751A4A"/>
    <w:rsid w:val="00756632"/>
    <w:rsid w:val="00762C74"/>
    <w:rsid w:val="00786EC0"/>
    <w:rsid w:val="007D1690"/>
    <w:rsid w:val="007E22AD"/>
    <w:rsid w:val="007F2CE2"/>
    <w:rsid w:val="007F45B0"/>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65ED8"/>
    <w:rsid w:val="00A778C7"/>
    <w:rsid w:val="00AB441E"/>
    <w:rsid w:val="00AB6293"/>
    <w:rsid w:val="00AD0B59"/>
    <w:rsid w:val="00AE0928"/>
    <w:rsid w:val="00AF3B82"/>
    <w:rsid w:val="00B12E95"/>
    <w:rsid w:val="00B22876"/>
    <w:rsid w:val="00B558F0"/>
    <w:rsid w:val="00B73720"/>
    <w:rsid w:val="00BD48FE"/>
    <w:rsid w:val="00BD7BD8"/>
    <w:rsid w:val="00BE6ADC"/>
    <w:rsid w:val="00C02CCB"/>
    <w:rsid w:val="00C05BFE"/>
    <w:rsid w:val="00C23CD4"/>
    <w:rsid w:val="00C61C0C"/>
    <w:rsid w:val="00C941CB"/>
    <w:rsid w:val="00CB5A7E"/>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95642A"/>
  <w15:chartTrackingRefBased/>
  <w15:docId w15:val="{6386AA14-20D5-448A-9A4B-1C6DA6B3E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CB5A7E"/>
    <w:pPr>
      <w:spacing w:before="480" w:after="240"/>
    </w:pPr>
  </w:style>
  <w:style w:type="paragraph" w:customStyle="1" w:styleId="NormalHanging12a">
    <w:name w:val="NormalHanging12a"/>
    <w:basedOn w:val="Normal"/>
    <w:rsid w:val="00CB5A7E"/>
    <w:pPr>
      <w:spacing w:after="240"/>
      <w:ind w:left="567" w:hanging="567"/>
    </w:pPr>
  </w:style>
  <w:style w:type="character" w:styleId="Hyperlink">
    <w:name w:val="Hyperlink"/>
    <w:basedOn w:val="DefaultParagraphFont"/>
    <w:unhideWhenUsed/>
    <w:rsid w:val="00CB5A7E"/>
    <w:rPr>
      <w:color w:val="0563C1" w:themeColor="hyperlink"/>
      <w:u w:val="single"/>
    </w:rPr>
  </w:style>
  <w:style w:type="paragraph" w:styleId="BalloonText">
    <w:name w:val="Balloon Text"/>
    <w:basedOn w:val="Normal"/>
    <w:link w:val="BalloonTextChar"/>
    <w:rsid w:val="006B334E"/>
    <w:rPr>
      <w:rFonts w:ascii="Segoe UI" w:hAnsi="Segoe UI" w:cs="Segoe UI"/>
      <w:sz w:val="18"/>
      <w:szCs w:val="18"/>
    </w:rPr>
  </w:style>
  <w:style w:type="character" w:customStyle="1" w:styleId="BalloonTextChar">
    <w:name w:val="Balloon Text Char"/>
    <w:basedOn w:val="DefaultParagraphFont"/>
    <w:link w:val="BalloonText"/>
    <w:rsid w:val="006B334E"/>
    <w:rPr>
      <w:rFonts w:ascii="Segoe UI" w:hAnsi="Segoe UI" w:cs="Segoe UI"/>
      <w:sz w:val="18"/>
      <w:szCs w:val="18"/>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www.test-achats.be/sante/sante-au-quotidien/produits-testes/news/nanoparticules-affichage" TargetMode="External"/><Relationship Id="rId13" Type="http://schemas.openxmlformats.org/officeDocument/2006/relationships/hyperlink" Target="https://veillenanos.fr/en/dossier/nanos-and-health/nanos-health-risks/" TargetMode="External"/><Relationship Id="rId3" Type="http://schemas.openxmlformats.org/officeDocument/2006/relationships/hyperlink" Target="https://www.quechoisir.org/enquete-nanoparticules-taille-mini-doutes-maxi-n50748/" TargetMode="External"/><Relationship Id="rId7" Type="http://schemas.openxmlformats.org/officeDocument/2006/relationships/hyperlink" Target="https://www.bund.net/fileadmin/user_upload_bund/publikationen/chemie/nanotechnologie_in_lebensmitteln_hintergrund.pdf" TargetMode="External"/><Relationship Id="rId12" Type="http://schemas.openxmlformats.org/officeDocument/2006/relationships/hyperlink" Target="https://www.efsa.europa.eu/sites/default/files/assets/corporatenanotechnology121003.pdf" TargetMode="External"/><Relationship Id="rId17" Type="http://schemas.openxmlformats.org/officeDocument/2006/relationships/hyperlink" Target="https://www.anses.fr/fr/system/files/ERCA2016SA0226Ra.pdf" TargetMode="External"/><Relationship Id="rId2" Type="http://schemas.openxmlformats.org/officeDocument/2006/relationships/hyperlink" Target="https://www.agirpourlenvironnement.org/communiques-presse/enquete-exclusive-des-analyses-revelent-la-presence-de-nanoparticules-dans-3980/" TargetMode="External"/><Relationship Id="rId16" Type="http://schemas.openxmlformats.org/officeDocument/2006/relationships/hyperlink" Target="https://www.anses.fr/fr/system/files/ERCA2016SA0226Ra.pdf" TargetMode="External"/><Relationship Id="rId1" Type="http://schemas.openxmlformats.org/officeDocument/2006/relationships/hyperlink" Target="https://www.anses.fr/fr/nanomateriaux-alimentation-premiere-application-methodologie" TargetMode="External"/><Relationship Id="rId6" Type="http://schemas.openxmlformats.org/officeDocument/2006/relationships/hyperlink" Target="https://www.foodwatch.org/de/potenziell-krebserregender-farbstoff-in-backzutaten-von-dr-oetker" TargetMode="External"/><Relationship Id="rId11" Type="http://schemas.openxmlformats.org/officeDocument/2006/relationships/hyperlink" Target="https://echa.europa.eu/-/what-do-eu-citizens-think-about-nanomaterials-" TargetMode="External"/><Relationship Id="rId5" Type="http://schemas.openxmlformats.org/officeDocument/2006/relationships/hyperlink" Target="https://veillenanos.fr/wp-content/uploads/2023/01/Rapport-test-EN-20230113.pdf" TargetMode="External"/><Relationship Id="rId15" Type="http://schemas.openxmlformats.org/officeDocument/2006/relationships/hyperlink" Target="https://www.anses.fr/en/system/files/AP2018SA0168RaEN.pdf" TargetMode="External"/><Relationship Id="rId10" Type="http://schemas.openxmlformats.org/officeDocument/2006/relationships/hyperlink" Target="https://www.ocu.org/toda-la-informacion?type=magazine-articles&amp;magazine=ocu%20compra%20maestra&amp;year=2019" TargetMode="External"/><Relationship Id="rId4" Type="http://schemas.openxmlformats.org/officeDocument/2006/relationships/hyperlink" Target="https://bibliotheque.60millions-mag.com/detail/publication/detail-top-right/561?issue_id=113421&amp;switch_toc=archive" TargetMode="External"/><Relationship Id="rId9" Type="http://schemas.openxmlformats.org/officeDocument/2006/relationships/hyperlink" Target="https://www.altroconsumo.it/alimentazione/sicurezza-alimentare/news/nanoparticelle" TargetMode="External"/><Relationship Id="rId14" Type="http://schemas.openxmlformats.org/officeDocument/2006/relationships/hyperlink" Target="https://www.anses.fr/en/system/files/AP2018SA0168RaE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CE1EB6-6831-464B-B71C-45A8FF5BF1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1460</Words>
  <Characters>9865</Characters>
  <Application>Microsoft Office Word</Application>
  <DocSecurity>0</DocSecurity>
  <Lines>82</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SKEIVYTE Silvija</dc:creator>
  <cp:keywords/>
  <cp:lastModifiedBy>SKEIVYTE Silvija</cp:lastModifiedBy>
  <cp:revision>2</cp:revision>
  <cp:lastPrinted>2004-11-19T15:42:00Z</cp:lastPrinted>
  <dcterms:created xsi:type="dcterms:W3CDTF">2024-04-24T12:12:00Z</dcterms:created>
  <dcterms:modified xsi:type="dcterms:W3CDTF">2024-04-24T12:12:00Z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B9-0225/2024</vt:lpwstr>
  </property>
  <property fmtid="{D5CDD505-2E9C-101B-9397-08002B2CF9AE}" pid="4" name="&lt;Type&gt;">
    <vt:lpwstr>RR</vt:lpwstr>
  </property>
</Properties>
</file>