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55B8D" w:rsidTr="0010095E">
        <w:trPr>
          <w:trHeight w:hRule="exact" w:val="1418"/>
        </w:trPr>
        <w:tc>
          <w:tcPr>
            <w:tcW w:w="6804" w:type="dxa"/>
            <w:shd w:val="clear" w:color="auto" w:fill="auto"/>
            <w:vAlign w:val="center"/>
          </w:tcPr>
          <w:p w:rsidR="00751A4A" w:rsidRPr="00555B8D" w:rsidRDefault="004C4E8E" w:rsidP="0010095E">
            <w:pPr>
              <w:pStyle w:val="EPName"/>
            </w:pPr>
            <w:r w:rsidRPr="00555B8D">
              <w:t>Eiropas Parlaments</w:t>
            </w:r>
          </w:p>
          <w:p w:rsidR="00751A4A" w:rsidRPr="00555B8D" w:rsidRDefault="00817416" w:rsidP="00756632">
            <w:pPr>
              <w:pStyle w:val="EPTerm"/>
              <w:rPr>
                <w:rStyle w:val="HideTWBExt"/>
                <w:noProof w:val="0"/>
                <w:vanish w:val="0"/>
                <w:color w:val="auto"/>
              </w:rPr>
            </w:pPr>
            <w:r w:rsidRPr="00555B8D">
              <w:t>2019-2024</w:t>
            </w:r>
          </w:p>
        </w:tc>
        <w:tc>
          <w:tcPr>
            <w:tcW w:w="2268" w:type="dxa"/>
            <w:shd w:val="clear" w:color="auto" w:fill="auto"/>
          </w:tcPr>
          <w:p w:rsidR="00751A4A" w:rsidRPr="00555B8D" w:rsidRDefault="00187494" w:rsidP="0010095E">
            <w:pPr>
              <w:pStyle w:val="EPLogo"/>
            </w:pPr>
            <w:r w:rsidRPr="00555B8D">
              <w:rPr>
                <w:noProof/>
                <w:lang w:eastAsia="lv-LV"/>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55B8D" w:rsidRDefault="00D058B8" w:rsidP="004C5D52">
      <w:pPr>
        <w:pStyle w:val="LineTop"/>
      </w:pPr>
    </w:p>
    <w:p w:rsidR="00680577" w:rsidRPr="00555B8D" w:rsidRDefault="004C4E8E" w:rsidP="00680577">
      <w:pPr>
        <w:pStyle w:val="EPBodyTA1"/>
      </w:pPr>
      <w:r w:rsidRPr="00555B8D">
        <w:t>PIEŅEMTIE TEKSTI</w:t>
      </w:r>
    </w:p>
    <w:p w:rsidR="00D058B8" w:rsidRPr="00555B8D" w:rsidRDefault="00D058B8" w:rsidP="00D058B8">
      <w:pPr>
        <w:pStyle w:val="LineBottom"/>
      </w:pPr>
    </w:p>
    <w:p w:rsidR="004C4E8E" w:rsidRPr="00555B8D" w:rsidRDefault="004C4E8E" w:rsidP="004C4E8E">
      <w:pPr>
        <w:pStyle w:val="ATHeading1"/>
      </w:pPr>
      <w:bookmarkStart w:id="0" w:name="TANumber"/>
      <w:r w:rsidRPr="00555B8D">
        <w:t>P9_TA(2024)0</w:t>
      </w:r>
      <w:bookmarkEnd w:id="0"/>
      <w:r w:rsidR="00555B8D" w:rsidRPr="00555B8D">
        <w:t>316</w:t>
      </w:r>
    </w:p>
    <w:p w:rsidR="004C4E8E" w:rsidRPr="00555B8D" w:rsidRDefault="0060499A" w:rsidP="0060499A">
      <w:pPr>
        <w:pStyle w:val="ATHeading2"/>
      </w:pPr>
      <w:r w:rsidRPr="00555B8D">
        <w:t xml:space="preserve">Iebildumu izteikšana pret deleģēto aktu: jauni pārtikas produkti – termina “ar inženierijas paņēmieniem iegūts </w:t>
      </w:r>
      <w:proofErr w:type="spellStart"/>
      <w:r w:rsidRPr="00555B8D">
        <w:t>nanomateriāls</w:t>
      </w:r>
      <w:proofErr w:type="spellEnd"/>
      <w:r w:rsidRPr="00555B8D">
        <w:t>” definīcija</w:t>
      </w:r>
    </w:p>
    <w:p w:rsidR="004C4E8E" w:rsidRPr="00555B8D" w:rsidRDefault="004C4E8E" w:rsidP="004C4E8E">
      <w:pPr>
        <w:rPr>
          <w:i/>
          <w:vanish/>
        </w:rPr>
      </w:pPr>
      <w:r w:rsidRPr="00555B8D">
        <w:rPr>
          <w:i/>
        </w:rPr>
        <w:fldChar w:fldCharType="begin"/>
      </w:r>
      <w:r w:rsidRPr="00555B8D">
        <w:rPr>
          <w:i/>
        </w:rPr>
        <w:instrText xml:space="preserve"> TC"(</w:instrText>
      </w:r>
      <w:bookmarkStart w:id="1" w:name="DocNumber"/>
      <w:r w:rsidRPr="00555B8D">
        <w:rPr>
          <w:i/>
        </w:rPr>
        <w:instrText>B9-0225/2024</w:instrText>
      </w:r>
      <w:bookmarkEnd w:id="1"/>
      <w:r w:rsidRPr="00555B8D">
        <w:rPr>
          <w:i/>
        </w:rPr>
        <w:instrText xml:space="preserve">)"\l3 \n&gt; \* MERGEFORMAT </w:instrText>
      </w:r>
      <w:r w:rsidRPr="00555B8D">
        <w:rPr>
          <w:i/>
        </w:rPr>
        <w:fldChar w:fldCharType="end"/>
      </w:r>
    </w:p>
    <w:p w:rsidR="004C4E8E" w:rsidRPr="00555B8D" w:rsidRDefault="004C4E8E" w:rsidP="004C4E8E">
      <w:pPr>
        <w:rPr>
          <w:vanish/>
        </w:rPr>
      </w:pPr>
      <w:bookmarkStart w:id="2" w:name="PE"/>
      <w:r w:rsidRPr="00555B8D">
        <w:rPr>
          <w:vanish/>
        </w:rPr>
        <w:t>PE760.689</w:t>
      </w:r>
      <w:bookmarkEnd w:id="2"/>
    </w:p>
    <w:p w:rsidR="009840D8" w:rsidRPr="00555B8D" w:rsidRDefault="004C4E8E" w:rsidP="0060499A">
      <w:pPr>
        <w:pStyle w:val="ATHeading3"/>
      </w:pPr>
      <w:bookmarkStart w:id="3" w:name="Sujet"/>
      <w:r w:rsidRPr="00555B8D">
        <w:t xml:space="preserve">Eiropas Parlamenta 2024. gada </w:t>
      </w:r>
      <w:r w:rsidR="0060499A" w:rsidRPr="00555B8D">
        <w:t>24</w:t>
      </w:r>
      <w:r w:rsidRPr="00555B8D">
        <w:t xml:space="preserve">. </w:t>
      </w:r>
      <w:r w:rsidR="0060499A" w:rsidRPr="00555B8D">
        <w:t>aprīļa</w:t>
      </w:r>
      <w:r w:rsidRPr="00555B8D">
        <w:t xml:space="preserve"> </w:t>
      </w:r>
      <w:r w:rsidR="0060499A" w:rsidRPr="00555B8D">
        <w:t>rezolūcija</w:t>
      </w:r>
      <w:r w:rsidRPr="00555B8D">
        <w:t xml:space="preserve"> par Komisijas 2024. gada 14. marta deleģēto regulu, ar ko attiecībā uz termina “ar inženierijas paņēmieniem iegūts </w:t>
      </w:r>
      <w:proofErr w:type="spellStart"/>
      <w:r w:rsidRPr="00555B8D">
        <w:t>nanomateriāls</w:t>
      </w:r>
      <w:proofErr w:type="spellEnd"/>
      <w:r w:rsidRPr="00555B8D">
        <w:t>” definīciju groza Eiropas Parlamenta un Padomes Regulu (ES) 2015/2283 par jauniem pārtikas produktiem</w:t>
      </w:r>
      <w:bookmarkEnd w:id="3"/>
      <w:r w:rsidRPr="00555B8D">
        <w:t xml:space="preserve"> </w:t>
      </w:r>
      <w:bookmarkStart w:id="4" w:name="References"/>
      <w:r w:rsidRPr="00555B8D">
        <w:t>(C(2024)01612 – 2024/2691(DEA))</w:t>
      </w:r>
      <w:bookmarkStart w:id="5" w:name="TextBodyBegin"/>
      <w:bookmarkEnd w:id="4"/>
      <w:bookmarkEnd w:id="5"/>
    </w:p>
    <w:p w:rsidR="009840D8" w:rsidRPr="00555B8D" w:rsidRDefault="009840D8" w:rsidP="009840D8">
      <w:pPr>
        <w:pStyle w:val="EPComma"/>
      </w:pPr>
      <w:r w:rsidRPr="00555B8D">
        <w:rPr>
          <w:i/>
          <w:iCs/>
        </w:rPr>
        <w:t>Eiropas Parlaments</w:t>
      </w:r>
      <w:r w:rsidRPr="00555B8D">
        <w:t>,</w:t>
      </w:r>
    </w:p>
    <w:p w:rsidR="009840D8" w:rsidRPr="00555B8D" w:rsidRDefault="009840D8" w:rsidP="009840D8">
      <w:pPr>
        <w:pStyle w:val="NormalHanging12a"/>
      </w:pPr>
      <w:r w:rsidRPr="00555B8D">
        <w:t>–</w:t>
      </w:r>
      <w:r w:rsidRPr="00555B8D">
        <w:tab/>
        <w:t xml:space="preserve">ņemot vērā Komisijas </w:t>
      </w:r>
      <w:r w:rsidR="00940D05">
        <w:t xml:space="preserve">2024. gada 14. marta </w:t>
      </w:r>
      <w:r w:rsidRPr="00555B8D">
        <w:t xml:space="preserve">deleģēto regulu, ar ko attiecībā uz termina “ar inženierijas paņēmieniem iegūts </w:t>
      </w:r>
      <w:proofErr w:type="spellStart"/>
      <w:r w:rsidRPr="00555B8D">
        <w:t>nanomateriāls</w:t>
      </w:r>
      <w:proofErr w:type="spellEnd"/>
      <w:r w:rsidRPr="00555B8D">
        <w:t>” definīciju groza Eiropas Parlamenta un Padomes Regulu (ES) 2015/2283 par jauniem pārtikas produktiem (C(2024)01612),</w:t>
      </w:r>
    </w:p>
    <w:p w:rsidR="009840D8" w:rsidRPr="00555B8D" w:rsidRDefault="009840D8" w:rsidP="009840D8">
      <w:pPr>
        <w:pStyle w:val="NormalHanging12a"/>
      </w:pPr>
      <w:r w:rsidRPr="00555B8D">
        <w:t>–</w:t>
      </w:r>
      <w:r w:rsidRPr="00555B8D">
        <w:tab/>
        <w:t>ņemot vērā Līguma par Eiropas Savienības darbību (LESD) 290. pantu,</w:t>
      </w:r>
    </w:p>
    <w:p w:rsidR="009840D8" w:rsidRPr="00555B8D" w:rsidRDefault="009840D8" w:rsidP="009840D8">
      <w:pPr>
        <w:pStyle w:val="NormalHanging12a"/>
        <w:rPr>
          <w:noProof/>
        </w:rPr>
      </w:pPr>
      <w:r w:rsidRPr="00555B8D">
        <w:t>–</w:t>
      </w:r>
      <w:r w:rsidRPr="00555B8D">
        <w:tab/>
        <w:t>ņemot vērā Eiropas Parlamenta un Padomes 2015. gada 25. novembra Regulu (ES) 2015/2283 par jauniem pārtikas produktiem un ar ko groza Eiropas Parlamenta un Padomes Regulu (ES) Nr. 1169/2011 un atceļ Eiropas Parlamenta un Padomes Regulu (EK) Nr. 258/97 un Komisijas Regulu (EK) Nr. 1852/2001</w:t>
      </w:r>
      <w:r w:rsidRPr="00555B8D">
        <w:rPr>
          <w:rStyle w:val="FootnoteReference"/>
          <w:noProof/>
          <w:color w:val="000000"/>
          <w:szCs w:val="24"/>
        </w:rPr>
        <w:footnoteReference w:id="1"/>
      </w:r>
      <w:r w:rsidRPr="00555B8D">
        <w:t xml:space="preserve"> un jo īpaši tās 31. pantu un 32. panta 6. punktu,</w:t>
      </w:r>
    </w:p>
    <w:p w:rsidR="009840D8" w:rsidRPr="00555B8D" w:rsidRDefault="009840D8" w:rsidP="009840D8">
      <w:pPr>
        <w:pStyle w:val="NormalHanging12a"/>
      </w:pPr>
      <w:r w:rsidRPr="00555B8D">
        <w:t>–</w:t>
      </w:r>
      <w:r w:rsidRPr="00555B8D">
        <w:tab/>
        <w:t>ņemot vērā Eiropas Parlamenta un Padomes 2011. gada 25. oktobra Regulu (ES) Nr. 1169/2011 par pārtikas produktu informācijas sniegšanu patērētājiem un par grozījumiem Eiropas Parlamenta un Padomes Regulās (EK) Nr. 1924/2006 un (EK) Nr. 1925/2006, un par Komisijas Direktīvas 87/250/EEK, Padomes Direktīvas 90/496/EEK, Komisijas Direktīvas 1999/10/EK, Eiropas Parlamenta un Padomes Direktīvas 2000/13/EK, Komisijas Direktīvu 2002/67/EK un 2008/5/EK un Komisijas Regulas (EK) Nr. 608/2004 atcelšanu par pārtikas produktu informācijas sniegšanu patērētājiem</w:t>
      </w:r>
      <w:r w:rsidRPr="00555B8D">
        <w:rPr>
          <w:rStyle w:val="FootnoteReference"/>
          <w:noProof/>
          <w:color w:val="000000"/>
          <w:szCs w:val="24"/>
        </w:rPr>
        <w:footnoteReference w:id="2"/>
      </w:r>
      <w:r w:rsidRPr="00555B8D">
        <w:t xml:space="preserve"> un jo īpaši tās 18. panta 3. punktu,</w:t>
      </w:r>
    </w:p>
    <w:p w:rsidR="009840D8" w:rsidRPr="00555B8D" w:rsidRDefault="009840D8" w:rsidP="009840D8">
      <w:pPr>
        <w:pStyle w:val="NormalHanging12a"/>
      </w:pPr>
      <w:r w:rsidRPr="00555B8D">
        <w:t>–</w:t>
      </w:r>
      <w:r w:rsidRPr="00555B8D">
        <w:tab/>
        <w:t xml:space="preserve">ņemot vērā Eiropas Parlamenta un Padomes 2008. gada 16. decembra Regulu (EK) </w:t>
      </w:r>
      <w:r w:rsidRPr="00555B8D">
        <w:lastRenderedPageBreak/>
        <w:t>Nr. 1333/2008 par pārtikas piedevām</w:t>
      </w:r>
      <w:r w:rsidRPr="00555B8D">
        <w:rPr>
          <w:rStyle w:val="FootnoteReference"/>
          <w:color w:val="000000"/>
          <w:szCs w:val="24"/>
        </w:rPr>
        <w:footnoteReference w:id="3"/>
      </w:r>
      <w:r w:rsidRPr="00555B8D">
        <w:t>,</w:t>
      </w:r>
    </w:p>
    <w:p w:rsidR="009840D8" w:rsidRPr="00555B8D" w:rsidRDefault="009840D8" w:rsidP="009840D8">
      <w:pPr>
        <w:pStyle w:val="NormalHanging12a"/>
      </w:pPr>
      <w:r w:rsidRPr="00555B8D">
        <w:t>–</w:t>
      </w:r>
      <w:r w:rsidRPr="00555B8D">
        <w:tab/>
        <w:t>ņemot vērā Savienības sarakstus, kas noteikti ar Komisijas 2011. gada 11. novembra Regulu (ES) Nr. 1129/2011, ar ko groza Eiropas Parlamenta un Padomes Regulas (EK) Nr. 1333/2008 II pielikumu, izveidojot Eiropas Savienības atļauto pārtikas piedevu sarakstu</w:t>
      </w:r>
      <w:r w:rsidRPr="00555B8D">
        <w:rPr>
          <w:rStyle w:val="FootnoteReference"/>
          <w:color w:val="000000"/>
          <w:szCs w:val="24"/>
        </w:rPr>
        <w:footnoteReference w:id="4"/>
      </w:r>
      <w:r w:rsidRPr="00555B8D">
        <w:t xml:space="preserve"> un Komisijas 2011. gada 11. novembra Regulu (ES) Nr. 1130/2011, ar ko groza III pielikumu Eiropas Parlamenta un Padomes Regulā (EK) Nr. 1333/2008 par pārtikas piedevām, izveidojot Savienības atļauto pārtikas piedevu sarakstu lietošanai pārtikas piedevās, pārtikas fermentos, pārtikas aromatizētājos un uzturvielās</w:t>
      </w:r>
      <w:r w:rsidRPr="00555B8D">
        <w:rPr>
          <w:rStyle w:val="FootnoteReference"/>
          <w:color w:val="000000"/>
          <w:szCs w:val="24"/>
        </w:rPr>
        <w:footnoteReference w:id="5"/>
      </w:r>
      <w:r w:rsidRPr="00555B8D">
        <w:t>,</w:t>
      </w:r>
    </w:p>
    <w:p w:rsidR="009840D8" w:rsidRPr="00555B8D" w:rsidRDefault="009840D8" w:rsidP="009840D8">
      <w:pPr>
        <w:pStyle w:val="NormalHanging12a"/>
      </w:pPr>
      <w:r w:rsidRPr="00555B8D">
        <w:t>–</w:t>
      </w:r>
      <w:r w:rsidRPr="00555B8D">
        <w:tab/>
        <w:t>ņemot vērā Komisijas 2010. gada 25. marta Regulu (ES) Nr. 257/2010, ar ko izveido programmu, lai atkārtoti novērtētu pārtikas piedevas, kas atļautas saskaņā ar Eiropas Parlamenta un Padomes Regulu (EK) Nr. 1333/2008 par pārtikas piedevām</w:t>
      </w:r>
      <w:r w:rsidRPr="00555B8D">
        <w:rPr>
          <w:rStyle w:val="FootnoteReference"/>
          <w:color w:val="000000"/>
          <w:szCs w:val="24"/>
        </w:rPr>
        <w:footnoteReference w:id="6"/>
      </w:r>
      <w:r w:rsidRPr="00555B8D">
        <w:t>,</w:t>
      </w:r>
    </w:p>
    <w:p w:rsidR="009840D8" w:rsidRPr="00555B8D" w:rsidRDefault="009840D8" w:rsidP="009840D8">
      <w:pPr>
        <w:pStyle w:val="NormalHanging12a"/>
      </w:pPr>
      <w:r w:rsidRPr="00555B8D">
        <w:t>–</w:t>
      </w:r>
      <w:r w:rsidRPr="00555B8D">
        <w:tab/>
        <w:t>ņemot vērā Reglamenta 111. panta 3. punktu,</w:t>
      </w:r>
    </w:p>
    <w:p w:rsidR="009840D8" w:rsidRPr="00555B8D" w:rsidRDefault="009840D8" w:rsidP="009840D8">
      <w:pPr>
        <w:pStyle w:val="NormalHanging12a"/>
      </w:pPr>
      <w:r w:rsidRPr="00555B8D">
        <w:t>–</w:t>
      </w:r>
      <w:r w:rsidRPr="00555B8D">
        <w:tab/>
        <w:t>ņemot vērā Vides, sabiedrības veselības un pārtikas nekaitīguma komitejas rezolūcijas priekšlikumu,</w:t>
      </w:r>
    </w:p>
    <w:p w:rsidR="009840D8" w:rsidRPr="00555B8D" w:rsidRDefault="009840D8" w:rsidP="009840D8">
      <w:pPr>
        <w:pStyle w:val="NormalHanging12a"/>
      </w:pPr>
      <w:r w:rsidRPr="00555B8D">
        <w:t>A.</w:t>
      </w:r>
      <w:r w:rsidRPr="00555B8D">
        <w:tab/>
        <w:t xml:space="preserve">tā kā Regulas (ES) Nr. 1169/2011 18. panta 3. punktā noteikts, ka visas sastāvdaļas, kuras ir inženierijas ceļā iegūti </w:t>
      </w:r>
      <w:proofErr w:type="spellStart"/>
      <w:r w:rsidRPr="00555B8D">
        <w:t>nanomateriāli</w:t>
      </w:r>
      <w:proofErr w:type="spellEnd"/>
      <w:r w:rsidRPr="00555B8D">
        <w:t xml:space="preserve">, skaidri jānorāda sastāvdaļu sarakstā, lai nodrošinātu informāciju patērētājiem; tā kā attiecīgi Regulā (ES) Nr. 1169/2011 ir definēti “ar inženierijas paņēmieniem iegūti </w:t>
      </w:r>
      <w:proofErr w:type="spellStart"/>
      <w:r w:rsidRPr="00555B8D">
        <w:t>nanomateriāli</w:t>
      </w:r>
      <w:proofErr w:type="spellEnd"/>
      <w:r w:rsidRPr="00555B8D">
        <w:t>”, kā noteikts Regulas (ES) 2015/2283 3. panta 2. punkta f) apakšpunktā;</w:t>
      </w:r>
    </w:p>
    <w:p w:rsidR="009840D8" w:rsidRPr="00555B8D" w:rsidRDefault="009840D8" w:rsidP="009840D8">
      <w:pPr>
        <w:pStyle w:val="NormalHanging12a"/>
      </w:pPr>
      <w:r w:rsidRPr="00555B8D">
        <w:t>B.</w:t>
      </w:r>
      <w:r w:rsidRPr="00555B8D">
        <w:tab/>
        <w:t xml:space="preserve">tā kā ar Regulas (ES) 2015/2283 18. pantu pilnvaro Komisiju pieņemt deleģētos aktus, lai regulā noteikto “ar inženierijas paņēmieniem iegūta </w:t>
      </w:r>
      <w:proofErr w:type="spellStart"/>
      <w:r w:rsidRPr="00555B8D">
        <w:t>nanomateriāla</w:t>
      </w:r>
      <w:proofErr w:type="spellEnd"/>
      <w:r w:rsidRPr="00555B8D">
        <w:t>” definīciju pielāgotu zinātnes un tehnikas attīstībai vai definīcijām, par kurām panākta vienošanās starptautiskā līmenī un tādā veidā sasniegtu regulas mērķus;</w:t>
      </w:r>
    </w:p>
    <w:p w:rsidR="009840D8" w:rsidRPr="00555B8D" w:rsidRDefault="009840D8" w:rsidP="009840D8">
      <w:pPr>
        <w:pStyle w:val="NormalHanging12a"/>
      </w:pPr>
      <w:r w:rsidRPr="00555B8D">
        <w:t>C.</w:t>
      </w:r>
      <w:r w:rsidRPr="00555B8D">
        <w:tab/>
        <w:t>tā kā ar Regulām (ES) Nr. 1129/2011 un (ES) Nr. 1130/2011 ir noteikti daudzpusīgi tādu pārtikas piedevu Savienības saraksti, kuru lietošana bija atļauta pirms Regulas (EK) Nr. 1333/2008 stāšanās spēkā, pārbaudot to atbilstību minētās regulas noteikumiem;</w:t>
      </w:r>
    </w:p>
    <w:p w:rsidR="009840D8" w:rsidRPr="00555B8D" w:rsidRDefault="009840D8" w:rsidP="009840D8">
      <w:pPr>
        <w:pStyle w:val="NormalHanging12a"/>
        <w:rPr>
          <w:i/>
        </w:rPr>
      </w:pPr>
      <w:r w:rsidRPr="00555B8D">
        <w:rPr>
          <w:i/>
        </w:rPr>
        <w:t>Definīcijas sekas</w:t>
      </w:r>
    </w:p>
    <w:p w:rsidR="009840D8" w:rsidRPr="00555B8D" w:rsidRDefault="009840D8" w:rsidP="009840D8">
      <w:pPr>
        <w:pStyle w:val="NormalHanging12a"/>
      </w:pPr>
      <w:r w:rsidRPr="00555B8D">
        <w:t>D.</w:t>
      </w:r>
      <w:r w:rsidRPr="00555B8D">
        <w:tab/>
        <w:t xml:space="preserve">tā kā Komisijas deleģētās regulas definīcija “ar inženierijas paņēmieniem iegūtam </w:t>
      </w:r>
      <w:proofErr w:type="spellStart"/>
      <w:r w:rsidRPr="00555B8D">
        <w:t>nanomateriālam</w:t>
      </w:r>
      <w:proofErr w:type="spellEnd"/>
      <w:r w:rsidRPr="00555B8D">
        <w:t>” noteiks, vai pārtikas produkts sastāvdaļu sarakstā ir jāmarķē kā “</w:t>
      </w:r>
      <w:proofErr w:type="spellStart"/>
      <w:r w:rsidRPr="00555B8D">
        <w:t>nano</w:t>
      </w:r>
      <w:proofErr w:type="spellEnd"/>
      <w:r w:rsidRPr="00555B8D">
        <w:t>”, kā minēts Regulas (ES) Nr. 1169/2011 18. panta 3. punktā;</w:t>
      </w:r>
    </w:p>
    <w:p w:rsidR="009840D8" w:rsidRPr="00555B8D" w:rsidRDefault="009840D8" w:rsidP="009840D8">
      <w:pPr>
        <w:pStyle w:val="NormalHanging12a"/>
      </w:pPr>
      <w:r w:rsidRPr="00555B8D">
        <w:t>E.</w:t>
      </w:r>
      <w:r w:rsidRPr="00555B8D">
        <w:tab/>
        <w:t xml:space="preserve">tā kā Komisijas deleģētās regulas mērķis ir risināt interpretācijas jautājumus, kas izriet no pašreizējās definīcijas, ieviešot objektīvus elementus, lai noteiktu, vai </w:t>
      </w:r>
      <w:proofErr w:type="spellStart"/>
      <w:r w:rsidRPr="00555B8D">
        <w:t>nanomateriāls</w:t>
      </w:r>
      <w:proofErr w:type="spellEnd"/>
      <w:r w:rsidRPr="00555B8D">
        <w:t xml:space="preserve"> ir “ar inženierijas paņēmieniem iegūts” vai ne, piemēram, “ar nolūku izgatavots [materiāls]” aizstājot ar “ražots”;</w:t>
      </w:r>
    </w:p>
    <w:p w:rsidR="009840D8" w:rsidRPr="00555B8D" w:rsidRDefault="009840D8" w:rsidP="009840D8">
      <w:pPr>
        <w:pStyle w:val="NormalHanging12a"/>
      </w:pPr>
      <w:r w:rsidRPr="00555B8D">
        <w:t>F.</w:t>
      </w:r>
      <w:r w:rsidRPr="00555B8D">
        <w:tab/>
        <w:t xml:space="preserve">tā kā Komisijas deleģētā regula aizliedz par </w:t>
      </w:r>
      <w:proofErr w:type="spellStart"/>
      <w:r w:rsidRPr="00555B8D">
        <w:t>nanomateriāliem</w:t>
      </w:r>
      <w:proofErr w:type="spellEnd"/>
      <w:r w:rsidRPr="00555B8D">
        <w:t xml:space="preserve"> pārtikā uzskatīt daļiņas, kas nav cietā stāvoklī, piemēram, </w:t>
      </w:r>
      <w:proofErr w:type="spellStart"/>
      <w:r w:rsidRPr="00555B8D">
        <w:t>micellas</w:t>
      </w:r>
      <w:proofErr w:type="spellEnd"/>
      <w:r w:rsidRPr="00555B8D">
        <w:t xml:space="preserve">, </w:t>
      </w:r>
      <w:proofErr w:type="spellStart"/>
      <w:r w:rsidRPr="00555B8D">
        <w:t>liposomas</w:t>
      </w:r>
      <w:proofErr w:type="spellEnd"/>
      <w:r w:rsidRPr="00555B8D">
        <w:t xml:space="preserve"> vai </w:t>
      </w:r>
      <w:proofErr w:type="spellStart"/>
      <w:r w:rsidRPr="00555B8D">
        <w:t>nanomēroga</w:t>
      </w:r>
      <w:proofErr w:type="spellEnd"/>
      <w:r w:rsidRPr="00555B8D">
        <w:t xml:space="preserve"> pilienus emulsijā, un sastāvdaļas, kas satur mazāk nekā 50 % daļiņu, kuru izmērs ir mazāks nekā 100 </w:t>
      </w:r>
      <w:proofErr w:type="spellStart"/>
      <w:r w:rsidRPr="00555B8D">
        <w:t>nm</w:t>
      </w:r>
      <w:proofErr w:type="spellEnd"/>
      <w:r w:rsidRPr="00555B8D">
        <w:t>;</w:t>
      </w:r>
    </w:p>
    <w:p w:rsidR="009840D8" w:rsidRPr="00555B8D" w:rsidRDefault="009840D8" w:rsidP="009840D8">
      <w:pPr>
        <w:pStyle w:val="NormalHanging12a"/>
      </w:pPr>
      <w:r w:rsidRPr="00555B8D">
        <w:t>G.</w:t>
      </w:r>
      <w:r w:rsidRPr="00555B8D">
        <w:tab/>
        <w:t xml:space="preserve">tā kā ierosinātā standarta robežvērtība, proti, 50 % vai vairāk daļiņu </w:t>
      </w:r>
      <w:proofErr w:type="spellStart"/>
      <w:r w:rsidRPr="00555B8D">
        <w:t>nanomērogā</w:t>
      </w:r>
      <w:proofErr w:type="spellEnd"/>
      <w:r w:rsidRPr="00555B8D">
        <w:t>, ir patvaļīga un mazāk aizsargājoša nekā dažu dalībvalstu, piemēram, Francijas, sniegtā Regulas (ES) 2015/2283 definīcijas interpretācija; tā kā minētajā regulā nav ņemta vērā lieluma sadalījuma robežvērtība daļiņām, kas mazākas nekā 100 </w:t>
      </w:r>
      <w:proofErr w:type="spellStart"/>
      <w:r w:rsidRPr="00555B8D">
        <w:t>nm</w:t>
      </w:r>
      <w:proofErr w:type="spellEnd"/>
      <w:r w:rsidRPr="00555B8D">
        <w:t>;</w:t>
      </w:r>
    </w:p>
    <w:p w:rsidR="009840D8" w:rsidRPr="00555B8D" w:rsidRDefault="009840D8" w:rsidP="0060499A">
      <w:pPr>
        <w:spacing w:after="240"/>
        <w:ind w:left="567" w:hanging="567"/>
        <w:rPr>
          <w:szCs w:val="24"/>
        </w:rPr>
      </w:pPr>
      <w:r w:rsidRPr="00555B8D">
        <w:t>H.</w:t>
      </w:r>
      <w:r w:rsidRPr="00555B8D">
        <w:tab/>
        <w:t xml:space="preserve">tā kā ierosinātā definīcija potenciāli izslēgtu daudzas </w:t>
      </w:r>
      <w:proofErr w:type="spellStart"/>
      <w:r w:rsidRPr="00555B8D">
        <w:t>nanovielas</w:t>
      </w:r>
      <w:proofErr w:type="spellEnd"/>
      <w:r w:rsidRPr="00555B8D">
        <w:t xml:space="preserve"> no Regulas (ES) Nr. 1169/2011 darbības jomas, uz kurām tādējādi “[</w:t>
      </w:r>
      <w:proofErr w:type="spellStart"/>
      <w:r w:rsidRPr="00555B8D">
        <w:t>nano</w:t>
      </w:r>
      <w:proofErr w:type="spellEnd"/>
      <w:r w:rsidRPr="00555B8D">
        <w:t xml:space="preserve">]” marķēšanas pienākums neattiektos; tā kā Komisija paskaidrojuma raksta 3. punktā norāda, ka “tādu materiālu skaits, kuri varētu saturēt noteiktu daudzumu </w:t>
      </w:r>
      <w:proofErr w:type="spellStart"/>
      <w:r w:rsidRPr="00555B8D">
        <w:t>nanodaļiņu</w:t>
      </w:r>
      <w:proofErr w:type="spellEnd"/>
      <w:r w:rsidRPr="00555B8D">
        <w:t>, nav liels un lielākā daļa, ja ne visi šādi materiāli, nav jauni pārtikas produkti” un ka “deleģētā akta iespējamā ietekme attieksies tikai uz ļoti nelielu materiālu skaitu”;</w:t>
      </w:r>
    </w:p>
    <w:p w:rsidR="009840D8" w:rsidRPr="00555B8D" w:rsidRDefault="009840D8" w:rsidP="0060499A">
      <w:pPr>
        <w:spacing w:after="240"/>
        <w:ind w:left="567" w:hanging="567"/>
        <w:rPr>
          <w:color w:val="0D0D0D"/>
          <w:szCs w:val="24"/>
        </w:rPr>
      </w:pPr>
      <w:r w:rsidRPr="00555B8D">
        <w:t xml:space="preserve">I. </w:t>
      </w:r>
      <w:r w:rsidRPr="00555B8D">
        <w:tab/>
        <w:t xml:space="preserve">tā kā patlaban tieši pārtikas piedevas var būt iekļautas pārtikas produktos </w:t>
      </w:r>
      <w:proofErr w:type="spellStart"/>
      <w:r w:rsidRPr="00555B8D">
        <w:t>nanomateriālu</w:t>
      </w:r>
      <w:proofErr w:type="spellEnd"/>
      <w:r w:rsidRPr="00555B8D">
        <w:t xml:space="preserve"> veidā; tā kā Francijas Nacionālā veselības un drošuma aģentūra (</w:t>
      </w:r>
      <w:r w:rsidRPr="00555B8D">
        <w:rPr>
          <w:i/>
          <w:iCs/>
        </w:rPr>
        <w:t>ANSES</w:t>
      </w:r>
      <w:r w:rsidRPr="00555B8D">
        <w:t xml:space="preserve">) ir uzskaitījusi 37 </w:t>
      </w:r>
      <w:proofErr w:type="spellStart"/>
      <w:r w:rsidRPr="00555B8D">
        <w:t>nanovielas</w:t>
      </w:r>
      <w:proofErr w:type="spellEnd"/>
      <w:r w:rsidRPr="00555B8D">
        <w:t>, kas izmantotas vairāk nekā 900 pārtikas produktos</w:t>
      </w:r>
      <w:r w:rsidRPr="00555B8D">
        <w:rPr>
          <w:rStyle w:val="FootnoteReference"/>
          <w:szCs w:val="24"/>
        </w:rPr>
        <w:footnoteReference w:id="7"/>
      </w:r>
      <w:r w:rsidRPr="00555B8D">
        <w:t>;</w:t>
      </w:r>
      <w:r w:rsidRPr="00555B8D">
        <w:rPr>
          <w:color w:val="0D0D0D"/>
        </w:rPr>
        <w:t xml:space="preserve"> tā kā testi, ko veikušas patērētāju organizācijas un nevalstiskās organizācijas (</w:t>
      </w:r>
      <w:proofErr w:type="spellStart"/>
      <w:r w:rsidRPr="00555B8D">
        <w:rPr>
          <w:i/>
          <w:iCs/>
          <w:color w:val="0D0D0D"/>
        </w:rPr>
        <w:t>Agir</w:t>
      </w:r>
      <w:proofErr w:type="spellEnd"/>
      <w:r w:rsidRPr="00555B8D">
        <w:rPr>
          <w:i/>
          <w:iCs/>
          <w:color w:val="0D0D0D"/>
        </w:rPr>
        <w:t xml:space="preserve"> </w:t>
      </w:r>
      <w:proofErr w:type="spellStart"/>
      <w:r w:rsidRPr="00555B8D">
        <w:rPr>
          <w:i/>
          <w:iCs/>
          <w:color w:val="0D0D0D"/>
        </w:rPr>
        <w:t>pour</w:t>
      </w:r>
      <w:proofErr w:type="spellEnd"/>
      <w:r w:rsidRPr="00555B8D">
        <w:rPr>
          <w:i/>
          <w:iCs/>
          <w:color w:val="0D0D0D"/>
        </w:rPr>
        <w:t xml:space="preserve"> </w:t>
      </w:r>
      <w:proofErr w:type="spellStart"/>
      <w:r w:rsidRPr="00555B8D">
        <w:rPr>
          <w:i/>
          <w:iCs/>
          <w:color w:val="0D0D0D"/>
        </w:rPr>
        <w:t>l’Environnement</w:t>
      </w:r>
      <w:proofErr w:type="spellEnd"/>
      <w:r w:rsidRPr="00555B8D">
        <w:rPr>
          <w:rStyle w:val="FootnoteReference"/>
          <w:color w:val="0D0D0D"/>
          <w:szCs w:val="24"/>
        </w:rPr>
        <w:footnoteReference w:id="8"/>
      </w:r>
      <w:r w:rsidRPr="00555B8D">
        <w:rPr>
          <w:color w:val="0D0D0D"/>
        </w:rPr>
        <w:t xml:space="preserve">, </w:t>
      </w:r>
      <w:proofErr w:type="spellStart"/>
      <w:r w:rsidRPr="00555B8D">
        <w:rPr>
          <w:i/>
          <w:iCs/>
          <w:color w:val="0D0D0D"/>
        </w:rPr>
        <w:t>Que</w:t>
      </w:r>
      <w:proofErr w:type="spellEnd"/>
      <w:r w:rsidRPr="00555B8D">
        <w:rPr>
          <w:i/>
          <w:iCs/>
          <w:color w:val="0D0D0D"/>
        </w:rPr>
        <w:t xml:space="preserve"> </w:t>
      </w:r>
      <w:proofErr w:type="spellStart"/>
      <w:r w:rsidRPr="00555B8D">
        <w:rPr>
          <w:i/>
          <w:iCs/>
          <w:color w:val="0D0D0D"/>
        </w:rPr>
        <w:t>Choisir</w:t>
      </w:r>
      <w:proofErr w:type="spellEnd"/>
      <w:r w:rsidRPr="00555B8D">
        <w:rPr>
          <w:rStyle w:val="FootnoteReference"/>
          <w:color w:val="0D0D0D"/>
          <w:szCs w:val="24"/>
        </w:rPr>
        <w:footnoteReference w:id="9"/>
      </w:r>
      <w:r w:rsidRPr="00555B8D">
        <w:rPr>
          <w:color w:val="0D0D0D"/>
        </w:rPr>
        <w:t xml:space="preserve">, </w:t>
      </w:r>
      <w:r w:rsidRPr="00555B8D">
        <w:rPr>
          <w:i/>
          <w:iCs/>
          <w:color w:val="0D0D0D"/>
        </w:rPr>
        <w:t xml:space="preserve">60 </w:t>
      </w:r>
      <w:proofErr w:type="spellStart"/>
      <w:r w:rsidRPr="00555B8D">
        <w:rPr>
          <w:i/>
          <w:iCs/>
          <w:color w:val="0D0D0D"/>
        </w:rPr>
        <w:t>Millions</w:t>
      </w:r>
      <w:proofErr w:type="spellEnd"/>
      <w:r w:rsidRPr="00555B8D">
        <w:rPr>
          <w:i/>
          <w:iCs/>
          <w:color w:val="0D0D0D"/>
        </w:rPr>
        <w:t xml:space="preserve"> </w:t>
      </w:r>
      <w:proofErr w:type="spellStart"/>
      <w:r w:rsidRPr="00555B8D">
        <w:rPr>
          <w:i/>
          <w:iCs/>
          <w:color w:val="0D0D0D"/>
        </w:rPr>
        <w:t>de</w:t>
      </w:r>
      <w:proofErr w:type="spellEnd"/>
      <w:r w:rsidRPr="00555B8D">
        <w:rPr>
          <w:i/>
          <w:iCs/>
          <w:color w:val="0D0D0D"/>
        </w:rPr>
        <w:t xml:space="preserve"> </w:t>
      </w:r>
      <w:proofErr w:type="spellStart"/>
      <w:r w:rsidRPr="00555B8D">
        <w:rPr>
          <w:i/>
          <w:iCs/>
          <w:color w:val="0D0D0D"/>
        </w:rPr>
        <w:t>consommateurs</w:t>
      </w:r>
      <w:proofErr w:type="spellEnd"/>
      <w:r w:rsidRPr="00555B8D">
        <w:rPr>
          <w:rStyle w:val="FootnoteReference"/>
          <w:color w:val="0D0D0D"/>
          <w:szCs w:val="24"/>
        </w:rPr>
        <w:footnoteReference w:id="10"/>
      </w:r>
      <w:r w:rsidRPr="00555B8D">
        <w:rPr>
          <w:color w:val="0D0D0D"/>
        </w:rPr>
        <w:t xml:space="preserve">, </w:t>
      </w:r>
      <w:r w:rsidRPr="00555B8D">
        <w:rPr>
          <w:i/>
          <w:iCs/>
          <w:color w:val="0D0D0D"/>
        </w:rPr>
        <w:t>AVICENN</w:t>
      </w:r>
      <w:r w:rsidRPr="00555B8D">
        <w:rPr>
          <w:rStyle w:val="FootnoteReference"/>
          <w:color w:val="0D0D0D"/>
          <w:szCs w:val="24"/>
        </w:rPr>
        <w:footnoteReference w:id="11"/>
      </w:r>
      <w:r w:rsidRPr="00555B8D">
        <w:rPr>
          <w:color w:val="0D0D0D"/>
        </w:rPr>
        <w:t xml:space="preserve"> Francijā, </w:t>
      </w:r>
      <w:proofErr w:type="spellStart"/>
      <w:r w:rsidRPr="00555B8D">
        <w:rPr>
          <w:i/>
          <w:iCs/>
          <w:color w:val="0D0D0D"/>
        </w:rPr>
        <w:t>Foodwatch</w:t>
      </w:r>
      <w:proofErr w:type="spellEnd"/>
      <w:r w:rsidRPr="00555B8D">
        <w:rPr>
          <w:rStyle w:val="FootnoteReference"/>
          <w:color w:val="0D0D0D"/>
          <w:szCs w:val="24"/>
        </w:rPr>
        <w:footnoteReference w:id="12"/>
      </w:r>
      <w:r w:rsidRPr="00555B8D">
        <w:rPr>
          <w:color w:val="0D0D0D"/>
        </w:rPr>
        <w:t xml:space="preserve"> un </w:t>
      </w:r>
      <w:proofErr w:type="spellStart"/>
      <w:r w:rsidRPr="00555B8D">
        <w:rPr>
          <w:i/>
          <w:iCs/>
          <w:color w:val="0D0D0D"/>
        </w:rPr>
        <w:t>Bund</w:t>
      </w:r>
      <w:proofErr w:type="spellEnd"/>
      <w:r w:rsidRPr="00555B8D">
        <w:rPr>
          <w:rStyle w:val="FootnoteReference"/>
          <w:color w:val="0D0D0D"/>
          <w:szCs w:val="24"/>
        </w:rPr>
        <w:footnoteReference w:id="13"/>
      </w:r>
      <w:r w:rsidRPr="00555B8D">
        <w:rPr>
          <w:color w:val="0D0D0D"/>
        </w:rPr>
        <w:t xml:space="preserve"> Vācijā, </w:t>
      </w:r>
      <w:proofErr w:type="spellStart"/>
      <w:r w:rsidRPr="00555B8D">
        <w:rPr>
          <w:i/>
          <w:iCs/>
          <w:color w:val="0D0D0D"/>
        </w:rPr>
        <w:t>TestAchats</w:t>
      </w:r>
      <w:proofErr w:type="spellEnd"/>
      <w:r w:rsidRPr="00555B8D">
        <w:rPr>
          <w:rStyle w:val="FootnoteReference"/>
          <w:color w:val="0D0D0D"/>
          <w:szCs w:val="24"/>
        </w:rPr>
        <w:footnoteReference w:id="14"/>
      </w:r>
      <w:r w:rsidRPr="00555B8D">
        <w:rPr>
          <w:color w:val="0D0D0D"/>
        </w:rPr>
        <w:t xml:space="preserve"> Beļģijā un </w:t>
      </w:r>
      <w:proofErr w:type="spellStart"/>
      <w:r w:rsidRPr="00555B8D">
        <w:rPr>
          <w:i/>
          <w:iCs/>
          <w:color w:val="0D0D0D"/>
        </w:rPr>
        <w:t>Altroconsumo</w:t>
      </w:r>
      <w:proofErr w:type="spellEnd"/>
      <w:r w:rsidRPr="00555B8D">
        <w:rPr>
          <w:rStyle w:val="FootnoteReference"/>
          <w:color w:val="0D0D0D"/>
          <w:szCs w:val="24"/>
        </w:rPr>
        <w:footnoteReference w:id="15"/>
      </w:r>
      <w:r w:rsidRPr="00555B8D">
        <w:rPr>
          <w:color w:val="0D0D0D"/>
        </w:rPr>
        <w:t xml:space="preserve"> Itālijā un </w:t>
      </w:r>
      <w:r w:rsidRPr="00555B8D">
        <w:rPr>
          <w:i/>
          <w:iCs/>
          <w:color w:val="0D0D0D"/>
        </w:rPr>
        <w:t>OCU</w:t>
      </w:r>
      <w:r w:rsidRPr="00555B8D">
        <w:rPr>
          <w:color w:val="0D0D0D"/>
        </w:rPr>
        <w:t xml:space="preserve"> Spānijā</w:t>
      </w:r>
      <w:r w:rsidRPr="00555B8D">
        <w:rPr>
          <w:rStyle w:val="FootnoteReference"/>
          <w:color w:val="0D0D0D"/>
          <w:szCs w:val="24"/>
        </w:rPr>
        <w:footnoteReference w:id="16"/>
      </w:r>
      <w:r w:rsidRPr="00555B8D">
        <w:rPr>
          <w:color w:val="0D0D0D"/>
        </w:rPr>
        <w:t xml:space="preserve">), </w:t>
      </w:r>
      <w:r w:rsidRPr="00555B8D">
        <w:t xml:space="preserve">vairākkārt ir parādījuši tādu pārtikas piedevu klātbūtni, kurās ir ievērojams </w:t>
      </w:r>
      <w:proofErr w:type="spellStart"/>
      <w:r w:rsidRPr="00555B8D">
        <w:t>nanodaļiņu</w:t>
      </w:r>
      <w:proofErr w:type="spellEnd"/>
      <w:r w:rsidRPr="00555B8D">
        <w:t xml:space="preserve"> īpatsvars, piemēram, pārtikas krāsviela dzelzs oksīds (E172), ko izmanto piena produktos, ceptās precēs un dažās brokastu pārslās, var saturēt </w:t>
      </w:r>
      <w:proofErr w:type="spellStart"/>
      <w:r w:rsidRPr="00555B8D">
        <w:t>nanodaļiņas</w:t>
      </w:r>
      <w:proofErr w:type="spellEnd"/>
      <w:r w:rsidRPr="00555B8D">
        <w:t xml:space="preserve"> zem 50 % sliekšņa;</w:t>
      </w:r>
      <w:r w:rsidRPr="00555B8D">
        <w:rPr>
          <w:color w:val="000000"/>
        </w:rPr>
        <w:t xml:space="preserve"> </w:t>
      </w:r>
      <w:r w:rsidRPr="00555B8D">
        <w:rPr>
          <w:color w:val="0D0D0D"/>
        </w:rPr>
        <w:t>tā kā tas liecina, ka dažas pārtikas sastāvdaļas nav pienācīgi marķētas kā “[</w:t>
      </w:r>
      <w:proofErr w:type="spellStart"/>
      <w:r w:rsidRPr="00555B8D">
        <w:rPr>
          <w:color w:val="0D0D0D"/>
        </w:rPr>
        <w:t>nano</w:t>
      </w:r>
      <w:proofErr w:type="spellEnd"/>
      <w:r w:rsidRPr="00555B8D">
        <w:rPr>
          <w:color w:val="0D0D0D"/>
        </w:rPr>
        <w:t>]” galvenokārt tāpēc, ka netiek īstenoti spēkā esošie tiesību akti, un ar interpretācijas jautājumiem tas ir saistīts daudz retāk;</w:t>
      </w:r>
    </w:p>
    <w:p w:rsidR="009840D8" w:rsidRPr="00555B8D" w:rsidRDefault="009840D8" w:rsidP="0060499A">
      <w:pPr>
        <w:spacing w:after="240"/>
        <w:ind w:left="567" w:hanging="567"/>
        <w:rPr>
          <w:color w:val="0D0D0D"/>
          <w:szCs w:val="24"/>
        </w:rPr>
      </w:pPr>
      <w:r w:rsidRPr="00555B8D">
        <w:rPr>
          <w:color w:val="0D0D0D"/>
        </w:rPr>
        <w:t>J.</w:t>
      </w:r>
      <w:r w:rsidRPr="00555B8D">
        <w:rPr>
          <w:color w:val="0D0D0D"/>
        </w:rPr>
        <w:tab/>
        <w:t xml:space="preserve">tā kā 2020. gada pētījums, ko pasūtīja Eiropas Ķimikāliju aģentūra, parādīja, ka iedzīvotāji pieprasa </w:t>
      </w:r>
      <w:proofErr w:type="spellStart"/>
      <w:r w:rsidRPr="00555B8D">
        <w:rPr>
          <w:color w:val="0D0D0D"/>
        </w:rPr>
        <w:t>nanomateriālus</w:t>
      </w:r>
      <w:proofErr w:type="spellEnd"/>
      <w:r w:rsidRPr="00555B8D">
        <w:rPr>
          <w:color w:val="0D0D0D"/>
        </w:rPr>
        <w:t xml:space="preserve"> saturošu ikdienas produktu labāku marķēšanu</w:t>
      </w:r>
      <w:r w:rsidRPr="00555B8D">
        <w:rPr>
          <w:rStyle w:val="FootnoteReference"/>
          <w:color w:val="0D0D0D"/>
          <w:szCs w:val="24"/>
        </w:rPr>
        <w:footnoteReference w:id="17"/>
      </w:r>
      <w:r w:rsidRPr="00555B8D">
        <w:rPr>
          <w:color w:val="0D0D0D"/>
        </w:rPr>
        <w:t>;</w:t>
      </w:r>
    </w:p>
    <w:p w:rsidR="009840D8" w:rsidRPr="00555B8D" w:rsidRDefault="009840D8" w:rsidP="0060499A">
      <w:pPr>
        <w:spacing w:after="240"/>
        <w:rPr>
          <w:i/>
          <w:szCs w:val="24"/>
        </w:rPr>
      </w:pPr>
      <w:r w:rsidRPr="00555B8D">
        <w:rPr>
          <w:i/>
        </w:rPr>
        <w:t>Pretrunas ar ieteikumiem un jauniem zinātnes sasniegumiem</w:t>
      </w:r>
    </w:p>
    <w:p w:rsidR="009840D8" w:rsidRPr="00555B8D" w:rsidRDefault="009840D8" w:rsidP="0060499A">
      <w:pPr>
        <w:spacing w:after="240"/>
        <w:ind w:left="567" w:hanging="567"/>
        <w:rPr>
          <w:szCs w:val="24"/>
        </w:rPr>
      </w:pPr>
      <w:r w:rsidRPr="00555B8D">
        <w:t xml:space="preserve">K. </w:t>
      </w:r>
      <w:r w:rsidRPr="00555B8D">
        <w:tab/>
        <w:t xml:space="preserve">tā kā Eiropas Parlaments 2014. gada 12. marta rezolūcijā par Komisijas 2013. gada 12. decembra deleģēto regulu, ar ko groza Eiropas Parlamenta un Padomes Regulu (ES) Nr. 1169/2011 par pārtikas produktu informācijas sniegšanu patērētājiem attiecībā uz termina “inženierijas ceļā iegūts </w:t>
      </w:r>
      <w:proofErr w:type="spellStart"/>
      <w:r w:rsidRPr="00555B8D">
        <w:t>nanomateriāls</w:t>
      </w:r>
      <w:proofErr w:type="spellEnd"/>
      <w:r w:rsidRPr="00555B8D">
        <w:t>” definīciju</w:t>
      </w:r>
      <w:r w:rsidRPr="00555B8D">
        <w:rPr>
          <w:rStyle w:val="FootnoteReference"/>
          <w:szCs w:val="24"/>
        </w:rPr>
        <w:footnoteReference w:id="18"/>
      </w:r>
      <w:r w:rsidRPr="00555B8D">
        <w:t>, iebilda pret ļoti līdzīgu definīciju ar tādu pašu 50 % robežvērtību, kas izslēdz visas pārtikas piedevas, uzskatot, ka definīcija ir “pretrunā direktīvas galvenajam mērķim –– panākt augsta līmeņa patērētāju veselības un interešu aizsardzību, nodrošinot pamatu, lai patērētāji izdarītu informētu izvēli”; tā kā Eiropas Parlaments aicināja Komisiju iesniegt jaunu deleģēto aktu, kurā būtu ņemta vērā tā nostāja;</w:t>
      </w:r>
    </w:p>
    <w:p w:rsidR="009840D8" w:rsidRPr="00555B8D" w:rsidRDefault="009840D8" w:rsidP="0060499A">
      <w:pPr>
        <w:spacing w:after="240"/>
        <w:ind w:left="567" w:hanging="567"/>
        <w:rPr>
          <w:szCs w:val="24"/>
        </w:rPr>
      </w:pPr>
      <w:r w:rsidRPr="00555B8D">
        <w:t xml:space="preserve">L. </w:t>
      </w:r>
      <w:r w:rsidRPr="00555B8D">
        <w:tab/>
        <w:t>tā kā 2020. gada 8. oktobra rezolūcijā par projektu Komisijas regulai, ar kuru attiecībā uz titāna dioksīda (E 171) specifikācijām groza pielikumu Regulai (ES) Nr. 231/2012, ar ko nosaka Eiropas Parlamenta un Padomes Regulas (EK) Nr. 1333/2008 II un III pielikumā uzskaitīto pārtikas piedevu specifikācijas</w:t>
      </w:r>
      <w:r w:rsidRPr="00555B8D">
        <w:rPr>
          <w:rStyle w:val="FootnoteReference"/>
          <w:szCs w:val="24"/>
        </w:rPr>
        <w:footnoteReference w:id="19"/>
      </w:r>
      <w:r w:rsidRPr="00555B8D">
        <w:t>, Eiropas Parlaments iebilda pret Komisijas regulas projektu, ar ko atļauj pārtikas kategorijas titāna dioksīda (E171) partijas, kurās ir mazāk nekā 50 % daļiņu, kas mazākas nekā100 </w:t>
      </w:r>
      <w:proofErr w:type="spellStart"/>
      <w:r w:rsidRPr="00555B8D">
        <w:t>nm</w:t>
      </w:r>
      <w:proofErr w:type="spellEnd"/>
      <w:r w:rsidRPr="00555B8D">
        <w:t>;</w:t>
      </w:r>
    </w:p>
    <w:p w:rsidR="009840D8" w:rsidRPr="00555B8D" w:rsidRDefault="009840D8" w:rsidP="0060499A">
      <w:pPr>
        <w:spacing w:after="240"/>
        <w:ind w:left="567" w:hanging="567"/>
        <w:rPr>
          <w:szCs w:val="24"/>
        </w:rPr>
      </w:pPr>
      <w:r w:rsidRPr="00555B8D">
        <w:t xml:space="preserve">M. </w:t>
      </w:r>
      <w:r w:rsidRPr="00555B8D">
        <w:tab/>
        <w:t>tā kā Eiropas Pārtikas nekaitīguma iestāde ieteica</w:t>
      </w:r>
      <w:r w:rsidRPr="00555B8D">
        <w:rPr>
          <w:rStyle w:val="FootnoteReference"/>
          <w:szCs w:val="24"/>
        </w:rPr>
        <w:footnoteReference w:id="20"/>
      </w:r>
      <w:r w:rsidRPr="00555B8D">
        <w:t xml:space="preserve">, ka, “ņemot vērā patlaban esošās neskaidrības attiecībā uz drošumu, ar pārtiku saistītajiem lietojumiem patlaban ieteikumā paredzētās robežvērtības (50 %) vietā ierosina noteikt </w:t>
      </w:r>
      <w:proofErr w:type="spellStart"/>
      <w:r w:rsidRPr="00555B8D">
        <w:t>nanodaļiņu</w:t>
      </w:r>
      <w:proofErr w:type="spellEnd"/>
      <w:r w:rsidRPr="00555B8D">
        <w:t xml:space="preserve"> skaita zemāku robežvērtību, t. i., 10 %”;</w:t>
      </w:r>
    </w:p>
    <w:p w:rsidR="009840D8" w:rsidRPr="00555B8D" w:rsidRDefault="009840D8" w:rsidP="0060499A">
      <w:pPr>
        <w:spacing w:after="240"/>
        <w:ind w:left="567" w:hanging="567"/>
        <w:rPr>
          <w:szCs w:val="24"/>
        </w:rPr>
      </w:pPr>
      <w:r w:rsidRPr="00555B8D">
        <w:t xml:space="preserve">N. </w:t>
      </w:r>
      <w:r w:rsidRPr="00555B8D">
        <w:tab/>
        <w:t>tā kā akadēmiskās organizācijas, publiskās iestādes, nevalstiskās patērētāju un vides organizācijas un arodbiedrības Komisijas apspriešanās procesā iestājās par definīciju, kas ietvertu visus materiālus neatkarīgi no tā, vai tie ir ražoti, nejauši vai dabiski, kā arī noteiktu minimālo robežvērtību 10 % vai vairāk daļiņu izmēru sadalījumā pēc skaita;</w:t>
      </w:r>
    </w:p>
    <w:p w:rsidR="009840D8" w:rsidRPr="00555B8D" w:rsidRDefault="009840D8" w:rsidP="0060499A">
      <w:pPr>
        <w:spacing w:after="240"/>
        <w:ind w:left="567" w:hanging="567"/>
        <w:rPr>
          <w:color w:val="0D0D0D"/>
          <w:szCs w:val="24"/>
        </w:rPr>
      </w:pPr>
      <w:r w:rsidRPr="00555B8D">
        <w:rPr>
          <w:color w:val="0D0D0D"/>
        </w:rPr>
        <w:t xml:space="preserve">O. </w:t>
      </w:r>
      <w:r w:rsidRPr="00555B8D">
        <w:rPr>
          <w:color w:val="0D0D0D"/>
        </w:rPr>
        <w:tab/>
        <w:t xml:space="preserve">tā kā kopš 2014. gada jauni zinātnes sasniegumi un zināšanas apstiprina, ka </w:t>
      </w:r>
      <w:proofErr w:type="spellStart"/>
      <w:r w:rsidRPr="00555B8D">
        <w:rPr>
          <w:color w:val="0D0D0D"/>
        </w:rPr>
        <w:t>nanomateriāli</w:t>
      </w:r>
      <w:proofErr w:type="spellEnd"/>
      <w:r w:rsidRPr="00555B8D">
        <w:rPr>
          <w:color w:val="0D0D0D"/>
        </w:rPr>
        <w:t xml:space="preserve"> var šķērsot fizioloģiskās barjeras un bieži vien ir bīstamāki nekā vielas mikro- vai makro- stāvoklī</w:t>
      </w:r>
      <w:r w:rsidRPr="00555B8D">
        <w:rPr>
          <w:rStyle w:val="FootnoteReference"/>
          <w:color w:val="0D0D0D"/>
          <w:szCs w:val="24"/>
        </w:rPr>
        <w:footnoteReference w:id="21"/>
      </w:r>
      <w:r w:rsidRPr="00555B8D">
        <w:rPr>
          <w:color w:val="0D0D0D"/>
        </w:rPr>
        <w:t>;</w:t>
      </w:r>
    </w:p>
    <w:p w:rsidR="009840D8" w:rsidRPr="00555B8D" w:rsidRDefault="009840D8" w:rsidP="0060499A">
      <w:pPr>
        <w:spacing w:after="240"/>
        <w:ind w:left="567" w:hanging="567"/>
        <w:rPr>
          <w:color w:val="0D0D0D"/>
          <w:szCs w:val="24"/>
        </w:rPr>
      </w:pPr>
      <w:r w:rsidRPr="00555B8D">
        <w:rPr>
          <w:color w:val="0D0D0D"/>
        </w:rPr>
        <w:t xml:space="preserve">P. </w:t>
      </w:r>
      <w:r w:rsidRPr="00555B8D">
        <w:rPr>
          <w:color w:val="0D0D0D"/>
        </w:rPr>
        <w:tab/>
        <w:t xml:space="preserve">tā kā </w:t>
      </w:r>
      <w:r w:rsidRPr="00555B8D">
        <w:rPr>
          <w:i/>
          <w:iCs/>
          <w:color w:val="0D0D0D"/>
        </w:rPr>
        <w:t>ANSES</w:t>
      </w:r>
      <w:r w:rsidRPr="00555B8D">
        <w:rPr>
          <w:color w:val="0D0D0D"/>
        </w:rPr>
        <w:t xml:space="preserve"> 2023. gada aprīlī publicēja detalizētu ziņojumu</w:t>
      </w:r>
      <w:r w:rsidRPr="00555B8D">
        <w:rPr>
          <w:rStyle w:val="FootnoteReference"/>
          <w:color w:val="0D0D0D"/>
          <w:szCs w:val="24"/>
        </w:rPr>
        <w:footnoteReference w:id="22"/>
      </w:r>
      <w:r w:rsidRPr="00555B8D">
        <w:rPr>
          <w:color w:val="0D0D0D"/>
        </w:rPr>
        <w:t xml:space="preserve">, kurā norāda, ka </w:t>
      </w:r>
      <w:proofErr w:type="spellStart"/>
      <w:r w:rsidRPr="00555B8D">
        <w:rPr>
          <w:color w:val="0D0D0D"/>
        </w:rPr>
        <w:t>nanomateriālu</w:t>
      </w:r>
      <w:proofErr w:type="spellEnd"/>
      <w:r w:rsidRPr="00555B8D">
        <w:rPr>
          <w:color w:val="0D0D0D"/>
        </w:rPr>
        <w:t xml:space="preserve"> definīcija, kas izklāstīta Komisijas 2022. gada 10. jūnija ieteikumā</w:t>
      </w:r>
      <w:r w:rsidRPr="00555B8D">
        <w:rPr>
          <w:rStyle w:val="FootnoteReference"/>
          <w:color w:val="0D0D0D"/>
          <w:szCs w:val="24"/>
        </w:rPr>
        <w:footnoteReference w:id="23"/>
      </w:r>
      <w:r w:rsidRPr="00555B8D">
        <w:rPr>
          <w:color w:val="0D0D0D"/>
        </w:rPr>
        <w:t xml:space="preserve"> un ir kalpojusi par pamatu Regulā (ES) 2015/2283 noteiktās termina “ar inženierijas paņēmieniem iegūts </w:t>
      </w:r>
      <w:proofErr w:type="spellStart"/>
      <w:r w:rsidRPr="00555B8D">
        <w:rPr>
          <w:color w:val="0D0D0D"/>
        </w:rPr>
        <w:t>nanomateriāls</w:t>
      </w:r>
      <w:proofErr w:type="spellEnd"/>
      <w:r w:rsidRPr="00555B8D">
        <w:rPr>
          <w:color w:val="0D0D0D"/>
        </w:rPr>
        <w:t xml:space="preserve">” definīcijas pārskatīšanai nozaru regulās, jo īpaši attiecībā uz pārtiku, kaitētu veselības un vides risku profilaksei; </w:t>
      </w:r>
      <w:r w:rsidRPr="00555B8D">
        <w:t xml:space="preserve">tā kā </w:t>
      </w:r>
      <w:r w:rsidRPr="00555B8D">
        <w:rPr>
          <w:i/>
          <w:iCs/>
        </w:rPr>
        <w:t>ANSES</w:t>
      </w:r>
      <w:r w:rsidRPr="00555B8D">
        <w:t xml:space="preserve"> uzsvēra, ka </w:t>
      </w:r>
      <w:proofErr w:type="spellStart"/>
      <w:r w:rsidRPr="00555B8D">
        <w:t>nanodaļiņu</w:t>
      </w:r>
      <w:proofErr w:type="spellEnd"/>
      <w:r w:rsidRPr="00555B8D">
        <w:t xml:space="preserve"> skaita slieksnis 50 % apmērā, kas iekļauts horizontālajā “[</w:t>
      </w:r>
      <w:proofErr w:type="spellStart"/>
      <w:r w:rsidRPr="00555B8D">
        <w:t>nano</w:t>
      </w:r>
      <w:proofErr w:type="spellEnd"/>
      <w:r w:rsidRPr="00555B8D">
        <w:t>]” definīcijā, “nebalstās uz pamatotiem zinātniskiem argumentiem”, un ieteica šai robežvērtībai noteikt zemāku vērtību;</w:t>
      </w:r>
    </w:p>
    <w:p w:rsidR="009840D8" w:rsidRPr="00555B8D" w:rsidRDefault="009840D8" w:rsidP="0060499A">
      <w:pPr>
        <w:spacing w:after="240"/>
        <w:ind w:left="567" w:hanging="567"/>
        <w:rPr>
          <w:color w:val="0D0D0D"/>
          <w:szCs w:val="24"/>
        </w:rPr>
      </w:pPr>
      <w:r w:rsidRPr="00555B8D">
        <w:rPr>
          <w:color w:val="0D0D0D"/>
        </w:rPr>
        <w:t xml:space="preserve">Q. </w:t>
      </w:r>
      <w:r w:rsidRPr="00555B8D">
        <w:rPr>
          <w:color w:val="0D0D0D"/>
        </w:rPr>
        <w:tab/>
        <w:t xml:space="preserve">tā kā pārtikas </w:t>
      </w:r>
      <w:proofErr w:type="spellStart"/>
      <w:r w:rsidRPr="00555B8D">
        <w:rPr>
          <w:color w:val="0D0D0D"/>
        </w:rPr>
        <w:t>nanosastāvdaļas</w:t>
      </w:r>
      <w:proofErr w:type="spellEnd"/>
      <w:r w:rsidRPr="00555B8D">
        <w:rPr>
          <w:color w:val="0D0D0D"/>
        </w:rPr>
        <w:t xml:space="preserve"> ir iespējams noteikt, pamatojoties uz 10 % </w:t>
      </w:r>
      <w:proofErr w:type="spellStart"/>
      <w:r w:rsidRPr="00555B8D">
        <w:rPr>
          <w:color w:val="0D0D0D"/>
        </w:rPr>
        <w:t>nanodaļiņu</w:t>
      </w:r>
      <w:proofErr w:type="spellEnd"/>
      <w:r w:rsidRPr="00555B8D">
        <w:rPr>
          <w:color w:val="0D0D0D"/>
        </w:rPr>
        <w:t xml:space="preserve"> skaita robežvērtību, jo tā ir robežvērtība, ko pašlaik kontroles darbībās piemēro Francijas Patērētāju lietu, konkurences un krāpšanas apkarošanas ģenerāldirektorāts</w:t>
      </w:r>
      <w:r w:rsidRPr="00555B8D">
        <w:rPr>
          <w:rStyle w:val="FootnoteReference"/>
          <w:color w:val="0D0D0D"/>
          <w:szCs w:val="24"/>
        </w:rPr>
        <w:footnoteReference w:id="24"/>
      </w:r>
      <w:r w:rsidRPr="00555B8D">
        <w:rPr>
          <w:color w:val="0D0D0D"/>
        </w:rPr>
        <w:t>;</w:t>
      </w:r>
    </w:p>
    <w:p w:rsidR="009840D8" w:rsidRPr="00555B8D" w:rsidRDefault="009840D8" w:rsidP="0060499A">
      <w:pPr>
        <w:spacing w:after="240"/>
        <w:rPr>
          <w:i/>
          <w:color w:val="0D0D0D"/>
          <w:szCs w:val="24"/>
        </w:rPr>
      </w:pPr>
      <w:r w:rsidRPr="00555B8D">
        <w:rPr>
          <w:i/>
          <w:color w:val="0D0D0D"/>
        </w:rPr>
        <w:t>Piesardzības princips</w:t>
      </w:r>
    </w:p>
    <w:p w:rsidR="009840D8" w:rsidRPr="00555B8D" w:rsidRDefault="009840D8" w:rsidP="0060499A">
      <w:pPr>
        <w:spacing w:after="240"/>
        <w:ind w:left="567" w:hanging="567"/>
        <w:rPr>
          <w:color w:val="0D0D0D"/>
          <w:szCs w:val="24"/>
        </w:rPr>
      </w:pPr>
      <w:r w:rsidRPr="00555B8D">
        <w:rPr>
          <w:color w:val="0D0D0D"/>
        </w:rPr>
        <w:t>R.</w:t>
      </w:r>
      <w:r w:rsidRPr="00555B8D">
        <w:rPr>
          <w:color w:val="0D0D0D"/>
        </w:rPr>
        <w:tab/>
        <w:t>tā kā LESD 191. panta 2. punktā ir noteikts, ka piesardzības princips ir viens no Savienības pamatprincipiem;</w:t>
      </w:r>
    </w:p>
    <w:p w:rsidR="009840D8" w:rsidRPr="00555B8D" w:rsidRDefault="009840D8" w:rsidP="0060499A">
      <w:pPr>
        <w:spacing w:after="240"/>
        <w:ind w:left="567" w:hanging="567"/>
        <w:rPr>
          <w:szCs w:val="24"/>
        </w:rPr>
      </w:pPr>
      <w:r w:rsidRPr="00555B8D">
        <w:t xml:space="preserve">S. </w:t>
      </w:r>
      <w:r w:rsidRPr="00555B8D">
        <w:tab/>
        <w:t>tā kā LESD 168. panta 1. punktā ir norādīts: “nosakot un īstenojot visu Savienības politiku un darbī</w:t>
      </w:r>
      <w:bookmarkStart w:id="6" w:name="_GoBack"/>
      <w:bookmarkEnd w:id="6"/>
      <w:r w:rsidRPr="00555B8D">
        <w:t>bas, ir jānodrošina augsts cilvēku veselības aizsardzības līmenis”;</w:t>
      </w:r>
    </w:p>
    <w:p w:rsidR="009840D8" w:rsidRPr="00555B8D" w:rsidRDefault="009840D8" w:rsidP="0060499A">
      <w:pPr>
        <w:pStyle w:val="NormalHanging12a"/>
        <w:rPr>
          <w:szCs w:val="24"/>
        </w:rPr>
      </w:pPr>
      <w:r w:rsidRPr="00555B8D">
        <w:t>1.</w:t>
      </w:r>
      <w:r w:rsidRPr="00555B8D">
        <w:tab/>
        <w:t>izsaka iebildumus pret Komisijas deleģēto regulu;</w:t>
      </w:r>
    </w:p>
    <w:p w:rsidR="009840D8" w:rsidRPr="00555B8D" w:rsidRDefault="009840D8" w:rsidP="0060499A">
      <w:pPr>
        <w:pStyle w:val="NormalHanging12a"/>
        <w:rPr>
          <w:szCs w:val="24"/>
        </w:rPr>
      </w:pPr>
      <w:r w:rsidRPr="00555B8D">
        <w:t>2.</w:t>
      </w:r>
      <w:r w:rsidRPr="00555B8D">
        <w:tab/>
        <w:t xml:space="preserve">uzdod priekšsēdētājai šo rezolūciju nosūtīt Komisijai un paziņot, ka deleģētā regula nevar stāties spēkā; </w:t>
      </w:r>
    </w:p>
    <w:p w:rsidR="009840D8" w:rsidRPr="00555B8D" w:rsidRDefault="009840D8" w:rsidP="0060499A">
      <w:pPr>
        <w:spacing w:after="240"/>
        <w:ind w:left="567" w:hanging="567"/>
        <w:rPr>
          <w:szCs w:val="24"/>
        </w:rPr>
      </w:pPr>
      <w:r w:rsidRPr="00555B8D">
        <w:t xml:space="preserve">3. </w:t>
      </w:r>
      <w:r w:rsidRPr="00555B8D">
        <w:tab/>
        <w:t>uzskata, ka Komisijas deleģēt</w:t>
      </w:r>
      <w:r w:rsidR="00940D05">
        <w:t>ā regula neatbilst Regulas (ES)</w:t>
      </w:r>
      <w:r w:rsidRPr="00555B8D">
        <w:t> 2015/2283 mērķim un saturam un ka tā pārsniedz Komisijai saskaņā ar minētās regulas 31. pantu deleģētās pilnvaras;</w:t>
      </w:r>
    </w:p>
    <w:p w:rsidR="009840D8" w:rsidRPr="00555B8D" w:rsidRDefault="009840D8" w:rsidP="0060499A">
      <w:pPr>
        <w:spacing w:after="240"/>
        <w:ind w:left="567" w:hanging="567"/>
        <w:rPr>
          <w:szCs w:val="24"/>
        </w:rPr>
      </w:pPr>
      <w:r w:rsidRPr="00555B8D">
        <w:t xml:space="preserve">4. </w:t>
      </w:r>
      <w:r w:rsidRPr="00555B8D">
        <w:tab/>
        <w:t>pauž nožēlu par to, ka ierosinātajā 50 % robežvērtībā nav ņemts vērā tehniskais un zinātniskais progress;</w:t>
      </w:r>
    </w:p>
    <w:p w:rsidR="009840D8" w:rsidRPr="00555B8D" w:rsidRDefault="009840D8" w:rsidP="0060499A">
      <w:pPr>
        <w:pStyle w:val="NormalHanging12a"/>
        <w:rPr>
          <w:szCs w:val="24"/>
        </w:rPr>
      </w:pPr>
      <w:r w:rsidRPr="00555B8D">
        <w:t xml:space="preserve">5. </w:t>
      </w:r>
      <w:r w:rsidRPr="00555B8D">
        <w:tab/>
        <w:t>aicina Komisiju piemērot piesardzības principu, nodrošināt patērētāju drošību un informāciju un ņemt vērā pieeju “Viena veselība”;</w:t>
      </w:r>
    </w:p>
    <w:p w:rsidR="009840D8" w:rsidRPr="00555B8D" w:rsidRDefault="009840D8" w:rsidP="0060499A">
      <w:pPr>
        <w:pStyle w:val="NormalHanging12a"/>
        <w:rPr>
          <w:szCs w:val="24"/>
        </w:rPr>
      </w:pPr>
      <w:r w:rsidRPr="00555B8D">
        <w:t>6.</w:t>
      </w:r>
      <w:r w:rsidRPr="00555B8D">
        <w:tab/>
        <w:t>uzdod priekšsēdētājai šo rezolūciju nosūtīt Padomei, kā arī dalībvalstu valdībām un parlamentiem.</w:t>
      </w:r>
    </w:p>
    <w:p w:rsidR="00E365E1" w:rsidRPr="00555B8D" w:rsidRDefault="00E365E1" w:rsidP="0060499A"/>
    <w:sectPr w:rsidR="00E365E1" w:rsidRPr="00555B8D" w:rsidSect="003556D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4E8E" w:rsidRPr="003556DF" w:rsidRDefault="004C4E8E">
      <w:r w:rsidRPr="003556DF">
        <w:separator/>
      </w:r>
    </w:p>
  </w:endnote>
  <w:endnote w:type="continuationSeparator" w:id="0">
    <w:p w:rsidR="004C4E8E" w:rsidRPr="003556DF" w:rsidRDefault="004C4E8E">
      <w:r w:rsidRPr="003556D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556D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556D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556D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4E8E" w:rsidRPr="003556DF" w:rsidRDefault="004C4E8E">
      <w:r w:rsidRPr="003556DF">
        <w:separator/>
      </w:r>
    </w:p>
  </w:footnote>
  <w:footnote w:type="continuationSeparator" w:id="0">
    <w:p w:rsidR="004C4E8E" w:rsidRPr="003556DF" w:rsidRDefault="004C4E8E">
      <w:r w:rsidRPr="003556DF">
        <w:continuationSeparator/>
      </w:r>
    </w:p>
  </w:footnote>
  <w:footnote w:id="1">
    <w:p w:rsidR="009840D8" w:rsidRPr="003556DF" w:rsidRDefault="009840D8" w:rsidP="003556DF">
      <w:pPr>
        <w:pStyle w:val="FootnoteText"/>
        <w:ind w:left="567" w:hanging="567"/>
        <w:rPr>
          <w:sz w:val="24"/>
          <w:lang w:val="lv-LV"/>
        </w:rPr>
      </w:pPr>
      <w:r w:rsidRPr="003556DF">
        <w:rPr>
          <w:rStyle w:val="FootnoteReference"/>
          <w:sz w:val="24"/>
          <w:lang w:val="lv-LV"/>
        </w:rPr>
        <w:footnoteRef/>
      </w:r>
      <w:r w:rsidR="003556DF" w:rsidRPr="003556DF">
        <w:rPr>
          <w:sz w:val="24"/>
          <w:lang w:val="lv-LV"/>
        </w:rPr>
        <w:t xml:space="preserve"> </w:t>
      </w:r>
      <w:r w:rsidR="003556DF" w:rsidRPr="003556DF">
        <w:rPr>
          <w:sz w:val="24"/>
          <w:lang w:val="lv-LV"/>
        </w:rPr>
        <w:tab/>
      </w:r>
      <w:r w:rsidRPr="003556DF">
        <w:rPr>
          <w:sz w:val="24"/>
          <w:lang w:val="lv-LV"/>
        </w:rPr>
        <w:t xml:space="preserve">OV L 327, 11.12.2015., 1. lpp. </w:t>
      </w:r>
    </w:p>
  </w:footnote>
  <w:footnote w:id="2">
    <w:p w:rsidR="009840D8" w:rsidRPr="003556DF" w:rsidRDefault="009840D8" w:rsidP="003556DF">
      <w:pPr>
        <w:pStyle w:val="FootnoteText"/>
        <w:ind w:left="567" w:hanging="567"/>
        <w:rPr>
          <w:sz w:val="24"/>
          <w:lang w:val="lv-LV"/>
        </w:rPr>
      </w:pPr>
      <w:r w:rsidRPr="003556DF">
        <w:rPr>
          <w:rStyle w:val="FootnoteReference"/>
          <w:sz w:val="24"/>
          <w:lang w:val="lv-LV"/>
        </w:rPr>
        <w:footnoteRef/>
      </w:r>
      <w:r w:rsidR="003556DF" w:rsidRPr="003556DF">
        <w:rPr>
          <w:sz w:val="24"/>
          <w:lang w:val="lv-LV"/>
        </w:rPr>
        <w:t xml:space="preserve"> </w:t>
      </w:r>
      <w:r w:rsidR="003556DF" w:rsidRPr="003556DF">
        <w:rPr>
          <w:sz w:val="24"/>
          <w:lang w:val="lv-LV"/>
        </w:rPr>
        <w:tab/>
      </w:r>
      <w:r w:rsidRPr="003556DF">
        <w:rPr>
          <w:sz w:val="24"/>
          <w:lang w:val="lv-LV"/>
        </w:rPr>
        <w:t>OV L 304, 22.11.2011., 18. lpp.</w:t>
      </w:r>
    </w:p>
  </w:footnote>
  <w:footnote w:id="3">
    <w:p w:rsidR="009840D8" w:rsidRPr="003556DF" w:rsidRDefault="009840D8" w:rsidP="003556DF">
      <w:pPr>
        <w:pStyle w:val="FootnoteText"/>
        <w:ind w:left="567" w:hanging="567"/>
        <w:rPr>
          <w:sz w:val="24"/>
          <w:lang w:val="lv-LV"/>
        </w:rPr>
      </w:pPr>
      <w:r w:rsidRPr="003556DF">
        <w:rPr>
          <w:rStyle w:val="FootnoteReference"/>
          <w:sz w:val="24"/>
          <w:lang w:val="lv-LV"/>
        </w:rPr>
        <w:footnoteRef/>
      </w:r>
      <w:r w:rsidR="003556DF" w:rsidRPr="003556DF">
        <w:rPr>
          <w:sz w:val="24"/>
          <w:lang w:val="lv-LV"/>
        </w:rPr>
        <w:t xml:space="preserve"> </w:t>
      </w:r>
      <w:r w:rsidR="003556DF" w:rsidRPr="003556DF">
        <w:rPr>
          <w:sz w:val="24"/>
          <w:lang w:val="lv-LV"/>
        </w:rPr>
        <w:tab/>
      </w:r>
      <w:r w:rsidRPr="003556DF">
        <w:rPr>
          <w:sz w:val="24"/>
          <w:lang w:val="lv-LV"/>
        </w:rPr>
        <w:t>OV L 354, 31.12.2008., 16. lpp.</w:t>
      </w:r>
    </w:p>
  </w:footnote>
  <w:footnote w:id="4">
    <w:p w:rsidR="009840D8" w:rsidRPr="003556DF" w:rsidRDefault="009840D8" w:rsidP="003556DF">
      <w:pPr>
        <w:pStyle w:val="FootnoteText"/>
        <w:ind w:left="567" w:hanging="567"/>
        <w:rPr>
          <w:sz w:val="24"/>
          <w:lang w:val="lv-LV"/>
        </w:rPr>
      </w:pPr>
      <w:r w:rsidRPr="003556DF">
        <w:rPr>
          <w:rStyle w:val="FootnoteReference"/>
          <w:sz w:val="24"/>
          <w:lang w:val="lv-LV"/>
        </w:rPr>
        <w:footnoteRef/>
      </w:r>
      <w:r w:rsidR="003556DF" w:rsidRPr="003556DF">
        <w:rPr>
          <w:sz w:val="24"/>
          <w:lang w:val="lv-LV"/>
        </w:rPr>
        <w:t xml:space="preserve"> </w:t>
      </w:r>
      <w:r w:rsidR="003556DF" w:rsidRPr="003556DF">
        <w:rPr>
          <w:sz w:val="24"/>
          <w:lang w:val="lv-LV"/>
        </w:rPr>
        <w:tab/>
      </w:r>
      <w:r w:rsidRPr="003556DF">
        <w:rPr>
          <w:sz w:val="24"/>
          <w:lang w:val="lv-LV"/>
        </w:rPr>
        <w:t>OV L 295, 12.11.2011., 1. lpp.</w:t>
      </w:r>
    </w:p>
  </w:footnote>
  <w:footnote w:id="5">
    <w:p w:rsidR="009840D8" w:rsidRPr="003556DF" w:rsidRDefault="009840D8" w:rsidP="003556DF">
      <w:pPr>
        <w:pStyle w:val="FootnoteText"/>
        <w:ind w:left="567" w:hanging="567"/>
        <w:rPr>
          <w:sz w:val="24"/>
          <w:lang w:val="lv-LV"/>
        </w:rPr>
      </w:pPr>
      <w:r w:rsidRPr="003556DF">
        <w:rPr>
          <w:rStyle w:val="FootnoteReference"/>
          <w:sz w:val="24"/>
          <w:lang w:val="lv-LV"/>
        </w:rPr>
        <w:footnoteRef/>
      </w:r>
      <w:r w:rsidR="003556DF" w:rsidRPr="003556DF">
        <w:rPr>
          <w:sz w:val="24"/>
          <w:lang w:val="lv-LV"/>
        </w:rPr>
        <w:t xml:space="preserve"> </w:t>
      </w:r>
      <w:r w:rsidR="003556DF" w:rsidRPr="003556DF">
        <w:rPr>
          <w:sz w:val="24"/>
          <w:lang w:val="lv-LV"/>
        </w:rPr>
        <w:tab/>
      </w:r>
      <w:r w:rsidRPr="003556DF">
        <w:rPr>
          <w:sz w:val="24"/>
          <w:lang w:val="lv-LV"/>
        </w:rPr>
        <w:t>OV L 295, 12.11.2011., 178. lpp.</w:t>
      </w:r>
    </w:p>
  </w:footnote>
  <w:footnote w:id="6">
    <w:p w:rsidR="009840D8" w:rsidRPr="003556DF" w:rsidRDefault="009840D8" w:rsidP="003556DF">
      <w:pPr>
        <w:pStyle w:val="FootnoteText"/>
        <w:ind w:left="567" w:hanging="567"/>
        <w:rPr>
          <w:sz w:val="24"/>
          <w:lang w:val="lv-LV"/>
        </w:rPr>
      </w:pPr>
      <w:r w:rsidRPr="003556DF">
        <w:rPr>
          <w:rStyle w:val="FootnoteReference"/>
          <w:sz w:val="24"/>
          <w:lang w:val="lv-LV"/>
        </w:rPr>
        <w:footnoteRef/>
      </w:r>
      <w:r w:rsidR="003556DF" w:rsidRPr="003556DF">
        <w:rPr>
          <w:sz w:val="24"/>
          <w:lang w:val="lv-LV"/>
        </w:rPr>
        <w:t xml:space="preserve"> </w:t>
      </w:r>
      <w:r w:rsidR="003556DF" w:rsidRPr="003556DF">
        <w:rPr>
          <w:sz w:val="24"/>
          <w:lang w:val="lv-LV"/>
        </w:rPr>
        <w:tab/>
      </w:r>
      <w:r w:rsidRPr="003556DF">
        <w:rPr>
          <w:sz w:val="24"/>
          <w:lang w:val="lv-LV"/>
        </w:rPr>
        <w:t>OV L 80, 26.3.2010., 19. lpp.</w:t>
      </w:r>
    </w:p>
  </w:footnote>
  <w:footnote w:id="7">
    <w:p w:rsidR="009840D8" w:rsidRPr="003556DF" w:rsidRDefault="009840D8" w:rsidP="003556DF">
      <w:pPr>
        <w:pStyle w:val="FootnoteText"/>
        <w:ind w:left="567" w:hanging="567"/>
        <w:rPr>
          <w:sz w:val="24"/>
          <w:szCs w:val="24"/>
          <w:lang w:val="lv-LV"/>
        </w:rPr>
      </w:pPr>
      <w:r w:rsidRPr="003556DF">
        <w:rPr>
          <w:rStyle w:val="FootnoteReference"/>
          <w:sz w:val="24"/>
          <w:szCs w:val="24"/>
          <w:lang w:val="lv-LV"/>
        </w:rPr>
        <w:footnoteRef/>
      </w:r>
      <w:r w:rsidR="003556DF" w:rsidRPr="003556DF">
        <w:rPr>
          <w:sz w:val="24"/>
          <w:lang w:val="lv-LV"/>
        </w:rPr>
        <w:t xml:space="preserve"> </w:t>
      </w:r>
      <w:r w:rsidR="003556DF" w:rsidRPr="003556DF">
        <w:rPr>
          <w:sz w:val="24"/>
          <w:lang w:val="lv-LV"/>
        </w:rPr>
        <w:tab/>
      </w:r>
      <w:hyperlink r:id="rId1" w:history="1">
        <w:r w:rsidRPr="003556DF">
          <w:rPr>
            <w:rStyle w:val="Hyperlink"/>
            <w:color w:val="1155CC"/>
            <w:sz w:val="24"/>
            <w:lang w:val="lv-LV"/>
          </w:rPr>
          <w:t>https://www.anses.fr/fr/nanomateriaux-alimentation-premiere-application-methodologie</w:t>
        </w:r>
      </w:hyperlink>
      <w:r w:rsidRPr="003556DF">
        <w:rPr>
          <w:rStyle w:val="Hyperlink"/>
          <w:color w:val="1155CC"/>
          <w:sz w:val="24"/>
          <w:lang w:val="lv-LV"/>
        </w:rPr>
        <w:t>.</w:t>
      </w:r>
      <w:r w:rsidRPr="003556DF">
        <w:rPr>
          <w:color w:val="1155CC"/>
          <w:sz w:val="24"/>
          <w:u w:val="single"/>
          <w:lang w:val="lv-LV"/>
        </w:rPr>
        <w:t xml:space="preserve"> </w:t>
      </w:r>
    </w:p>
  </w:footnote>
  <w:footnote w:id="8">
    <w:p w:rsidR="009840D8" w:rsidRPr="003556DF" w:rsidRDefault="009840D8" w:rsidP="003556DF">
      <w:pPr>
        <w:pStyle w:val="FootnoteText"/>
        <w:ind w:left="567" w:hanging="567"/>
        <w:rPr>
          <w:sz w:val="24"/>
          <w:szCs w:val="24"/>
          <w:lang w:val="lv-LV"/>
        </w:rPr>
      </w:pPr>
      <w:r w:rsidRPr="003556DF">
        <w:rPr>
          <w:rStyle w:val="FootnoteReference"/>
          <w:sz w:val="24"/>
          <w:szCs w:val="24"/>
          <w:lang w:val="lv-LV"/>
        </w:rPr>
        <w:footnoteRef/>
      </w:r>
      <w:r w:rsidR="003556DF" w:rsidRPr="003556DF">
        <w:rPr>
          <w:sz w:val="24"/>
          <w:lang w:val="lv-LV"/>
        </w:rPr>
        <w:t xml:space="preserve"> </w:t>
      </w:r>
      <w:r w:rsidR="003556DF" w:rsidRPr="003556DF">
        <w:rPr>
          <w:sz w:val="24"/>
          <w:lang w:val="lv-LV"/>
        </w:rPr>
        <w:tab/>
      </w:r>
      <w:hyperlink r:id="rId2" w:history="1">
        <w:r w:rsidRPr="003556DF">
          <w:rPr>
            <w:rStyle w:val="Hyperlink"/>
            <w:sz w:val="24"/>
            <w:lang w:val="lv-LV"/>
          </w:rPr>
          <w:t>https://www.agirpourlenvironnement.org/communiques-presse/enquete-exclusive-des-analyses-revelent-la-presence-de-nanoparticules-dans-3980/</w:t>
        </w:r>
      </w:hyperlink>
      <w:r w:rsidRPr="003556DF">
        <w:rPr>
          <w:rStyle w:val="Hyperlink"/>
          <w:sz w:val="24"/>
          <w:lang w:val="lv-LV"/>
        </w:rPr>
        <w:t>.</w:t>
      </w:r>
    </w:p>
  </w:footnote>
  <w:footnote w:id="9">
    <w:p w:rsidR="009840D8" w:rsidRPr="003556DF" w:rsidRDefault="009840D8" w:rsidP="003556DF">
      <w:pPr>
        <w:pStyle w:val="FootnoteText"/>
        <w:ind w:left="567" w:hanging="567"/>
        <w:rPr>
          <w:sz w:val="24"/>
          <w:szCs w:val="24"/>
          <w:lang w:val="lv-LV"/>
        </w:rPr>
      </w:pPr>
      <w:r w:rsidRPr="003556DF">
        <w:rPr>
          <w:rStyle w:val="FootnoteReference"/>
          <w:sz w:val="24"/>
          <w:szCs w:val="24"/>
          <w:lang w:val="lv-LV"/>
        </w:rPr>
        <w:footnoteRef/>
      </w:r>
      <w:r w:rsidR="003556DF" w:rsidRPr="003556DF">
        <w:rPr>
          <w:sz w:val="24"/>
          <w:lang w:val="lv-LV"/>
        </w:rPr>
        <w:t xml:space="preserve"> </w:t>
      </w:r>
      <w:r w:rsidR="003556DF" w:rsidRPr="003556DF">
        <w:rPr>
          <w:sz w:val="24"/>
          <w:lang w:val="lv-LV"/>
        </w:rPr>
        <w:tab/>
      </w:r>
      <w:hyperlink r:id="rId3" w:history="1">
        <w:r w:rsidRPr="003556DF">
          <w:rPr>
            <w:rStyle w:val="Hyperlink"/>
            <w:color w:val="1155CC"/>
            <w:sz w:val="24"/>
            <w:lang w:val="lv-LV"/>
          </w:rPr>
          <w:t>https://www.quechoisir.org/enquete-nanoparticules-taille-mini-doutes-maxi-n50748/</w:t>
        </w:r>
      </w:hyperlink>
      <w:r w:rsidRPr="003556DF">
        <w:rPr>
          <w:rStyle w:val="Hyperlink"/>
          <w:color w:val="1155CC"/>
          <w:sz w:val="24"/>
          <w:lang w:val="lv-LV"/>
        </w:rPr>
        <w:t>.</w:t>
      </w:r>
      <w:r w:rsidRPr="003556DF">
        <w:rPr>
          <w:color w:val="1155CC"/>
          <w:sz w:val="24"/>
          <w:u w:val="single"/>
          <w:lang w:val="lv-LV"/>
        </w:rPr>
        <w:t xml:space="preserve"> </w:t>
      </w:r>
    </w:p>
  </w:footnote>
  <w:footnote w:id="10">
    <w:p w:rsidR="009840D8" w:rsidRPr="003556DF" w:rsidRDefault="009840D8" w:rsidP="003556DF">
      <w:pPr>
        <w:pStyle w:val="FootnoteText"/>
        <w:ind w:left="567" w:hanging="567"/>
        <w:rPr>
          <w:sz w:val="24"/>
          <w:szCs w:val="24"/>
          <w:lang w:val="lv-LV"/>
        </w:rPr>
      </w:pPr>
      <w:r w:rsidRPr="003556DF">
        <w:rPr>
          <w:rStyle w:val="FootnoteReference"/>
          <w:sz w:val="24"/>
          <w:szCs w:val="24"/>
          <w:lang w:val="lv-LV"/>
        </w:rPr>
        <w:footnoteRef/>
      </w:r>
      <w:r w:rsidR="003556DF" w:rsidRPr="003556DF">
        <w:rPr>
          <w:sz w:val="24"/>
          <w:lang w:val="lv-LV"/>
        </w:rPr>
        <w:t xml:space="preserve"> </w:t>
      </w:r>
      <w:r w:rsidR="003556DF" w:rsidRPr="003556DF">
        <w:rPr>
          <w:sz w:val="24"/>
          <w:lang w:val="lv-LV"/>
        </w:rPr>
        <w:tab/>
      </w:r>
      <w:hyperlink r:id="rId4" w:history="1">
        <w:r w:rsidRPr="003556DF">
          <w:rPr>
            <w:rStyle w:val="Hyperlink"/>
            <w:color w:val="1155CC"/>
            <w:sz w:val="24"/>
            <w:lang w:val="lv-LV"/>
          </w:rPr>
          <w:t>https://bibliotheque.60millions-mag.com/detail/publication/detail-top-right/561?issue_id=113421&amp;switch_toc=archive</w:t>
        </w:r>
      </w:hyperlink>
      <w:r w:rsidRPr="003556DF">
        <w:rPr>
          <w:rStyle w:val="Hyperlink"/>
          <w:color w:val="1155CC"/>
          <w:sz w:val="24"/>
          <w:lang w:val="lv-LV"/>
        </w:rPr>
        <w:t>.</w:t>
      </w:r>
    </w:p>
  </w:footnote>
  <w:footnote w:id="11">
    <w:p w:rsidR="009840D8" w:rsidRPr="003556DF" w:rsidRDefault="009840D8" w:rsidP="003556DF">
      <w:pPr>
        <w:pStyle w:val="FootnoteText"/>
        <w:ind w:left="567" w:hanging="567"/>
        <w:rPr>
          <w:sz w:val="24"/>
          <w:szCs w:val="24"/>
          <w:lang w:val="lv-LV"/>
        </w:rPr>
      </w:pPr>
      <w:r w:rsidRPr="003556DF">
        <w:rPr>
          <w:rStyle w:val="FootnoteReference"/>
          <w:sz w:val="24"/>
          <w:szCs w:val="24"/>
          <w:lang w:val="lv-LV"/>
        </w:rPr>
        <w:footnoteRef/>
      </w:r>
      <w:r w:rsidR="003556DF" w:rsidRPr="003556DF">
        <w:rPr>
          <w:sz w:val="24"/>
          <w:lang w:val="lv-LV"/>
        </w:rPr>
        <w:t xml:space="preserve"> </w:t>
      </w:r>
      <w:r w:rsidR="003556DF" w:rsidRPr="003556DF">
        <w:rPr>
          <w:sz w:val="24"/>
          <w:lang w:val="lv-LV"/>
        </w:rPr>
        <w:tab/>
      </w:r>
      <w:hyperlink r:id="rId5" w:history="1">
        <w:r w:rsidRPr="003556DF">
          <w:rPr>
            <w:rStyle w:val="Hyperlink"/>
            <w:color w:val="1155CC"/>
            <w:sz w:val="24"/>
            <w:lang w:val="lv-LV"/>
          </w:rPr>
          <w:t>https://veillenanos.fr/wp-content/uploads/2023/01/Rapport-test-EN-20230113.pdf</w:t>
        </w:r>
      </w:hyperlink>
      <w:r w:rsidRPr="003556DF">
        <w:rPr>
          <w:rStyle w:val="Hyperlink"/>
          <w:color w:val="1155CC"/>
          <w:sz w:val="24"/>
          <w:lang w:val="lv-LV"/>
        </w:rPr>
        <w:t>.</w:t>
      </w:r>
    </w:p>
  </w:footnote>
  <w:footnote w:id="12">
    <w:p w:rsidR="009840D8" w:rsidRPr="003556DF" w:rsidRDefault="009840D8" w:rsidP="003556DF">
      <w:pPr>
        <w:pStyle w:val="FootnoteText"/>
        <w:ind w:left="567" w:hanging="567"/>
        <w:rPr>
          <w:sz w:val="24"/>
          <w:szCs w:val="24"/>
          <w:lang w:val="lv-LV"/>
        </w:rPr>
      </w:pPr>
      <w:r w:rsidRPr="003556DF">
        <w:rPr>
          <w:rStyle w:val="FootnoteReference"/>
          <w:sz w:val="24"/>
          <w:szCs w:val="24"/>
          <w:lang w:val="lv-LV"/>
        </w:rPr>
        <w:footnoteRef/>
      </w:r>
      <w:r w:rsidR="003556DF" w:rsidRPr="003556DF">
        <w:rPr>
          <w:sz w:val="24"/>
          <w:lang w:val="lv-LV"/>
        </w:rPr>
        <w:t xml:space="preserve"> </w:t>
      </w:r>
      <w:r w:rsidR="003556DF" w:rsidRPr="003556DF">
        <w:rPr>
          <w:sz w:val="24"/>
          <w:lang w:val="lv-LV"/>
        </w:rPr>
        <w:tab/>
      </w:r>
      <w:hyperlink r:id="rId6" w:history="1">
        <w:r w:rsidRPr="003556DF">
          <w:rPr>
            <w:rStyle w:val="Hyperlink"/>
            <w:color w:val="1155CC"/>
            <w:sz w:val="24"/>
            <w:lang w:val="lv-LV"/>
          </w:rPr>
          <w:t>https://www.foodwatch.org/de/potenziell-krebserregender-farbstoff-in-backzutaten-von-dr-oetker</w:t>
        </w:r>
      </w:hyperlink>
      <w:r w:rsidRPr="003556DF">
        <w:rPr>
          <w:rStyle w:val="Hyperlink"/>
          <w:color w:val="1155CC"/>
          <w:sz w:val="24"/>
          <w:lang w:val="lv-LV"/>
        </w:rPr>
        <w:t>.</w:t>
      </w:r>
    </w:p>
  </w:footnote>
  <w:footnote w:id="13">
    <w:p w:rsidR="009840D8" w:rsidRPr="003556DF" w:rsidRDefault="009840D8" w:rsidP="003556DF">
      <w:pPr>
        <w:pStyle w:val="FootnoteText"/>
        <w:ind w:left="567" w:hanging="567"/>
        <w:rPr>
          <w:sz w:val="24"/>
          <w:szCs w:val="24"/>
          <w:lang w:val="lv-LV"/>
        </w:rPr>
      </w:pPr>
      <w:r w:rsidRPr="003556DF">
        <w:rPr>
          <w:rStyle w:val="FootnoteReference"/>
          <w:sz w:val="24"/>
          <w:szCs w:val="24"/>
          <w:lang w:val="lv-LV"/>
        </w:rPr>
        <w:footnoteRef/>
      </w:r>
      <w:r w:rsidR="003556DF" w:rsidRPr="003556DF">
        <w:rPr>
          <w:sz w:val="24"/>
          <w:lang w:val="lv-LV"/>
        </w:rPr>
        <w:t xml:space="preserve"> </w:t>
      </w:r>
      <w:r w:rsidR="003556DF" w:rsidRPr="003556DF">
        <w:rPr>
          <w:sz w:val="24"/>
          <w:lang w:val="lv-LV"/>
        </w:rPr>
        <w:tab/>
      </w:r>
      <w:hyperlink r:id="rId7" w:history="1">
        <w:r w:rsidRPr="003556DF">
          <w:rPr>
            <w:rStyle w:val="Hyperlink"/>
            <w:color w:val="1155CC"/>
            <w:sz w:val="24"/>
            <w:lang w:val="lv-LV"/>
          </w:rPr>
          <w:t>https://www.bund.net/fileadmin/user_upload_bund/publikationen/chemie/‌nanotechnologie_in_lebensmitteln_hintergrund.pdf</w:t>
        </w:r>
      </w:hyperlink>
      <w:r w:rsidRPr="003556DF">
        <w:rPr>
          <w:rStyle w:val="Hyperlink"/>
          <w:color w:val="1155CC"/>
          <w:sz w:val="24"/>
          <w:lang w:val="lv-LV"/>
        </w:rPr>
        <w:t>.</w:t>
      </w:r>
    </w:p>
  </w:footnote>
  <w:footnote w:id="14">
    <w:p w:rsidR="009840D8" w:rsidRPr="003556DF" w:rsidRDefault="009840D8" w:rsidP="003556DF">
      <w:pPr>
        <w:pStyle w:val="FootnoteText"/>
        <w:ind w:left="567" w:hanging="567"/>
        <w:rPr>
          <w:sz w:val="24"/>
          <w:szCs w:val="24"/>
          <w:lang w:val="lv-LV"/>
        </w:rPr>
      </w:pPr>
      <w:r w:rsidRPr="003556DF">
        <w:rPr>
          <w:rStyle w:val="FootnoteReference"/>
          <w:sz w:val="24"/>
          <w:szCs w:val="24"/>
          <w:lang w:val="lv-LV"/>
        </w:rPr>
        <w:footnoteRef/>
      </w:r>
      <w:r w:rsidR="003556DF" w:rsidRPr="003556DF">
        <w:rPr>
          <w:sz w:val="24"/>
          <w:lang w:val="lv-LV"/>
        </w:rPr>
        <w:t xml:space="preserve"> </w:t>
      </w:r>
      <w:r w:rsidR="003556DF" w:rsidRPr="003556DF">
        <w:rPr>
          <w:sz w:val="24"/>
          <w:lang w:val="lv-LV"/>
        </w:rPr>
        <w:tab/>
      </w:r>
      <w:hyperlink r:id="rId8" w:history="1">
        <w:r w:rsidRPr="003556DF">
          <w:rPr>
            <w:rStyle w:val="Hyperlink"/>
            <w:color w:val="1155CC"/>
            <w:sz w:val="24"/>
            <w:lang w:val="lv-LV"/>
          </w:rPr>
          <w:t>https://www.test-achats.be/sante/sante-au-quotidien/produits-testes/news/nanoparticules-affichage</w:t>
        </w:r>
      </w:hyperlink>
      <w:r w:rsidRPr="003556DF">
        <w:rPr>
          <w:rStyle w:val="Hyperlink"/>
          <w:color w:val="1155CC"/>
          <w:sz w:val="24"/>
          <w:lang w:val="lv-LV"/>
        </w:rPr>
        <w:t>.</w:t>
      </w:r>
      <w:r w:rsidRPr="003556DF">
        <w:rPr>
          <w:color w:val="1155CC"/>
          <w:sz w:val="24"/>
          <w:u w:val="single"/>
          <w:lang w:val="lv-LV"/>
        </w:rPr>
        <w:t xml:space="preserve"> </w:t>
      </w:r>
    </w:p>
  </w:footnote>
  <w:footnote w:id="15">
    <w:p w:rsidR="009840D8" w:rsidRPr="003556DF" w:rsidRDefault="009840D8" w:rsidP="003556DF">
      <w:pPr>
        <w:pStyle w:val="FootnoteText"/>
        <w:ind w:left="567" w:hanging="567"/>
        <w:rPr>
          <w:sz w:val="24"/>
          <w:szCs w:val="24"/>
          <w:lang w:val="lv-LV"/>
        </w:rPr>
      </w:pPr>
      <w:r w:rsidRPr="003556DF">
        <w:rPr>
          <w:rStyle w:val="FootnoteReference"/>
          <w:sz w:val="24"/>
          <w:szCs w:val="24"/>
          <w:lang w:val="lv-LV"/>
        </w:rPr>
        <w:footnoteRef/>
      </w:r>
      <w:r w:rsidR="003556DF" w:rsidRPr="003556DF">
        <w:rPr>
          <w:sz w:val="24"/>
          <w:lang w:val="lv-LV"/>
        </w:rPr>
        <w:t xml:space="preserve"> </w:t>
      </w:r>
      <w:r w:rsidR="003556DF" w:rsidRPr="003556DF">
        <w:rPr>
          <w:sz w:val="24"/>
          <w:lang w:val="lv-LV"/>
        </w:rPr>
        <w:tab/>
      </w:r>
      <w:hyperlink r:id="rId9" w:history="1">
        <w:r w:rsidRPr="003556DF">
          <w:rPr>
            <w:rStyle w:val="Hyperlink"/>
            <w:color w:val="1155CC"/>
            <w:sz w:val="24"/>
            <w:lang w:val="lv-LV"/>
          </w:rPr>
          <w:t>https://www.altroconsumo.it/alimentazione/sicurezza-alimentare/news/nanoparticelle</w:t>
        </w:r>
      </w:hyperlink>
      <w:r w:rsidRPr="003556DF">
        <w:rPr>
          <w:rStyle w:val="Hyperlink"/>
          <w:color w:val="1155CC"/>
          <w:sz w:val="24"/>
          <w:lang w:val="lv-LV"/>
        </w:rPr>
        <w:t>.</w:t>
      </w:r>
    </w:p>
  </w:footnote>
  <w:footnote w:id="16">
    <w:p w:rsidR="009840D8" w:rsidRPr="003556DF" w:rsidRDefault="009840D8" w:rsidP="003556DF">
      <w:pPr>
        <w:ind w:left="567" w:hanging="567"/>
        <w:rPr>
          <w:color w:val="1155CC"/>
          <w:szCs w:val="24"/>
          <w:u w:val="single"/>
        </w:rPr>
      </w:pPr>
      <w:r w:rsidRPr="003556DF">
        <w:rPr>
          <w:rStyle w:val="FootnoteReference"/>
          <w:szCs w:val="24"/>
        </w:rPr>
        <w:footnoteRef/>
      </w:r>
      <w:r w:rsidR="003556DF" w:rsidRPr="003556DF">
        <w:t xml:space="preserve"> </w:t>
      </w:r>
      <w:r w:rsidR="003556DF" w:rsidRPr="003556DF">
        <w:tab/>
      </w:r>
      <w:hyperlink r:id="rId10" w:history="1">
        <w:r w:rsidRPr="003556DF">
          <w:rPr>
            <w:rStyle w:val="Hyperlink"/>
          </w:rPr>
          <w:t>https://www.ocu.org/toda-la-informacion?type=magazine-articles&amp;magazine=ocu%20compra%20maestra&amp;year=2019</w:t>
        </w:r>
      </w:hyperlink>
      <w:r w:rsidRPr="003556DF">
        <w:rPr>
          <w:rStyle w:val="Hyperlink"/>
        </w:rPr>
        <w:t>.</w:t>
      </w:r>
    </w:p>
  </w:footnote>
  <w:footnote w:id="17">
    <w:p w:rsidR="009840D8" w:rsidRPr="003556DF" w:rsidRDefault="009840D8" w:rsidP="003556DF">
      <w:pPr>
        <w:pStyle w:val="FootnoteText"/>
        <w:ind w:left="567" w:hanging="567"/>
        <w:rPr>
          <w:sz w:val="24"/>
          <w:szCs w:val="24"/>
          <w:lang w:val="lv-LV"/>
        </w:rPr>
      </w:pPr>
      <w:r w:rsidRPr="003556DF">
        <w:rPr>
          <w:rStyle w:val="FootnoteReference"/>
          <w:sz w:val="24"/>
          <w:szCs w:val="24"/>
          <w:lang w:val="lv-LV"/>
        </w:rPr>
        <w:footnoteRef/>
      </w:r>
      <w:r w:rsidR="003556DF" w:rsidRPr="003556DF">
        <w:rPr>
          <w:sz w:val="24"/>
          <w:lang w:val="lv-LV"/>
        </w:rPr>
        <w:t xml:space="preserve"> </w:t>
      </w:r>
      <w:r w:rsidR="003556DF" w:rsidRPr="003556DF">
        <w:rPr>
          <w:sz w:val="24"/>
          <w:lang w:val="lv-LV"/>
        </w:rPr>
        <w:tab/>
      </w:r>
      <w:hyperlink r:id="rId11" w:history="1">
        <w:r w:rsidRPr="003556DF">
          <w:rPr>
            <w:rStyle w:val="Hyperlink"/>
            <w:sz w:val="24"/>
            <w:lang w:val="lv-LV"/>
          </w:rPr>
          <w:t>https://echa.europa.eu/-/what-do-eu-citizens-think-about-nanomaterials-</w:t>
        </w:r>
      </w:hyperlink>
      <w:r w:rsidRPr="003556DF">
        <w:rPr>
          <w:rStyle w:val="Hyperlink"/>
          <w:sz w:val="24"/>
          <w:lang w:val="lv-LV"/>
        </w:rPr>
        <w:t>.</w:t>
      </w:r>
      <w:r w:rsidRPr="003556DF">
        <w:rPr>
          <w:sz w:val="24"/>
          <w:lang w:val="lv-LV"/>
        </w:rPr>
        <w:t xml:space="preserve"> </w:t>
      </w:r>
    </w:p>
  </w:footnote>
  <w:footnote w:id="18">
    <w:p w:rsidR="009840D8" w:rsidRPr="003556DF" w:rsidRDefault="009840D8" w:rsidP="003556DF">
      <w:pPr>
        <w:pStyle w:val="FootnoteText"/>
        <w:ind w:left="567" w:hanging="567"/>
        <w:rPr>
          <w:sz w:val="24"/>
          <w:szCs w:val="24"/>
          <w:lang w:val="lv-LV"/>
        </w:rPr>
      </w:pPr>
      <w:r w:rsidRPr="003556DF">
        <w:rPr>
          <w:rStyle w:val="FootnoteReference"/>
          <w:sz w:val="24"/>
          <w:szCs w:val="24"/>
          <w:lang w:val="lv-LV"/>
        </w:rPr>
        <w:footnoteRef/>
      </w:r>
      <w:r w:rsidR="003556DF" w:rsidRPr="003556DF">
        <w:rPr>
          <w:sz w:val="24"/>
          <w:lang w:val="lv-LV"/>
        </w:rPr>
        <w:t xml:space="preserve"> </w:t>
      </w:r>
      <w:r w:rsidR="003556DF" w:rsidRPr="003556DF">
        <w:rPr>
          <w:sz w:val="24"/>
          <w:lang w:val="lv-LV"/>
        </w:rPr>
        <w:tab/>
      </w:r>
      <w:r w:rsidRPr="003556DF">
        <w:rPr>
          <w:sz w:val="24"/>
          <w:lang w:val="lv-LV"/>
        </w:rPr>
        <w:t>OV C 378, 9.11.2017., 92. lpp.</w:t>
      </w:r>
    </w:p>
  </w:footnote>
  <w:footnote w:id="19">
    <w:p w:rsidR="009840D8" w:rsidRPr="003556DF" w:rsidRDefault="009840D8" w:rsidP="003556DF">
      <w:pPr>
        <w:pStyle w:val="FootnoteText"/>
        <w:ind w:left="567" w:hanging="567"/>
        <w:rPr>
          <w:sz w:val="24"/>
          <w:szCs w:val="24"/>
          <w:lang w:val="lv-LV"/>
        </w:rPr>
      </w:pPr>
      <w:r w:rsidRPr="003556DF">
        <w:rPr>
          <w:rStyle w:val="FootnoteReference"/>
          <w:sz w:val="24"/>
          <w:szCs w:val="24"/>
          <w:lang w:val="lv-LV"/>
        </w:rPr>
        <w:footnoteRef/>
      </w:r>
      <w:r w:rsidR="003556DF" w:rsidRPr="003556DF">
        <w:rPr>
          <w:sz w:val="24"/>
          <w:lang w:val="lv-LV"/>
        </w:rPr>
        <w:t xml:space="preserve"> </w:t>
      </w:r>
      <w:r w:rsidR="003556DF" w:rsidRPr="003556DF">
        <w:rPr>
          <w:sz w:val="24"/>
          <w:lang w:val="lv-LV"/>
        </w:rPr>
        <w:tab/>
      </w:r>
      <w:r w:rsidRPr="003556DF">
        <w:rPr>
          <w:sz w:val="24"/>
          <w:lang w:val="lv-LV"/>
        </w:rPr>
        <w:t>OV C 395, 29.3.2021., 28. lpp.</w:t>
      </w:r>
    </w:p>
  </w:footnote>
  <w:footnote w:id="20">
    <w:p w:rsidR="009840D8" w:rsidRPr="003556DF" w:rsidRDefault="009840D8" w:rsidP="003556DF">
      <w:pPr>
        <w:pStyle w:val="FootnoteText"/>
        <w:ind w:left="567" w:hanging="567"/>
        <w:rPr>
          <w:sz w:val="24"/>
          <w:szCs w:val="24"/>
          <w:lang w:val="lv-LV"/>
        </w:rPr>
      </w:pPr>
      <w:r w:rsidRPr="003556DF">
        <w:rPr>
          <w:rStyle w:val="FootnoteReference"/>
          <w:sz w:val="24"/>
          <w:szCs w:val="24"/>
          <w:lang w:val="lv-LV"/>
        </w:rPr>
        <w:footnoteRef/>
      </w:r>
      <w:r w:rsidR="003556DF" w:rsidRPr="003556DF">
        <w:rPr>
          <w:sz w:val="24"/>
          <w:lang w:val="lv-LV"/>
        </w:rPr>
        <w:t xml:space="preserve"> </w:t>
      </w:r>
      <w:r w:rsidR="003556DF" w:rsidRPr="003556DF">
        <w:rPr>
          <w:sz w:val="24"/>
          <w:lang w:val="lv-LV"/>
        </w:rPr>
        <w:tab/>
      </w:r>
      <w:hyperlink r:id="rId12" w:history="1">
        <w:r w:rsidR="0060499A" w:rsidRPr="00182E1E">
          <w:rPr>
            <w:rStyle w:val="Hyperlink"/>
            <w:sz w:val="24"/>
            <w:lang w:val="lv-LV"/>
          </w:rPr>
          <w:t>https://www.efsa.europa.eu/sites/default/files/assets</w:t>
        </w:r>
        <w:r w:rsidR="0060499A" w:rsidRPr="00182E1E">
          <w:rPr>
            <w:rStyle w:val="Hyperlink"/>
            <w:sz w:val="24"/>
            <w:lang w:val="lv-LV"/>
          </w:rPr>
          <w:br/>
          <w:t>/corporatenanotechnology121003.pdf</w:t>
        </w:r>
      </w:hyperlink>
      <w:r w:rsidRPr="003556DF">
        <w:rPr>
          <w:rStyle w:val="Hyperlink"/>
          <w:sz w:val="24"/>
          <w:lang w:val="lv-LV"/>
        </w:rPr>
        <w:t>.</w:t>
      </w:r>
    </w:p>
  </w:footnote>
  <w:footnote w:id="21">
    <w:p w:rsidR="009840D8" w:rsidRPr="003556DF" w:rsidRDefault="009840D8" w:rsidP="003556DF">
      <w:pPr>
        <w:pStyle w:val="FootnoteText"/>
        <w:ind w:left="567" w:hanging="567"/>
        <w:rPr>
          <w:sz w:val="24"/>
          <w:szCs w:val="24"/>
          <w:lang w:val="lv-LV"/>
        </w:rPr>
      </w:pPr>
      <w:r w:rsidRPr="003556DF">
        <w:rPr>
          <w:rStyle w:val="FootnoteReference"/>
          <w:sz w:val="24"/>
          <w:szCs w:val="24"/>
          <w:lang w:val="lv-LV"/>
        </w:rPr>
        <w:footnoteRef/>
      </w:r>
      <w:r w:rsidR="003556DF" w:rsidRPr="003556DF">
        <w:rPr>
          <w:sz w:val="24"/>
          <w:lang w:val="lv-LV"/>
        </w:rPr>
        <w:t xml:space="preserve"> </w:t>
      </w:r>
      <w:r w:rsidR="003556DF" w:rsidRPr="003556DF">
        <w:rPr>
          <w:sz w:val="24"/>
          <w:lang w:val="lv-LV"/>
        </w:rPr>
        <w:tab/>
      </w:r>
      <w:hyperlink r:id="rId13" w:history="1">
        <w:r w:rsidRPr="003556DF">
          <w:rPr>
            <w:rStyle w:val="Hyperlink"/>
            <w:color w:val="1155CC"/>
            <w:sz w:val="24"/>
            <w:lang w:val="lv-LV"/>
          </w:rPr>
          <w:t>https://veillenanos.fr/en/dossier/nanos-and-health/nanos-health-risks/</w:t>
        </w:r>
      </w:hyperlink>
      <w:r w:rsidRPr="003556DF">
        <w:rPr>
          <w:rStyle w:val="Hyperlink"/>
          <w:color w:val="1155CC"/>
          <w:sz w:val="24"/>
          <w:lang w:val="lv-LV"/>
        </w:rPr>
        <w:t>.</w:t>
      </w:r>
    </w:p>
  </w:footnote>
  <w:footnote w:id="22">
    <w:p w:rsidR="009840D8" w:rsidRPr="003556DF" w:rsidRDefault="009840D8" w:rsidP="003556DF">
      <w:pPr>
        <w:pStyle w:val="FootnoteText"/>
        <w:ind w:left="567" w:hanging="567"/>
        <w:rPr>
          <w:sz w:val="24"/>
          <w:szCs w:val="24"/>
          <w:lang w:val="lv-LV"/>
        </w:rPr>
      </w:pPr>
      <w:r w:rsidRPr="003556DF">
        <w:rPr>
          <w:rStyle w:val="FootnoteReference"/>
          <w:sz w:val="24"/>
          <w:szCs w:val="24"/>
          <w:lang w:val="lv-LV"/>
        </w:rPr>
        <w:footnoteRef/>
      </w:r>
      <w:r w:rsidR="003556DF" w:rsidRPr="003556DF">
        <w:rPr>
          <w:i/>
          <w:iCs/>
          <w:sz w:val="24"/>
          <w:lang w:val="lv-LV"/>
        </w:rPr>
        <w:t xml:space="preserve"> </w:t>
      </w:r>
      <w:r w:rsidR="003556DF" w:rsidRPr="003556DF">
        <w:rPr>
          <w:i/>
          <w:iCs/>
          <w:sz w:val="24"/>
          <w:lang w:val="lv-LV"/>
        </w:rPr>
        <w:tab/>
      </w:r>
      <w:r w:rsidRPr="003556DF">
        <w:rPr>
          <w:i/>
          <w:iCs/>
          <w:sz w:val="24"/>
          <w:lang w:val="lv-LV"/>
        </w:rPr>
        <w:t>ANSES</w:t>
      </w:r>
      <w:r w:rsidRPr="003556DF">
        <w:rPr>
          <w:sz w:val="24"/>
          <w:lang w:val="lv-LV"/>
        </w:rPr>
        <w:t xml:space="preserve"> atzinums (2023): </w:t>
      </w:r>
      <w:proofErr w:type="spellStart"/>
      <w:r w:rsidRPr="003556DF">
        <w:rPr>
          <w:sz w:val="24"/>
          <w:lang w:val="lv-LV"/>
        </w:rPr>
        <w:t>Nanomateriālu</w:t>
      </w:r>
      <w:proofErr w:type="spellEnd"/>
      <w:r w:rsidRPr="003556DF">
        <w:rPr>
          <w:sz w:val="24"/>
          <w:lang w:val="lv-LV"/>
        </w:rPr>
        <w:t xml:space="preserve"> definīcija: analīze, problēmas un pretrunas,</w:t>
      </w:r>
      <w:hyperlink r:id="rId14" w:history="1">
        <w:r w:rsidRPr="003556DF">
          <w:rPr>
            <w:rStyle w:val="Hyperlink"/>
            <w:sz w:val="24"/>
            <w:lang w:val="lv-LV"/>
          </w:rPr>
          <w:t xml:space="preserve"> </w:t>
        </w:r>
      </w:hyperlink>
      <w:hyperlink r:id="rId15" w:history="1">
        <w:r w:rsidRPr="003556DF">
          <w:rPr>
            <w:rStyle w:val="Hyperlink"/>
            <w:color w:val="1155CC"/>
            <w:sz w:val="24"/>
            <w:lang w:val="lv-LV"/>
          </w:rPr>
          <w:t>https://www.anses.fr/en/system/files/AP2018SA0168RaEN.pdf</w:t>
        </w:r>
      </w:hyperlink>
      <w:r w:rsidRPr="003556DF">
        <w:rPr>
          <w:rStyle w:val="Hyperlink"/>
          <w:color w:val="1155CC"/>
          <w:sz w:val="24"/>
          <w:lang w:val="lv-LV"/>
        </w:rPr>
        <w:t>.</w:t>
      </w:r>
    </w:p>
  </w:footnote>
  <w:footnote w:id="23">
    <w:p w:rsidR="009840D8" w:rsidRPr="003556DF" w:rsidRDefault="009840D8" w:rsidP="003556DF">
      <w:pPr>
        <w:pStyle w:val="FootnoteText"/>
        <w:ind w:left="567" w:hanging="567"/>
        <w:rPr>
          <w:sz w:val="24"/>
          <w:szCs w:val="24"/>
          <w:lang w:val="lv-LV"/>
        </w:rPr>
      </w:pPr>
      <w:r w:rsidRPr="003556DF">
        <w:rPr>
          <w:rStyle w:val="FootnoteReference"/>
          <w:sz w:val="24"/>
          <w:szCs w:val="24"/>
          <w:lang w:val="lv-LV"/>
        </w:rPr>
        <w:footnoteRef/>
      </w:r>
      <w:r w:rsidR="003556DF" w:rsidRPr="003556DF">
        <w:rPr>
          <w:sz w:val="24"/>
          <w:lang w:val="lv-LV"/>
        </w:rPr>
        <w:t xml:space="preserve"> </w:t>
      </w:r>
      <w:r w:rsidR="003556DF" w:rsidRPr="003556DF">
        <w:rPr>
          <w:sz w:val="24"/>
          <w:lang w:val="lv-LV"/>
        </w:rPr>
        <w:tab/>
      </w:r>
      <w:r w:rsidRPr="003556DF">
        <w:rPr>
          <w:sz w:val="24"/>
          <w:lang w:val="lv-LV"/>
        </w:rPr>
        <w:t xml:space="preserve">Komisijas Ieteikums (2022. gada 10. jūnijs) par </w:t>
      </w:r>
      <w:proofErr w:type="spellStart"/>
      <w:r w:rsidRPr="003556DF">
        <w:rPr>
          <w:sz w:val="24"/>
          <w:lang w:val="lv-LV"/>
        </w:rPr>
        <w:t>nanomateriālu</w:t>
      </w:r>
      <w:proofErr w:type="spellEnd"/>
      <w:r w:rsidRPr="003556DF">
        <w:rPr>
          <w:sz w:val="24"/>
          <w:lang w:val="lv-LV"/>
        </w:rPr>
        <w:t xml:space="preserve"> definīciju (OV C 229, 14.6.2022., 1. lpp.).</w:t>
      </w:r>
    </w:p>
  </w:footnote>
  <w:footnote w:id="24">
    <w:p w:rsidR="009840D8" w:rsidRPr="003556DF" w:rsidRDefault="009840D8" w:rsidP="003556DF">
      <w:pPr>
        <w:pStyle w:val="FootnoteText"/>
        <w:ind w:left="567" w:hanging="567"/>
        <w:rPr>
          <w:sz w:val="24"/>
          <w:szCs w:val="24"/>
          <w:lang w:val="lv-LV"/>
        </w:rPr>
      </w:pPr>
      <w:r w:rsidRPr="003556DF">
        <w:rPr>
          <w:rStyle w:val="FootnoteReference"/>
          <w:sz w:val="24"/>
          <w:szCs w:val="24"/>
          <w:lang w:val="lv-LV"/>
        </w:rPr>
        <w:footnoteRef/>
      </w:r>
      <w:r w:rsidR="003556DF" w:rsidRPr="003556DF">
        <w:rPr>
          <w:i/>
          <w:iCs/>
          <w:sz w:val="24"/>
          <w:lang w:val="lv-LV"/>
        </w:rPr>
        <w:t xml:space="preserve"> </w:t>
      </w:r>
      <w:r w:rsidR="003556DF" w:rsidRPr="003556DF">
        <w:rPr>
          <w:i/>
          <w:iCs/>
          <w:sz w:val="24"/>
          <w:lang w:val="lv-LV"/>
        </w:rPr>
        <w:tab/>
      </w:r>
      <w:r w:rsidRPr="003556DF">
        <w:rPr>
          <w:i/>
          <w:iCs/>
          <w:sz w:val="24"/>
          <w:lang w:val="lv-LV"/>
        </w:rPr>
        <w:t>ANSES</w:t>
      </w:r>
      <w:r w:rsidRPr="003556DF">
        <w:rPr>
          <w:sz w:val="24"/>
          <w:lang w:val="lv-LV"/>
        </w:rPr>
        <w:t xml:space="preserve"> (2020): </w:t>
      </w:r>
      <w:r w:rsidRPr="003556DF">
        <w:rPr>
          <w:i/>
          <w:iCs/>
          <w:sz w:val="24"/>
          <w:lang w:val="lv-LV"/>
        </w:rPr>
        <w:t>“</w:t>
      </w:r>
      <w:proofErr w:type="spellStart"/>
      <w:r w:rsidRPr="003556DF">
        <w:rPr>
          <w:i/>
          <w:iCs/>
          <w:sz w:val="24"/>
          <w:lang w:val="lv-LV"/>
        </w:rPr>
        <w:t>Nanomatériaux</w:t>
      </w:r>
      <w:proofErr w:type="spellEnd"/>
      <w:r w:rsidRPr="003556DF">
        <w:rPr>
          <w:i/>
          <w:iCs/>
          <w:sz w:val="24"/>
          <w:lang w:val="lv-LV"/>
        </w:rPr>
        <w:t xml:space="preserve"> </w:t>
      </w:r>
      <w:proofErr w:type="spellStart"/>
      <w:r w:rsidRPr="003556DF">
        <w:rPr>
          <w:i/>
          <w:iCs/>
          <w:sz w:val="24"/>
          <w:lang w:val="lv-LV"/>
        </w:rPr>
        <w:t>dans</w:t>
      </w:r>
      <w:proofErr w:type="spellEnd"/>
      <w:r w:rsidRPr="003556DF">
        <w:rPr>
          <w:i/>
          <w:iCs/>
          <w:sz w:val="24"/>
          <w:lang w:val="lv-LV"/>
        </w:rPr>
        <w:t xml:space="preserve"> </w:t>
      </w:r>
      <w:proofErr w:type="spellStart"/>
      <w:r w:rsidRPr="003556DF">
        <w:rPr>
          <w:i/>
          <w:iCs/>
          <w:sz w:val="24"/>
          <w:lang w:val="lv-LV"/>
        </w:rPr>
        <w:t>les</w:t>
      </w:r>
      <w:proofErr w:type="spellEnd"/>
      <w:r w:rsidRPr="003556DF">
        <w:rPr>
          <w:i/>
          <w:iCs/>
          <w:sz w:val="24"/>
          <w:lang w:val="lv-LV"/>
        </w:rPr>
        <w:t xml:space="preserve"> </w:t>
      </w:r>
      <w:proofErr w:type="spellStart"/>
      <w:r w:rsidRPr="003556DF">
        <w:rPr>
          <w:i/>
          <w:iCs/>
          <w:sz w:val="24"/>
          <w:lang w:val="lv-LV"/>
        </w:rPr>
        <w:t>produits</w:t>
      </w:r>
      <w:proofErr w:type="spellEnd"/>
      <w:r w:rsidRPr="003556DF">
        <w:rPr>
          <w:i/>
          <w:iCs/>
          <w:sz w:val="24"/>
          <w:lang w:val="lv-LV"/>
        </w:rPr>
        <w:t xml:space="preserve"> </w:t>
      </w:r>
      <w:proofErr w:type="spellStart"/>
      <w:r w:rsidRPr="003556DF">
        <w:rPr>
          <w:i/>
          <w:iCs/>
          <w:sz w:val="24"/>
          <w:lang w:val="lv-LV"/>
        </w:rPr>
        <w:t>destinés</w:t>
      </w:r>
      <w:proofErr w:type="spellEnd"/>
      <w:r w:rsidRPr="003556DF">
        <w:rPr>
          <w:i/>
          <w:iCs/>
          <w:sz w:val="24"/>
          <w:lang w:val="lv-LV"/>
        </w:rPr>
        <w:t xml:space="preserve"> à </w:t>
      </w:r>
      <w:proofErr w:type="spellStart"/>
      <w:r w:rsidRPr="003556DF">
        <w:rPr>
          <w:i/>
          <w:iCs/>
          <w:sz w:val="24"/>
          <w:lang w:val="lv-LV"/>
        </w:rPr>
        <w:t>l’alimentation</w:t>
      </w:r>
      <w:proofErr w:type="spellEnd"/>
      <w:r w:rsidRPr="003556DF">
        <w:rPr>
          <w:i/>
          <w:iCs/>
          <w:sz w:val="24"/>
          <w:lang w:val="lv-LV"/>
        </w:rPr>
        <w:t>.</w:t>
      </w:r>
      <w:r w:rsidRPr="003556DF">
        <w:rPr>
          <w:sz w:val="24"/>
          <w:lang w:val="lv-LV"/>
        </w:rPr>
        <w:t xml:space="preserve"> </w:t>
      </w:r>
      <w:proofErr w:type="spellStart"/>
      <w:r w:rsidRPr="003556DF">
        <w:rPr>
          <w:i/>
          <w:iCs/>
          <w:sz w:val="24"/>
          <w:lang w:val="lv-LV"/>
        </w:rPr>
        <w:t>Rapport</w:t>
      </w:r>
      <w:proofErr w:type="spellEnd"/>
      <w:r w:rsidRPr="003556DF">
        <w:rPr>
          <w:i/>
          <w:iCs/>
          <w:sz w:val="24"/>
          <w:lang w:val="lv-LV"/>
        </w:rPr>
        <w:t xml:space="preserve"> </w:t>
      </w:r>
      <w:proofErr w:type="spellStart"/>
      <w:r w:rsidRPr="003556DF">
        <w:rPr>
          <w:i/>
          <w:iCs/>
          <w:sz w:val="24"/>
          <w:lang w:val="lv-LV"/>
        </w:rPr>
        <w:t>d’expertise</w:t>
      </w:r>
      <w:proofErr w:type="spellEnd"/>
      <w:r w:rsidRPr="003556DF">
        <w:rPr>
          <w:i/>
          <w:iCs/>
          <w:sz w:val="24"/>
          <w:lang w:val="lv-LV"/>
        </w:rPr>
        <w:t xml:space="preserve"> </w:t>
      </w:r>
      <w:proofErr w:type="spellStart"/>
      <w:r w:rsidRPr="003556DF">
        <w:rPr>
          <w:i/>
          <w:iCs/>
          <w:sz w:val="24"/>
          <w:lang w:val="lv-LV"/>
        </w:rPr>
        <w:t>collective</w:t>
      </w:r>
      <w:proofErr w:type="spellEnd"/>
      <w:r w:rsidRPr="003556DF">
        <w:rPr>
          <w:i/>
          <w:iCs/>
          <w:sz w:val="24"/>
          <w:lang w:val="lv-LV"/>
        </w:rPr>
        <w:t>”</w:t>
      </w:r>
      <w:r w:rsidRPr="003556DF">
        <w:rPr>
          <w:sz w:val="24"/>
          <w:lang w:val="lv-LV"/>
        </w:rPr>
        <w:t>,</w:t>
      </w:r>
      <w:hyperlink r:id="rId16" w:history="1">
        <w:r w:rsidRPr="003556DF">
          <w:rPr>
            <w:rStyle w:val="Hyperlink"/>
            <w:sz w:val="24"/>
            <w:lang w:val="lv-LV"/>
          </w:rPr>
          <w:t xml:space="preserve"> </w:t>
        </w:r>
      </w:hyperlink>
      <w:hyperlink r:id="rId17" w:history="1">
        <w:r w:rsidRPr="003556DF">
          <w:rPr>
            <w:rStyle w:val="Hyperlink"/>
            <w:color w:val="1155CC"/>
            <w:sz w:val="24"/>
            <w:lang w:val="lv-LV"/>
          </w:rPr>
          <w:t>https://www.anses.fr/fr/system/files/ERCA2016SA0226Ra.pdf</w:t>
        </w:r>
      </w:hyperlink>
      <w:r w:rsidRPr="003556DF">
        <w:rPr>
          <w:sz w:val="24"/>
          <w:lang w:val="lv-LV"/>
        </w:rPr>
        <w:t xml:space="preserve"> (86. lpp.).</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556D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556D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556D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25/2024"/>
    <w:docVar w:name="dvlangue" w:val="LV"/>
    <w:docVar w:name="dvnumam" w:val="0"/>
    <w:docVar w:name="dvpe" w:val="760.689"/>
    <w:docVar w:name="dvtitre" w:val="Eiropas Parlamenta 2024. gada XX. XXX lēmums par Komisijas 2024. gada 14. marta deleģēto regulu, ar ko attiecībā uz termina “ar inženierijas paņēmieniem iegūts nanomateriāls” definīciju groza Eiropas Parlamenta un Padomes Regulu (ES) 2015/2283 par jauniem pārtikas produktiem(C(2024)01612 – 2024/2691(DEA))"/>
  </w:docVars>
  <w:rsids>
    <w:rsidRoot w:val="004C4E8E"/>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556DF"/>
    <w:rsid w:val="00361C00"/>
    <w:rsid w:val="00395FA1"/>
    <w:rsid w:val="003E15D4"/>
    <w:rsid w:val="00411CCE"/>
    <w:rsid w:val="0041666E"/>
    <w:rsid w:val="00421060"/>
    <w:rsid w:val="00471C19"/>
    <w:rsid w:val="004867E3"/>
    <w:rsid w:val="00494A28"/>
    <w:rsid w:val="004C0004"/>
    <w:rsid w:val="004C4E8E"/>
    <w:rsid w:val="004C5D52"/>
    <w:rsid w:val="0050519A"/>
    <w:rsid w:val="005072A1"/>
    <w:rsid w:val="00514517"/>
    <w:rsid w:val="00545827"/>
    <w:rsid w:val="00555B8D"/>
    <w:rsid w:val="00560270"/>
    <w:rsid w:val="005C2568"/>
    <w:rsid w:val="006037C0"/>
    <w:rsid w:val="0060499A"/>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0D05"/>
    <w:rsid w:val="009509D8"/>
    <w:rsid w:val="00950B64"/>
    <w:rsid w:val="00981893"/>
    <w:rsid w:val="009840D8"/>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169D3"/>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231600"/>
  <w15:chartTrackingRefBased/>
  <w15:docId w15:val="{72188A6C-D6FA-4A3F-894B-C464C96CD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840D8"/>
    <w:pPr>
      <w:spacing w:before="480" w:after="240"/>
    </w:pPr>
  </w:style>
  <w:style w:type="paragraph" w:customStyle="1" w:styleId="NormalHanging12a">
    <w:name w:val="NormalHanging12a"/>
    <w:basedOn w:val="Normal"/>
    <w:rsid w:val="009840D8"/>
    <w:pPr>
      <w:spacing w:after="240"/>
      <w:ind w:left="567" w:hanging="567"/>
    </w:pPr>
  </w:style>
  <w:style w:type="paragraph" w:customStyle="1" w:styleId="NormalBold">
    <w:name w:val="NormalBold"/>
    <w:basedOn w:val="Normal"/>
    <w:rsid w:val="009840D8"/>
    <w:rPr>
      <w:b/>
    </w:rPr>
  </w:style>
  <w:style w:type="character" w:styleId="Hyperlink">
    <w:name w:val="Hyperlink"/>
    <w:basedOn w:val="DefaultParagraphFont"/>
    <w:unhideWhenUsed/>
    <w:rsid w:val="009840D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test-achats.be/sante/sante-au-quotidien/produits-testes/news/nanoparticules-affichage" TargetMode="External"/><Relationship Id="rId13" Type="http://schemas.openxmlformats.org/officeDocument/2006/relationships/hyperlink" Target="https://veillenanos.fr/en/dossier/nanos-and-health/nanos-health-risks/" TargetMode="External"/><Relationship Id="rId3" Type="http://schemas.openxmlformats.org/officeDocument/2006/relationships/hyperlink" Target="https://www.quechoisir.org/enquete-nanoparticules-taille-mini-doutes-maxi-n50748/" TargetMode="External"/><Relationship Id="rId7" Type="http://schemas.openxmlformats.org/officeDocument/2006/relationships/hyperlink" Target="https://www.bund.net/fileadmin/user_upload_bund/publikationen/chemie/nanotechnologie_in_lebensmitteln_hintergrund.pdf" TargetMode="External"/><Relationship Id="rId12" Type="http://schemas.openxmlformats.org/officeDocument/2006/relationships/hyperlink" Target="https://www.efsa.europa.eu/sites/default/files/assets/corporatenanotechnology121003.pdf" TargetMode="External"/><Relationship Id="rId17" Type="http://schemas.openxmlformats.org/officeDocument/2006/relationships/hyperlink" Target="https://www.anses.fr/fr/system/files/ERCA2016SA0226Ra.pdf" TargetMode="External"/><Relationship Id="rId2" Type="http://schemas.openxmlformats.org/officeDocument/2006/relationships/hyperlink" Target="https://www.agirpourlenvironnement.org/communiques-presse/enquete-exclusive-des-analyses-revelent-la-presence-de-nanoparticules-dans-3980/" TargetMode="External"/><Relationship Id="rId16" Type="http://schemas.openxmlformats.org/officeDocument/2006/relationships/hyperlink" Target="https://www.anses.fr/fr/system/files/ERCA2016SA0226Ra.pdf" TargetMode="External"/><Relationship Id="rId1" Type="http://schemas.openxmlformats.org/officeDocument/2006/relationships/hyperlink" Target="https://www.anses.fr/fr/nanomateriaux-alimentation-premiere-application-methodologie" TargetMode="External"/><Relationship Id="rId6" Type="http://schemas.openxmlformats.org/officeDocument/2006/relationships/hyperlink" Target="https://www.foodwatch.org/de/potenziell-krebserregender-farbstoff-in-backzutaten-von-dr-oetker" TargetMode="External"/><Relationship Id="rId11" Type="http://schemas.openxmlformats.org/officeDocument/2006/relationships/hyperlink" Target="https://echa.europa.eu/-/what-do-eu-citizens-think-about-nanomaterials-" TargetMode="External"/><Relationship Id="rId5" Type="http://schemas.openxmlformats.org/officeDocument/2006/relationships/hyperlink" Target="https://veillenanos.fr/wp-content/uploads/2023/01/Rapport-test-EN-20230113.pdf" TargetMode="External"/><Relationship Id="rId15" Type="http://schemas.openxmlformats.org/officeDocument/2006/relationships/hyperlink" Target="https://www.anses.fr/en/system/files/AP2018SA0168RaEN.pdf" TargetMode="External"/><Relationship Id="rId10" Type="http://schemas.openxmlformats.org/officeDocument/2006/relationships/hyperlink" Target="https://www.ocu.org/toda-la-informacion?type=magazine-articles&amp;magazine=ocu%20compra%20maestra&amp;year=2019" TargetMode="External"/><Relationship Id="rId4" Type="http://schemas.openxmlformats.org/officeDocument/2006/relationships/hyperlink" Target="https://bibliotheque.60millions-mag.com/detail/publication/detail-top-right/561?issue_id=113421&amp;switch_toc=archive" TargetMode="External"/><Relationship Id="rId9" Type="http://schemas.openxmlformats.org/officeDocument/2006/relationships/hyperlink" Target="https://www.altroconsumo.it/alimentazione/sicurezza-alimentare/news/nanoparticelle" TargetMode="External"/><Relationship Id="rId14" Type="http://schemas.openxmlformats.org/officeDocument/2006/relationships/hyperlink" Target="https://www.anses.fr/en/system/files/AP2018SA0168Ra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D2F814-8E5C-4713-B3AF-C8A3FDFBEB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1459</Words>
  <Characters>9226</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KRASTINA-DAMIANAKI Liga</cp:lastModifiedBy>
  <cp:revision>2</cp:revision>
  <cp:lastPrinted>2004-11-19T15:42:00Z</cp:lastPrinted>
  <dcterms:created xsi:type="dcterms:W3CDTF">2024-06-21T09:42:00Z</dcterms:created>
  <dcterms:modified xsi:type="dcterms:W3CDTF">2024-06-21T09:42:00Z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B9-0225/2024</vt:lpwstr>
  </property>
  <property fmtid="{D5CDD505-2E9C-101B-9397-08002B2CF9AE}" pid="4" name="&lt;Type&gt;">
    <vt:lpwstr>RR</vt:lpwstr>
  </property>
</Properties>
</file>