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5900D3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5900D3" w:rsidRDefault="005B62A7" w:rsidP="0010095E">
            <w:pPr>
              <w:pStyle w:val="EPName"/>
            </w:pPr>
            <w:r w:rsidRPr="005900D3">
              <w:t>Parlament Ewropew</w:t>
            </w:r>
          </w:p>
          <w:p w:rsidR="00751A4A" w:rsidRPr="005900D3" w:rsidRDefault="00817416" w:rsidP="00756632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5900D3">
              <w:t>2019-2024</w:t>
            </w:r>
          </w:p>
        </w:tc>
        <w:tc>
          <w:tcPr>
            <w:tcW w:w="2268" w:type="dxa"/>
            <w:shd w:val="clear" w:color="auto" w:fill="auto"/>
          </w:tcPr>
          <w:p w:rsidR="00751A4A" w:rsidRPr="005900D3" w:rsidRDefault="00187494" w:rsidP="0010095E">
            <w:pPr>
              <w:pStyle w:val="EPLogo"/>
            </w:pPr>
            <w:r w:rsidRPr="005900D3">
              <w:rPr>
                <w:noProof/>
                <w:lang w:val="en-GB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5900D3" w:rsidRDefault="00D058B8" w:rsidP="004C5D52">
      <w:pPr>
        <w:pStyle w:val="LineTop"/>
      </w:pPr>
    </w:p>
    <w:p w:rsidR="00680577" w:rsidRPr="005900D3" w:rsidRDefault="005B62A7" w:rsidP="00680577">
      <w:pPr>
        <w:pStyle w:val="EPBodyTA1"/>
      </w:pPr>
      <w:r w:rsidRPr="005900D3">
        <w:t>TESTI ADOTTATI</w:t>
      </w:r>
    </w:p>
    <w:p w:rsidR="00D058B8" w:rsidRPr="005900D3" w:rsidRDefault="00D058B8" w:rsidP="00D058B8">
      <w:pPr>
        <w:pStyle w:val="LineBottom"/>
      </w:pPr>
    </w:p>
    <w:p w:rsidR="005B62A7" w:rsidRPr="005900D3" w:rsidRDefault="005B62A7" w:rsidP="005B62A7">
      <w:pPr>
        <w:pStyle w:val="ATHeading1"/>
      </w:pPr>
      <w:bookmarkStart w:id="0" w:name="TANumber"/>
      <w:r w:rsidRPr="005900D3">
        <w:t>P9_TA(2024)0</w:t>
      </w:r>
      <w:bookmarkEnd w:id="0"/>
      <w:r w:rsidR="007164A4">
        <w:t>316</w:t>
      </w:r>
      <w:bookmarkStart w:id="1" w:name="_GoBack"/>
      <w:bookmarkEnd w:id="1"/>
    </w:p>
    <w:p w:rsidR="005B62A7" w:rsidRPr="005900D3" w:rsidRDefault="00EA297E" w:rsidP="005B62A7">
      <w:pPr>
        <w:pStyle w:val="ATHeading2"/>
      </w:pPr>
      <w:bookmarkStart w:id="2" w:name="title"/>
      <w:r w:rsidRPr="005900D3">
        <w:t>Oġġezzjoni għal att delegat</w:t>
      </w:r>
      <w:bookmarkEnd w:id="2"/>
      <w:r w:rsidRPr="005900D3">
        <w:t>: Ikel ġdid - id-definizzjoni ta’ “</w:t>
      </w:r>
      <w:proofErr w:type="spellStart"/>
      <w:r w:rsidRPr="005900D3">
        <w:t>nanomaterjali</w:t>
      </w:r>
      <w:proofErr w:type="spellEnd"/>
      <w:r w:rsidRPr="005900D3">
        <w:t xml:space="preserve"> maħdumin”</w:t>
      </w:r>
    </w:p>
    <w:p w:rsidR="005B62A7" w:rsidRPr="005900D3" w:rsidRDefault="005B62A7" w:rsidP="005B62A7">
      <w:pPr>
        <w:rPr>
          <w:i/>
          <w:vanish/>
        </w:rPr>
      </w:pPr>
      <w:r w:rsidRPr="005900D3">
        <w:rPr>
          <w:i/>
        </w:rPr>
        <w:fldChar w:fldCharType="begin"/>
      </w:r>
      <w:r w:rsidRPr="005900D3">
        <w:rPr>
          <w:i/>
        </w:rPr>
        <w:instrText xml:space="preserve"> TC"(</w:instrText>
      </w:r>
      <w:bookmarkStart w:id="3" w:name="DocNumber"/>
      <w:r w:rsidRPr="005900D3">
        <w:rPr>
          <w:i/>
        </w:rPr>
        <w:instrText>B9-0225/2024</w:instrText>
      </w:r>
      <w:bookmarkEnd w:id="3"/>
      <w:r w:rsidRPr="005900D3">
        <w:rPr>
          <w:i/>
        </w:rPr>
        <w:instrText xml:space="preserve">)"\l3 \n&gt; \* MERGEFORMAT </w:instrText>
      </w:r>
      <w:r w:rsidRPr="005900D3">
        <w:rPr>
          <w:i/>
        </w:rPr>
        <w:fldChar w:fldCharType="end"/>
      </w:r>
    </w:p>
    <w:p w:rsidR="005B62A7" w:rsidRPr="005900D3" w:rsidRDefault="005B62A7" w:rsidP="005B62A7">
      <w:pPr>
        <w:rPr>
          <w:vanish/>
        </w:rPr>
      </w:pPr>
      <w:bookmarkStart w:id="4" w:name="PE"/>
      <w:r w:rsidRPr="005900D3">
        <w:rPr>
          <w:vanish/>
        </w:rPr>
        <w:t>PE760.689</w:t>
      </w:r>
      <w:bookmarkEnd w:id="4"/>
    </w:p>
    <w:p w:rsidR="005B62A7" w:rsidRPr="005900D3" w:rsidRDefault="005B62A7" w:rsidP="005900D3">
      <w:pPr>
        <w:pStyle w:val="ATHeading3"/>
      </w:pPr>
      <w:bookmarkStart w:id="5" w:name="Sujet"/>
      <w:r w:rsidRPr="005900D3">
        <w:t>Riżoluzzjoni tal-Parlament Ewropew tal-24 ta' April 2024 dwar ir-Regolament Delegat tal-Kummissjoni tal-14 ta’ Marzu 2024 li jemenda r-Regolament (UE) 2015/2283 tal-Parlament Ewropew u tal-Kunsill dwar ikel ġdid fir-rigward tad-definizzjoni ta’ “</w:t>
      </w:r>
      <w:proofErr w:type="spellStart"/>
      <w:r w:rsidRPr="005900D3">
        <w:t>nanomaterjali</w:t>
      </w:r>
      <w:proofErr w:type="spellEnd"/>
      <w:r w:rsidRPr="005900D3">
        <w:t xml:space="preserve"> maħdumin”</w:t>
      </w:r>
      <w:bookmarkEnd w:id="5"/>
      <w:r w:rsidRPr="005900D3">
        <w:t xml:space="preserve"> </w:t>
      </w:r>
      <w:bookmarkStart w:id="6" w:name="References"/>
      <w:r w:rsidRPr="005900D3">
        <w:t>(C(2024)01612 – 2024/2691(DEA))</w:t>
      </w:r>
      <w:bookmarkEnd w:id="6"/>
    </w:p>
    <w:p w:rsidR="00C57D6D" w:rsidRPr="005900D3" w:rsidRDefault="00C57D6D" w:rsidP="00C57D6D">
      <w:pPr>
        <w:pStyle w:val="EPComma"/>
      </w:pPr>
      <w:bookmarkStart w:id="7" w:name="TextBodyBegin"/>
      <w:bookmarkEnd w:id="7"/>
      <w:r w:rsidRPr="005900D3">
        <w:rPr>
          <w:i/>
          <w:iCs/>
        </w:rPr>
        <w:t>Il-Parlament Ewropew</w:t>
      </w:r>
      <w:r w:rsidRPr="005900D3">
        <w:t>,</w:t>
      </w:r>
    </w:p>
    <w:p w:rsidR="00C57D6D" w:rsidRPr="005900D3" w:rsidRDefault="00C57D6D" w:rsidP="00C57D6D">
      <w:pPr>
        <w:pStyle w:val="NormalHanging12a"/>
      </w:pPr>
      <w:r w:rsidRPr="005900D3">
        <w:t>–</w:t>
      </w:r>
      <w:r w:rsidRPr="005900D3">
        <w:tab/>
        <w:t xml:space="preserve">wara li </w:t>
      </w:r>
      <w:proofErr w:type="spellStart"/>
      <w:r w:rsidRPr="005900D3">
        <w:t>kkunsidra</w:t>
      </w:r>
      <w:proofErr w:type="spellEnd"/>
      <w:r w:rsidRPr="005900D3">
        <w:t xml:space="preserve"> r-Regolament Delegat tal-Kummissjoni tal-14 ta’ Marzu 2024 li jemenda r-Regolament (UE) 2015/2283 tal-Parlament Ewropew u tal-Kunsill dwar ikel ġdid fir-rigward tad-definizzjoni ta’ “</w:t>
      </w:r>
      <w:proofErr w:type="spellStart"/>
      <w:r w:rsidRPr="005900D3">
        <w:t>nanomaterjali</w:t>
      </w:r>
      <w:proofErr w:type="spellEnd"/>
      <w:r w:rsidRPr="005900D3">
        <w:t xml:space="preserve"> maħdumin” (C(2024)01612),</w:t>
      </w:r>
    </w:p>
    <w:p w:rsidR="00C57D6D" w:rsidRPr="005900D3" w:rsidRDefault="00C57D6D" w:rsidP="00C57D6D">
      <w:pPr>
        <w:pStyle w:val="NormalHanging12a"/>
      </w:pPr>
      <w:r w:rsidRPr="005900D3">
        <w:t>–</w:t>
      </w:r>
      <w:r w:rsidRPr="005900D3">
        <w:tab/>
        <w:t xml:space="preserve">wara li </w:t>
      </w:r>
      <w:proofErr w:type="spellStart"/>
      <w:r w:rsidRPr="005900D3">
        <w:t>kkunsidra</w:t>
      </w:r>
      <w:proofErr w:type="spellEnd"/>
      <w:r w:rsidRPr="005900D3">
        <w:t xml:space="preserve"> l-Artikolu 290 tat-Trattat dwar il-Funzjonament tal-Unjoni Ewropea (TFUE),</w:t>
      </w:r>
    </w:p>
    <w:p w:rsidR="00C57D6D" w:rsidRPr="005900D3" w:rsidRDefault="00C57D6D" w:rsidP="00C57D6D">
      <w:pPr>
        <w:pStyle w:val="NormalHanging12a"/>
        <w:rPr>
          <w:noProof/>
        </w:rPr>
      </w:pPr>
      <w:r w:rsidRPr="005900D3">
        <w:t>–</w:t>
      </w:r>
      <w:r w:rsidRPr="005900D3">
        <w:tab/>
        <w:t xml:space="preserve">wara li </w:t>
      </w:r>
      <w:proofErr w:type="spellStart"/>
      <w:r w:rsidRPr="005900D3">
        <w:t>kkunsidra</w:t>
      </w:r>
      <w:proofErr w:type="spellEnd"/>
      <w:r w:rsidRPr="005900D3">
        <w:t xml:space="preserve"> r-Regolament (UE) 2015/2283 tal-Parlament Ewropew u tal-Kunsill tal-25 ta’ Novembru 2015 dwar ikel ġdid, li jemenda r-Regolament (UE) Nru 1169/2011 tal-Parlament Ewropew u tal-Kunsill u li jħassar ir-Regolament (KE) Nru 258/97 tal-Parlament Ewropew u tal-Kunsill u r-Regolament tal-Kummissjoni (KE) Nru 1852/2001</w:t>
      </w:r>
      <w:r w:rsidRPr="005900D3">
        <w:rPr>
          <w:rStyle w:val="FootnoteReference"/>
          <w:noProof/>
          <w:color w:val="000000"/>
          <w:szCs w:val="24"/>
        </w:rPr>
        <w:footnoteReference w:id="1"/>
      </w:r>
      <w:r w:rsidRPr="005900D3">
        <w:t>, u b’mod partikolari l-Artikolu 31 u l-Artikolu 32(6) tiegħu,</w:t>
      </w:r>
    </w:p>
    <w:p w:rsidR="00C57D6D" w:rsidRPr="005900D3" w:rsidRDefault="00C57D6D" w:rsidP="00C57D6D">
      <w:pPr>
        <w:pStyle w:val="NormalHanging12a"/>
      </w:pPr>
      <w:r w:rsidRPr="005900D3">
        <w:t>–</w:t>
      </w:r>
      <w:r w:rsidRPr="005900D3">
        <w:tab/>
        <w:t xml:space="preserve">wara li </w:t>
      </w:r>
      <w:proofErr w:type="spellStart"/>
      <w:r w:rsidRPr="005900D3">
        <w:t>kkunsidra</w:t>
      </w:r>
      <w:proofErr w:type="spellEnd"/>
      <w:r w:rsidRPr="005900D3">
        <w:t xml:space="preserve"> r-Regolament (UE) Nru 1169/2011 tal-Parlament Ewropew u tal-Kunsill tal-25 ta’ Ottubru 2011 dwar l-għoti ta’ informazzjoni dwar l-ikel lill-konsumaturi, li jemenda r-Regolamenti (KE) Nru 1924/2006 u (KE) Nru 1925/2006 tal-Parlament Ewropew u tal-Kunsill, u li jħassar id-Direttiva tal-Kummissjoni 87/250/KEE, id-Direttiva tal-Kunsill 90/496/KEE, id-Direttiva tal-Kummissjoni 1999/10/KE, id-Direttiva 2000/13/KE tal-Parlament Ewropew u tal-Kunsill, id-Direttivi tal-Kummissjoni 2002/67/KE u 2008/5/KE u r-Regolament tal-Kummissjoni (KE) Nru 608/2004</w:t>
      </w:r>
      <w:r w:rsidRPr="005900D3">
        <w:rPr>
          <w:rStyle w:val="FootnoteReference"/>
          <w:noProof/>
          <w:color w:val="000000"/>
          <w:szCs w:val="24"/>
        </w:rPr>
        <w:footnoteReference w:id="2"/>
      </w:r>
      <w:r w:rsidRPr="005900D3">
        <w:t>, u b’mod partikolari l-Artikolu 18(3) tiegħu,</w:t>
      </w:r>
    </w:p>
    <w:p w:rsidR="00C57D6D" w:rsidRPr="005900D3" w:rsidRDefault="00C57D6D" w:rsidP="00C57D6D">
      <w:pPr>
        <w:pStyle w:val="NormalHanging12a"/>
      </w:pPr>
      <w:r w:rsidRPr="005900D3">
        <w:t>–</w:t>
      </w:r>
      <w:r w:rsidRPr="005900D3">
        <w:tab/>
        <w:t xml:space="preserve">wara li </w:t>
      </w:r>
      <w:proofErr w:type="spellStart"/>
      <w:r w:rsidRPr="005900D3">
        <w:t>kkunsidra</w:t>
      </w:r>
      <w:proofErr w:type="spellEnd"/>
      <w:r w:rsidRPr="005900D3">
        <w:t xml:space="preserve"> r-Regolament (KE) Nru 1333/2008 tal-Parlament Ewropew u tal-</w:t>
      </w:r>
      <w:r w:rsidRPr="005900D3">
        <w:lastRenderedPageBreak/>
        <w:t>Kunsill tas-16 ta’ Diċembru 2008 dwar l-addittivi tal-ikel</w:t>
      </w:r>
      <w:r w:rsidRPr="005900D3">
        <w:rPr>
          <w:rStyle w:val="FootnoteReference"/>
          <w:color w:val="000000"/>
          <w:szCs w:val="24"/>
        </w:rPr>
        <w:footnoteReference w:id="3"/>
      </w:r>
      <w:r w:rsidRPr="005900D3">
        <w:t>,</w:t>
      </w:r>
    </w:p>
    <w:p w:rsidR="00C57D6D" w:rsidRPr="005900D3" w:rsidRDefault="00C57D6D" w:rsidP="00C57D6D">
      <w:pPr>
        <w:pStyle w:val="NormalHanging12a"/>
      </w:pPr>
      <w:r w:rsidRPr="005900D3">
        <w:t>–</w:t>
      </w:r>
      <w:r w:rsidRPr="005900D3">
        <w:tab/>
        <w:t xml:space="preserve">wara li </w:t>
      </w:r>
      <w:proofErr w:type="spellStart"/>
      <w:r w:rsidRPr="005900D3">
        <w:t>kkunsidra</w:t>
      </w:r>
      <w:proofErr w:type="spellEnd"/>
      <w:r w:rsidRPr="005900D3">
        <w:t xml:space="preserve"> l-listi tal-Unjoni stabbiliti bir-Regolament tal-Kummissjoni (UE) Nru 1129/2011 tal-11 ta’ Novembru 2011 li jemenda l-Anness II għar-Regolament (KE) Nru 1333/2008 tal-Parlament Ewropew u tal-Kunsill billi jistabbilixxi lista tal-Unjoni ta’ addittivi tal-ikel</w:t>
      </w:r>
      <w:r w:rsidRPr="005900D3">
        <w:rPr>
          <w:rStyle w:val="FootnoteReference"/>
          <w:color w:val="000000"/>
          <w:szCs w:val="24"/>
        </w:rPr>
        <w:footnoteReference w:id="4"/>
      </w:r>
      <w:r w:rsidRPr="005900D3">
        <w:t xml:space="preserve"> u r-Regolament tal-Kummissjoni (UE) Nru 1130/2011 tal-11 ta’ Novembru 2011 li jemenda l-Anness III tar-Regolament (KE) Nru 1333/2008 tal-Parlament Ewropew u tal-Kunsill dwar l-addittivi tal-ikel billi jistabbilixxi lista tal-Unjoni tal-addittivi tal-ikel approvati għall-użu fl-addittivi tal-ikel, l-</w:t>
      </w:r>
      <w:proofErr w:type="spellStart"/>
      <w:r w:rsidRPr="005900D3">
        <w:t>enżimi</w:t>
      </w:r>
      <w:proofErr w:type="spellEnd"/>
      <w:r w:rsidRPr="005900D3">
        <w:t xml:space="preserve"> tal-ikel, l-</w:t>
      </w:r>
      <w:proofErr w:type="spellStart"/>
      <w:r w:rsidRPr="005900D3">
        <w:t>aromatizzanti</w:t>
      </w:r>
      <w:proofErr w:type="spellEnd"/>
      <w:r w:rsidRPr="005900D3">
        <w:t xml:space="preserve"> u n-nutrijenti tal-ikel</w:t>
      </w:r>
      <w:r w:rsidRPr="005900D3">
        <w:rPr>
          <w:rStyle w:val="FootnoteReference"/>
          <w:color w:val="000000"/>
          <w:szCs w:val="24"/>
        </w:rPr>
        <w:footnoteReference w:id="5"/>
      </w:r>
      <w:r w:rsidRPr="005900D3">
        <w:t>,</w:t>
      </w:r>
    </w:p>
    <w:p w:rsidR="00C57D6D" w:rsidRPr="005900D3" w:rsidRDefault="00C57D6D" w:rsidP="00C57D6D">
      <w:pPr>
        <w:pStyle w:val="NormalHanging12a"/>
      </w:pPr>
      <w:r w:rsidRPr="005900D3">
        <w:t>–</w:t>
      </w:r>
      <w:r w:rsidRPr="005900D3">
        <w:tab/>
        <w:t xml:space="preserve">wara li </w:t>
      </w:r>
      <w:proofErr w:type="spellStart"/>
      <w:r w:rsidRPr="005900D3">
        <w:t>kkunsidra</w:t>
      </w:r>
      <w:proofErr w:type="spellEnd"/>
      <w:r w:rsidRPr="005900D3">
        <w:t xml:space="preserve"> r-Regolament tal-Kummissjoni (UE) Nru 257/2010 tal-25 ta’ Marzu 2010 li jistabbilixxi programm għar-rivalutazzjoni tal-addittivi tal-ikel approvati skont ir-Regolament (KE) Nru 1333/2008 tal-Parlament Ewropew u tal-Kunsill dwar l-addittivi tal-ikel</w:t>
      </w:r>
      <w:r w:rsidRPr="005900D3">
        <w:rPr>
          <w:rStyle w:val="FootnoteReference"/>
          <w:color w:val="000000"/>
          <w:szCs w:val="24"/>
        </w:rPr>
        <w:footnoteReference w:id="6"/>
      </w:r>
      <w:r w:rsidRPr="005900D3">
        <w:t>,</w:t>
      </w:r>
    </w:p>
    <w:p w:rsidR="00C57D6D" w:rsidRPr="005900D3" w:rsidRDefault="00C57D6D" w:rsidP="00C57D6D">
      <w:pPr>
        <w:pStyle w:val="NormalHanging12a"/>
      </w:pPr>
      <w:r w:rsidRPr="005900D3">
        <w:t>–</w:t>
      </w:r>
      <w:r w:rsidRPr="005900D3">
        <w:tab/>
        <w:t xml:space="preserve">wara li </w:t>
      </w:r>
      <w:proofErr w:type="spellStart"/>
      <w:r w:rsidRPr="005900D3">
        <w:t>kkunsidra</w:t>
      </w:r>
      <w:proofErr w:type="spellEnd"/>
      <w:r w:rsidRPr="005900D3">
        <w:t xml:space="preserve"> l-Artikolu 111(3) tar-Regoli ta’ Proċedura tiegħu,</w:t>
      </w:r>
    </w:p>
    <w:p w:rsidR="00C57D6D" w:rsidRPr="005900D3" w:rsidRDefault="00C57D6D" w:rsidP="00C57D6D">
      <w:pPr>
        <w:pStyle w:val="NormalHanging12a"/>
      </w:pPr>
      <w:r w:rsidRPr="005900D3">
        <w:t>–</w:t>
      </w:r>
      <w:r w:rsidRPr="005900D3">
        <w:tab/>
        <w:t xml:space="preserve">wara li </w:t>
      </w:r>
      <w:proofErr w:type="spellStart"/>
      <w:r w:rsidRPr="005900D3">
        <w:t>kkunsidra</w:t>
      </w:r>
      <w:proofErr w:type="spellEnd"/>
      <w:r w:rsidRPr="005900D3">
        <w:t xml:space="preserve"> l-mozzjoni għal riżoluzzjoni tal-Kumitat għall-Ambjent, is-Saħħa Pubblika u s-Sikurezza tal-Ikel,</w:t>
      </w:r>
    </w:p>
    <w:p w:rsidR="00C57D6D" w:rsidRPr="005900D3" w:rsidRDefault="00C57D6D" w:rsidP="00C57D6D">
      <w:pPr>
        <w:pStyle w:val="NormalHanging12a"/>
      </w:pPr>
      <w:r w:rsidRPr="005900D3">
        <w:t>A.</w:t>
      </w:r>
      <w:r w:rsidRPr="005900D3">
        <w:tab/>
        <w:t xml:space="preserve">billi l-Artikolu 18(3) tar-Regolament (UE) Nru 1169/2011 jipprovdi li kull ingredjent preżenti fil-forma ta’ </w:t>
      </w:r>
      <w:proofErr w:type="spellStart"/>
      <w:r w:rsidRPr="005900D3">
        <w:t>nanomaterjali</w:t>
      </w:r>
      <w:proofErr w:type="spellEnd"/>
      <w:r w:rsidRPr="005900D3">
        <w:t xml:space="preserve"> maħdumin għandu jkun indikat ċar fil-lista tal-ingredjenti tal-ikel biex tkun żgurata l-informazzjoni lill-konsumaturi; billi, għalhekk, ir-Regolament (UE) Nru 1169/2011 jiddefinixxi “</w:t>
      </w:r>
      <w:proofErr w:type="spellStart"/>
      <w:r w:rsidRPr="005900D3">
        <w:t>nanomaterjali</w:t>
      </w:r>
      <w:proofErr w:type="spellEnd"/>
      <w:r w:rsidRPr="005900D3">
        <w:t xml:space="preserve"> maħdumin” kif stabbilit mill-Artikolu 3(2), punt (f), tar-Regolament (UE) 2015/2283;</w:t>
      </w:r>
    </w:p>
    <w:p w:rsidR="00C57D6D" w:rsidRPr="005900D3" w:rsidRDefault="00C57D6D" w:rsidP="00C57D6D">
      <w:pPr>
        <w:pStyle w:val="NormalHanging12a"/>
      </w:pPr>
      <w:r w:rsidRPr="005900D3">
        <w:t>B.</w:t>
      </w:r>
      <w:r w:rsidRPr="005900D3">
        <w:tab/>
        <w:t xml:space="preserve">billi l-Artikolu 31 tar-Regolament (UE) 2015/2283 jagħti s-setgħa lill-Kummissjoni li taġġusta u </w:t>
      </w:r>
      <w:proofErr w:type="spellStart"/>
      <w:r w:rsidRPr="005900D3">
        <w:t>tadatta</w:t>
      </w:r>
      <w:proofErr w:type="spellEnd"/>
      <w:r w:rsidRPr="005900D3">
        <w:t>, permezz ta’ atti delegati, id-definizzjoni msemmija fih ta’ “</w:t>
      </w:r>
      <w:proofErr w:type="spellStart"/>
      <w:r w:rsidRPr="005900D3">
        <w:t>nanomaterjali</w:t>
      </w:r>
      <w:proofErr w:type="spellEnd"/>
      <w:r w:rsidRPr="005900D3">
        <w:t xml:space="preserve"> maħdumin” għall-progress tekniku jew xjentifiku jew għal </w:t>
      </w:r>
      <w:proofErr w:type="spellStart"/>
      <w:r w:rsidRPr="005900D3">
        <w:t>definizzjonijiet</w:t>
      </w:r>
      <w:proofErr w:type="spellEnd"/>
      <w:r w:rsidRPr="005900D3">
        <w:t xml:space="preserve"> miftiehma f’livell internazzjonali, bil-ħsieb li jintlaħqu l-objettivi ta’ dak ir-Regolament;</w:t>
      </w:r>
    </w:p>
    <w:p w:rsidR="00C57D6D" w:rsidRPr="005900D3" w:rsidRDefault="00C57D6D" w:rsidP="00C57D6D">
      <w:pPr>
        <w:pStyle w:val="NormalHanging12a"/>
      </w:pPr>
      <w:r w:rsidRPr="005900D3">
        <w:t>C.</w:t>
      </w:r>
      <w:r w:rsidRPr="005900D3">
        <w:tab/>
        <w:t xml:space="preserve">billi, permezz tar-Regolamenti (UE) Nru 1129/2011 u (UE) Nru 1130/2011, ġew stabbiliti listi komprensivi tal-Unjoni li jelenkaw l-addittivi tal-ikel li kienu permessi għall-użu qabel ma daħal fis-seħħ ir-Regolament (KE) Nru 1333/2008, wara </w:t>
      </w:r>
      <w:proofErr w:type="spellStart"/>
      <w:r w:rsidRPr="005900D3">
        <w:t>rieżami</w:t>
      </w:r>
      <w:proofErr w:type="spellEnd"/>
      <w:r w:rsidRPr="005900D3">
        <w:t xml:space="preserve"> tal-</w:t>
      </w:r>
      <w:proofErr w:type="spellStart"/>
      <w:r w:rsidRPr="005900D3">
        <w:t>konformità</w:t>
      </w:r>
      <w:proofErr w:type="spellEnd"/>
      <w:r w:rsidRPr="005900D3">
        <w:t xml:space="preserve"> tagħhom mad-dispożizzjonijiet ta’ dan tal-aħħar;</w:t>
      </w:r>
    </w:p>
    <w:p w:rsidR="00C57D6D" w:rsidRPr="005900D3" w:rsidRDefault="00C57D6D" w:rsidP="00C57D6D">
      <w:pPr>
        <w:pStyle w:val="NormalHanging12a"/>
        <w:rPr>
          <w:i/>
        </w:rPr>
      </w:pPr>
      <w:r w:rsidRPr="005900D3">
        <w:rPr>
          <w:i/>
        </w:rPr>
        <w:t xml:space="preserve">Il-konsegwenzi </w:t>
      </w:r>
      <w:proofErr w:type="spellStart"/>
      <w:r w:rsidRPr="005900D3">
        <w:rPr>
          <w:i/>
        </w:rPr>
        <w:t>tad-definizzjonijiet</w:t>
      </w:r>
      <w:proofErr w:type="spellEnd"/>
    </w:p>
    <w:p w:rsidR="00C57D6D" w:rsidRPr="005900D3" w:rsidRDefault="00C57D6D" w:rsidP="00C57D6D">
      <w:pPr>
        <w:pStyle w:val="NormalHanging12a"/>
      </w:pPr>
      <w:r w:rsidRPr="005900D3">
        <w:t>D.</w:t>
      </w:r>
      <w:r w:rsidRPr="005900D3">
        <w:tab/>
        <w:t>billi d-definizzjoni tar-regolament delegat tal-Kummissjoni ta’ “</w:t>
      </w:r>
      <w:proofErr w:type="spellStart"/>
      <w:r w:rsidRPr="005900D3">
        <w:t>nanomaterjal</w:t>
      </w:r>
      <w:proofErr w:type="spellEnd"/>
      <w:r w:rsidRPr="005900D3">
        <w:t xml:space="preserve"> maħdum” se tiddetermina jekk ikel għandux jiġi </w:t>
      </w:r>
      <w:proofErr w:type="spellStart"/>
      <w:r w:rsidRPr="005900D3">
        <w:t>ttikkettat</w:t>
      </w:r>
      <w:proofErr w:type="spellEnd"/>
      <w:r w:rsidRPr="005900D3">
        <w:t xml:space="preserve"> bħala “[</w:t>
      </w:r>
      <w:proofErr w:type="spellStart"/>
      <w:r w:rsidRPr="005900D3">
        <w:t>nano</w:t>
      </w:r>
      <w:proofErr w:type="spellEnd"/>
      <w:r w:rsidRPr="005900D3">
        <w:t>]” fil-lista tal-ingredjenti, kif imsemmi fl-Artikolu 18(3) tar-Regolament (UE) Nru 1169/2011;</w:t>
      </w:r>
    </w:p>
    <w:p w:rsidR="00C57D6D" w:rsidRPr="005900D3" w:rsidRDefault="00C57D6D" w:rsidP="00C57D6D">
      <w:pPr>
        <w:pStyle w:val="NormalHanging12a"/>
      </w:pPr>
      <w:r w:rsidRPr="005900D3">
        <w:t>E.</w:t>
      </w:r>
      <w:r w:rsidRPr="005900D3">
        <w:tab/>
        <w:t xml:space="preserve">billi r-regolament delegat tal-Kummissjoni għandu l-għan li jindirizza kwistjonijiet ta’ interpretazzjoni li joħorġu mid-definizzjoni attwali billi jintroduċi elementi oġġettivi biex jiddeterminaw jekk </w:t>
      </w:r>
      <w:proofErr w:type="spellStart"/>
      <w:r w:rsidRPr="005900D3">
        <w:t>nanomaterjal</w:t>
      </w:r>
      <w:proofErr w:type="spellEnd"/>
      <w:r w:rsidRPr="005900D3">
        <w:t xml:space="preserve"> huwiex “maħdum” jew le, bħal permezz tas-</w:t>
      </w:r>
      <w:r w:rsidRPr="005900D3">
        <w:lastRenderedPageBreak/>
        <w:t>sostituzzjoni ta’ “[materjal] prodott intenzjonalment” ma’ “manifatturat”;</w:t>
      </w:r>
    </w:p>
    <w:p w:rsidR="00C57D6D" w:rsidRPr="005900D3" w:rsidRDefault="00C57D6D" w:rsidP="00C57D6D">
      <w:pPr>
        <w:pStyle w:val="NormalHanging12a"/>
      </w:pPr>
      <w:r w:rsidRPr="005900D3">
        <w:t>F.</w:t>
      </w:r>
      <w:r w:rsidRPr="005900D3">
        <w:tab/>
        <w:t xml:space="preserve">billi r-regolament delegat tal-Kummissjoni </w:t>
      </w:r>
      <w:proofErr w:type="spellStart"/>
      <w:r w:rsidRPr="005900D3">
        <w:t>jipprekludi</w:t>
      </w:r>
      <w:proofErr w:type="spellEnd"/>
      <w:r w:rsidRPr="005900D3">
        <w:t xml:space="preserve"> partiċelli li mhumiex fi stat solidu, bħal </w:t>
      </w:r>
      <w:proofErr w:type="spellStart"/>
      <w:r w:rsidRPr="005900D3">
        <w:t>miċelli</w:t>
      </w:r>
      <w:proofErr w:type="spellEnd"/>
      <w:r w:rsidRPr="005900D3">
        <w:t xml:space="preserve">, </w:t>
      </w:r>
      <w:proofErr w:type="spellStart"/>
      <w:r w:rsidRPr="005900D3">
        <w:t>liposomi</w:t>
      </w:r>
      <w:proofErr w:type="spellEnd"/>
      <w:r w:rsidRPr="005900D3">
        <w:t xml:space="preserve">, jew qtar </w:t>
      </w:r>
      <w:proofErr w:type="spellStart"/>
      <w:r w:rsidRPr="005900D3">
        <w:t>nanoskala</w:t>
      </w:r>
      <w:proofErr w:type="spellEnd"/>
      <w:r w:rsidRPr="005900D3">
        <w:t xml:space="preserve"> f’</w:t>
      </w:r>
      <w:proofErr w:type="spellStart"/>
      <w:r w:rsidRPr="005900D3">
        <w:t>emulsjoni</w:t>
      </w:r>
      <w:proofErr w:type="spellEnd"/>
      <w:r w:rsidRPr="005900D3">
        <w:t>, u ingredjenti li fihom inqas minn 50 % ta’ partiċelli ta’ daqs inqas minn 100 </w:t>
      </w:r>
      <w:proofErr w:type="spellStart"/>
      <w:r w:rsidRPr="005900D3">
        <w:t>nm</w:t>
      </w:r>
      <w:proofErr w:type="spellEnd"/>
      <w:r w:rsidRPr="005900D3">
        <w:t xml:space="preserve"> milli jitqiesu bħala </w:t>
      </w:r>
      <w:proofErr w:type="spellStart"/>
      <w:r w:rsidRPr="005900D3">
        <w:t>nanomaterjali</w:t>
      </w:r>
      <w:proofErr w:type="spellEnd"/>
      <w:r w:rsidRPr="005900D3">
        <w:t xml:space="preserve"> fl-ikel;</w:t>
      </w:r>
    </w:p>
    <w:p w:rsidR="00C57D6D" w:rsidRPr="005900D3" w:rsidRDefault="00C57D6D" w:rsidP="00C57D6D">
      <w:pPr>
        <w:pStyle w:val="NormalHanging12a"/>
      </w:pPr>
      <w:r w:rsidRPr="005900D3">
        <w:t>G.</w:t>
      </w:r>
      <w:r w:rsidRPr="005900D3">
        <w:tab/>
        <w:t xml:space="preserve">billi l-valur ta’ limitu </w:t>
      </w:r>
      <w:proofErr w:type="spellStart"/>
      <w:r w:rsidRPr="005900D3">
        <w:t>predefinit</w:t>
      </w:r>
      <w:proofErr w:type="spellEnd"/>
      <w:r w:rsidRPr="005900D3">
        <w:t xml:space="preserve"> propost ta’ 50 % jew aktar partiċelli fuq skala </w:t>
      </w:r>
      <w:proofErr w:type="spellStart"/>
      <w:r w:rsidRPr="005900D3">
        <w:t>nano</w:t>
      </w:r>
      <w:proofErr w:type="spellEnd"/>
      <w:r w:rsidRPr="005900D3">
        <w:t xml:space="preserve"> huwa arbitrarju u inqas protettiv mill-interpretazzjoni li ngħatat minn xi Stati Membri, pereżempju minn Franza, tad-definizzjoni fir-Regolament (UE) 2015/2283; billi dak ir-Regolament ma </w:t>
      </w:r>
      <w:proofErr w:type="spellStart"/>
      <w:r w:rsidRPr="005900D3">
        <w:t>jikkunsidrax</w:t>
      </w:r>
      <w:proofErr w:type="spellEnd"/>
      <w:r w:rsidRPr="005900D3">
        <w:t xml:space="preserve"> valur ta’ limitu ta’ distribuzzjoni tad-daqs għal partiċelli taħt il-100 </w:t>
      </w:r>
      <w:proofErr w:type="spellStart"/>
      <w:r w:rsidRPr="005900D3">
        <w:t>nm</w:t>
      </w:r>
      <w:proofErr w:type="spellEnd"/>
      <w:r w:rsidRPr="005900D3">
        <w:t>;</w:t>
      </w:r>
    </w:p>
    <w:p w:rsidR="00C57D6D" w:rsidRPr="005900D3" w:rsidRDefault="00C57D6D" w:rsidP="00C57D6D">
      <w:pPr>
        <w:spacing w:after="240"/>
        <w:ind w:left="567" w:hanging="567"/>
        <w:jc w:val="both"/>
        <w:rPr>
          <w:szCs w:val="24"/>
        </w:rPr>
      </w:pPr>
      <w:r w:rsidRPr="005900D3">
        <w:t>H.</w:t>
      </w:r>
      <w:r w:rsidRPr="005900D3">
        <w:tab/>
        <w:t xml:space="preserve">billi d-definizzjoni proposta potenzjalment teskludi ħafna </w:t>
      </w:r>
      <w:proofErr w:type="spellStart"/>
      <w:r w:rsidRPr="005900D3">
        <w:t>nanosustanzi</w:t>
      </w:r>
      <w:proofErr w:type="spellEnd"/>
      <w:r w:rsidRPr="005900D3">
        <w:t xml:space="preserve"> mill-kamp ta’ applikazzjoni tar-Regolament (UE) Nru 1169/2011, li għalhekk ma jkunux soġġetti għall-obbligu tat-</w:t>
      </w:r>
      <w:proofErr w:type="spellStart"/>
      <w:r w:rsidRPr="005900D3">
        <w:t>tikkettar</w:t>
      </w:r>
      <w:proofErr w:type="spellEnd"/>
      <w:r w:rsidRPr="005900D3">
        <w:t xml:space="preserve"> “[</w:t>
      </w:r>
      <w:proofErr w:type="spellStart"/>
      <w:r w:rsidRPr="005900D3">
        <w:t>nano</w:t>
      </w:r>
      <w:proofErr w:type="spellEnd"/>
      <w:r w:rsidRPr="005900D3">
        <w:t xml:space="preserve">]”; billi l-Kummissjoni tindika fil-punt 3 tal-memorandum ta’ spjegazzjoni tagħha li “n-numru ta’ materjali użati fl-ikel li jista’ jkun fihom ċerta frazzjoni ta’ </w:t>
      </w:r>
      <w:proofErr w:type="spellStart"/>
      <w:r w:rsidRPr="005900D3">
        <w:t>nanopartiċelli</w:t>
      </w:r>
      <w:proofErr w:type="spellEnd"/>
      <w:r w:rsidRPr="005900D3">
        <w:t xml:space="preserve"> huwa limitat u l-biċċa l-kbira ta’ dawn, jekk mhux kollha, huma materjali mhumiex ġodda” u li “l-potenzjal l-</w:t>
      </w:r>
      <w:proofErr w:type="spellStart"/>
      <w:r w:rsidRPr="005900D3">
        <w:t>impatti</w:t>
      </w:r>
      <w:proofErr w:type="spellEnd"/>
      <w:r w:rsidRPr="005900D3">
        <w:t xml:space="preserve"> tal-att delegat għalhekk se jikkonċernaw biss numru limitat ħafna ta’ materjali”;</w:t>
      </w:r>
    </w:p>
    <w:p w:rsidR="00C57D6D" w:rsidRPr="005900D3" w:rsidRDefault="00C57D6D" w:rsidP="00C57D6D">
      <w:pPr>
        <w:spacing w:after="240"/>
        <w:ind w:left="567" w:hanging="567"/>
        <w:jc w:val="both"/>
        <w:rPr>
          <w:color w:val="0D0D0D"/>
          <w:szCs w:val="24"/>
        </w:rPr>
      </w:pPr>
      <w:r w:rsidRPr="005900D3">
        <w:t xml:space="preserve">I. </w:t>
      </w:r>
      <w:r w:rsidRPr="005900D3">
        <w:tab/>
        <w:t xml:space="preserve">billi, attwalment, huma preċiżament l-addittivi tal-ikel li jistgħu jkunu preżenti bħala </w:t>
      </w:r>
      <w:proofErr w:type="spellStart"/>
      <w:r w:rsidRPr="005900D3">
        <w:t>nanomaterjali</w:t>
      </w:r>
      <w:proofErr w:type="spellEnd"/>
      <w:r w:rsidRPr="005900D3">
        <w:t xml:space="preserve"> fl-ikel; billi l-</w:t>
      </w:r>
      <w:r w:rsidRPr="005900D3">
        <w:rPr>
          <w:color w:val="0D0D0D"/>
        </w:rPr>
        <w:t>Aġenzija Nazzjonali Franċiża għas-Saħħa u s-Sigurtà (</w:t>
      </w:r>
      <w:r w:rsidRPr="005900D3">
        <w:t xml:space="preserve">ANSES) kienet elenkat 37 </w:t>
      </w:r>
      <w:proofErr w:type="spellStart"/>
      <w:r w:rsidRPr="005900D3">
        <w:t>nanosustanza</w:t>
      </w:r>
      <w:proofErr w:type="spellEnd"/>
      <w:r w:rsidRPr="005900D3">
        <w:t xml:space="preserve"> użati f’aktar minn 900 prodott tal-ikel</w:t>
      </w:r>
      <w:r w:rsidRPr="005900D3">
        <w:rPr>
          <w:rStyle w:val="FootnoteReference"/>
          <w:szCs w:val="24"/>
        </w:rPr>
        <w:footnoteReference w:id="7"/>
      </w:r>
      <w:r w:rsidRPr="005900D3">
        <w:t>;</w:t>
      </w:r>
      <w:r w:rsidRPr="005900D3">
        <w:rPr>
          <w:color w:val="0D0D0D"/>
        </w:rPr>
        <w:t xml:space="preserve"> billi t-testijiet imwettqa minn organizzazzjonijiet tal-konsumatur u organizzazzjonijiet mhux governattivi (</w:t>
      </w:r>
      <w:proofErr w:type="spellStart"/>
      <w:r w:rsidRPr="005900D3">
        <w:rPr>
          <w:color w:val="0D0D0D"/>
        </w:rPr>
        <w:t>Agir</w:t>
      </w:r>
      <w:proofErr w:type="spellEnd"/>
      <w:r w:rsidRPr="005900D3">
        <w:rPr>
          <w:color w:val="0D0D0D"/>
        </w:rPr>
        <w:t xml:space="preserve"> </w:t>
      </w:r>
      <w:proofErr w:type="spellStart"/>
      <w:r w:rsidRPr="005900D3">
        <w:rPr>
          <w:color w:val="0D0D0D"/>
        </w:rPr>
        <w:t>pour</w:t>
      </w:r>
      <w:proofErr w:type="spellEnd"/>
      <w:r w:rsidRPr="005900D3">
        <w:rPr>
          <w:color w:val="0D0D0D"/>
        </w:rPr>
        <w:t xml:space="preserve"> l’</w:t>
      </w:r>
      <w:proofErr w:type="spellStart"/>
      <w:r w:rsidRPr="005900D3">
        <w:rPr>
          <w:color w:val="0D0D0D"/>
        </w:rPr>
        <w:t>Environnement</w:t>
      </w:r>
      <w:proofErr w:type="spellEnd"/>
      <w:r w:rsidRPr="005900D3">
        <w:rPr>
          <w:rStyle w:val="FootnoteReference"/>
          <w:color w:val="0D0D0D"/>
          <w:szCs w:val="24"/>
        </w:rPr>
        <w:footnoteReference w:id="8"/>
      </w:r>
      <w:r w:rsidRPr="005900D3">
        <w:rPr>
          <w:color w:val="0D0D0D"/>
        </w:rPr>
        <w:t xml:space="preserve">, </w:t>
      </w:r>
      <w:proofErr w:type="spellStart"/>
      <w:r w:rsidRPr="005900D3">
        <w:rPr>
          <w:color w:val="0D0D0D"/>
        </w:rPr>
        <w:t>Que</w:t>
      </w:r>
      <w:proofErr w:type="spellEnd"/>
      <w:r w:rsidRPr="005900D3">
        <w:rPr>
          <w:color w:val="0D0D0D"/>
        </w:rPr>
        <w:t xml:space="preserve"> </w:t>
      </w:r>
      <w:proofErr w:type="spellStart"/>
      <w:r w:rsidRPr="005900D3">
        <w:rPr>
          <w:color w:val="0D0D0D"/>
        </w:rPr>
        <w:t>Choisir</w:t>
      </w:r>
      <w:proofErr w:type="spellEnd"/>
      <w:r w:rsidRPr="005900D3">
        <w:rPr>
          <w:rStyle w:val="FootnoteReference"/>
          <w:color w:val="0D0D0D"/>
          <w:szCs w:val="24"/>
        </w:rPr>
        <w:footnoteReference w:id="9"/>
      </w:r>
      <w:r w:rsidRPr="005900D3">
        <w:rPr>
          <w:color w:val="0D0D0D"/>
        </w:rPr>
        <w:t xml:space="preserve">, 60 </w:t>
      </w:r>
      <w:proofErr w:type="spellStart"/>
      <w:r w:rsidRPr="005900D3">
        <w:rPr>
          <w:color w:val="0D0D0D"/>
        </w:rPr>
        <w:t>Millions</w:t>
      </w:r>
      <w:proofErr w:type="spellEnd"/>
      <w:r w:rsidRPr="005900D3">
        <w:rPr>
          <w:color w:val="0D0D0D"/>
        </w:rPr>
        <w:t xml:space="preserve"> de </w:t>
      </w:r>
      <w:proofErr w:type="spellStart"/>
      <w:r w:rsidRPr="005900D3">
        <w:rPr>
          <w:color w:val="0D0D0D"/>
        </w:rPr>
        <w:t>consommateurs</w:t>
      </w:r>
      <w:proofErr w:type="spellEnd"/>
      <w:r w:rsidRPr="005900D3">
        <w:rPr>
          <w:rStyle w:val="FootnoteReference"/>
          <w:color w:val="0D0D0D"/>
          <w:szCs w:val="24"/>
        </w:rPr>
        <w:footnoteReference w:id="10"/>
      </w:r>
      <w:r w:rsidRPr="005900D3">
        <w:rPr>
          <w:color w:val="0D0D0D"/>
        </w:rPr>
        <w:t>, AVICENN</w:t>
      </w:r>
      <w:r w:rsidRPr="005900D3">
        <w:rPr>
          <w:rStyle w:val="FootnoteReference"/>
          <w:color w:val="0D0D0D"/>
          <w:szCs w:val="24"/>
        </w:rPr>
        <w:footnoteReference w:id="11"/>
      </w:r>
      <w:r w:rsidRPr="005900D3">
        <w:rPr>
          <w:color w:val="0D0D0D"/>
        </w:rPr>
        <w:t xml:space="preserve"> fi Franza, </w:t>
      </w:r>
      <w:proofErr w:type="spellStart"/>
      <w:r w:rsidRPr="005900D3">
        <w:rPr>
          <w:color w:val="0D0D0D"/>
        </w:rPr>
        <w:t>Foodwatch</w:t>
      </w:r>
      <w:proofErr w:type="spellEnd"/>
      <w:r w:rsidRPr="005900D3">
        <w:rPr>
          <w:rStyle w:val="FootnoteReference"/>
          <w:color w:val="0D0D0D"/>
          <w:szCs w:val="24"/>
        </w:rPr>
        <w:footnoteReference w:id="12"/>
      </w:r>
      <w:r w:rsidRPr="005900D3">
        <w:rPr>
          <w:color w:val="0D0D0D"/>
        </w:rPr>
        <w:t xml:space="preserve"> u </w:t>
      </w:r>
      <w:proofErr w:type="spellStart"/>
      <w:r w:rsidRPr="005900D3">
        <w:rPr>
          <w:color w:val="0D0D0D"/>
        </w:rPr>
        <w:t>Bund</w:t>
      </w:r>
      <w:proofErr w:type="spellEnd"/>
      <w:r w:rsidRPr="005900D3">
        <w:rPr>
          <w:rStyle w:val="FootnoteReference"/>
          <w:color w:val="0D0D0D"/>
          <w:szCs w:val="24"/>
        </w:rPr>
        <w:footnoteReference w:id="13"/>
      </w:r>
      <w:r w:rsidRPr="005900D3">
        <w:rPr>
          <w:color w:val="0D0D0D"/>
        </w:rPr>
        <w:t xml:space="preserve"> fil-Ġermanja, </w:t>
      </w:r>
      <w:proofErr w:type="spellStart"/>
      <w:r w:rsidRPr="005900D3">
        <w:rPr>
          <w:color w:val="0D0D0D"/>
        </w:rPr>
        <w:t>Testachats</w:t>
      </w:r>
      <w:proofErr w:type="spellEnd"/>
      <w:r w:rsidRPr="005900D3">
        <w:rPr>
          <w:rStyle w:val="FootnoteReference"/>
          <w:color w:val="0D0D0D"/>
          <w:szCs w:val="24"/>
        </w:rPr>
        <w:footnoteReference w:id="14"/>
      </w:r>
      <w:r w:rsidRPr="005900D3">
        <w:rPr>
          <w:color w:val="0D0D0D"/>
        </w:rPr>
        <w:t xml:space="preserve"> fil-Belġju u </w:t>
      </w:r>
      <w:proofErr w:type="spellStart"/>
      <w:r w:rsidRPr="005900D3">
        <w:rPr>
          <w:color w:val="0D0D0D"/>
        </w:rPr>
        <w:t>Altroconsumo</w:t>
      </w:r>
      <w:proofErr w:type="spellEnd"/>
      <w:r w:rsidRPr="005900D3">
        <w:rPr>
          <w:rStyle w:val="FootnoteReference"/>
          <w:color w:val="0D0D0D"/>
          <w:szCs w:val="24"/>
        </w:rPr>
        <w:footnoteReference w:id="15"/>
      </w:r>
      <w:r w:rsidRPr="005900D3">
        <w:rPr>
          <w:color w:val="0D0D0D"/>
        </w:rPr>
        <w:t xml:space="preserve"> fl-Italja u OCU fi Spanja</w:t>
      </w:r>
      <w:r w:rsidRPr="005900D3">
        <w:rPr>
          <w:rStyle w:val="FootnoteReference"/>
          <w:color w:val="0D0D0D"/>
          <w:szCs w:val="24"/>
        </w:rPr>
        <w:footnoteReference w:id="16"/>
      </w:r>
      <w:r w:rsidRPr="005900D3">
        <w:rPr>
          <w:color w:val="0D0D0D"/>
        </w:rPr>
        <w:t xml:space="preserve">) ripetutament urew il-preżenza ta’ addittivi tal-ikel b’perċentwal sinifikanti ta’ </w:t>
      </w:r>
      <w:proofErr w:type="spellStart"/>
      <w:r w:rsidRPr="005900D3">
        <w:rPr>
          <w:color w:val="0D0D0D"/>
        </w:rPr>
        <w:t>nanopartiċelli</w:t>
      </w:r>
      <w:proofErr w:type="spellEnd"/>
      <w:r w:rsidRPr="005900D3">
        <w:rPr>
          <w:color w:val="0D0D0D"/>
        </w:rPr>
        <w:t>, pereżempju, l-</w:t>
      </w:r>
      <w:proofErr w:type="spellStart"/>
      <w:r w:rsidRPr="005900D3">
        <w:rPr>
          <w:color w:val="0D0D0D"/>
        </w:rPr>
        <w:t>ossidu</w:t>
      </w:r>
      <w:proofErr w:type="spellEnd"/>
      <w:r w:rsidRPr="005900D3">
        <w:rPr>
          <w:color w:val="0D0D0D"/>
        </w:rPr>
        <w:t xml:space="preserve"> tal-ħadid tal-kulur tal-ikel (E172) użat fi prodotti tal-ħalib, prodotti moħmija, u xi ċereali tal-kolazzjon, jista’ jkun fih </w:t>
      </w:r>
      <w:proofErr w:type="spellStart"/>
      <w:r w:rsidRPr="005900D3">
        <w:rPr>
          <w:color w:val="0D0D0D"/>
        </w:rPr>
        <w:t>nanopartiċelli</w:t>
      </w:r>
      <w:proofErr w:type="spellEnd"/>
      <w:r w:rsidRPr="005900D3">
        <w:rPr>
          <w:color w:val="0D0D0D"/>
        </w:rPr>
        <w:t xml:space="preserve"> taħt il-limitu ta’ 50 %</w:t>
      </w:r>
      <w:r w:rsidRPr="005900D3">
        <w:rPr>
          <w:color w:val="000000"/>
        </w:rPr>
        <w:t xml:space="preserve">; </w:t>
      </w:r>
      <w:r w:rsidRPr="005900D3">
        <w:rPr>
          <w:color w:val="0D0D0D"/>
        </w:rPr>
        <w:t xml:space="preserve">billi dan juri li n-nuqqas ta’ </w:t>
      </w:r>
      <w:proofErr w:type="spellStart"/>
      <w:r w:rsidRPr="005900D3">
        <w:rPr>
          <w:color w:val="0D0D0D"/>
        </w:rPr>
        <w:t>tikkettjar</w:t>
      </w:r>
      <w:proofErr w:type="spellEnd"/>
      <w:r w:rsidRPr="005900D3">
        <w:rPr>
          <w:color w:val="0D0D0D"/>
        </w:rPr>
        <w:t xml:space="preserve"> adegwat ta’ ċerti ingredjenti tal-ikel bħala “[</w:t>
      </w:r>
      <w:proofErr w:type="spellStart"/>
      <w:r w:rsidRPr="005900D3">
        <w:rPr>
          <w:color w:val="0D0D0D"/>
        </w:rPr>
        <w:t>nano</w:t>
      </w:r>
      <w:proofErr w:type="spellEnd"/>
      <w:r w:rsidRPr="005900D3">
        <w:rPr>
          <w:color w:val="0D0D0D"/>
        </w:rPr>
        <w:t xml:space="preserve">]” huwa primarjament dovut għan-nuqqas ta’ infurzar tal-leġiżlazzjoni attwali, u wisq inqas għal problemi ta’ </w:t>
      </w:r>
      <w:r w:rsidRPr="005900D3">
        <w:rPr>
          <w:color w:val="0D0D0D"/>
        </w:rPr>
        <w:lastRenderedPageBreak/>
        <w:t>interpretazzjoni;</w:t>
      </w:r>
    </w:p>
    <w:p w:rsidR="00C57D6D" w:rsidRPr="005900D3" w:rsidRDefault="00C57D6D" w:rsidP="00C57D6D">
      <w:pPr>
        <w:spacing w:after="240"/>
        <w:ind w:left="567" w:hanging="567"/>
        <w:jc w:val="both"/>
        <w:rPr>
          <w:color w:val="0D0D0D"/>
          <w:szCs w:val="24"/>
        </w:rPr>
      </w:pPr>
      <w:r w:rsidRPr="005900D3">
        <w:rPr>
          <w:color w:val="0D0D0D"/>
        </w:rPr>
        <w:t>J.</w:t>
      </w:r>
      <w:r w:rsidRPr="005900D3">
        <w:rPr>
          <w:color w:val="0D0D0D"/>
        </w:rPr>
        <w:tab/>
        <w:t xml:space="preserve">billi studju </w:t>
      </w:r>
      <w:proofErr w:type="spellStart"/>
      <w:r w:rsidRPr="005900D3">
        <w:rPr>
          <w:color w:val="0D0D0D"/>
        </w:rPr>
        <w:t>kkummissjonat</w:t>
      </w:r>
      <w:proofErr w:type="spellEnd"/>
      <w:r w:rsidRPr="005900D3">
        <w:rPr>
          <w:color w:val="0D0D0D"/>
        </w:rPr>
        <w:t xml:space="preserve"> fl-2020 mill-Aġenzija Ewropea għas-Sustanzi Kimiċi wera li ċ-ċittadini jitolbu </w:t>
      </w:r>
      <w:proofErr w:type="spellStart"/>
      <w:r w:rsidRPr="005900D3">
        <w:rPr>
          <w:color w:val="0D0D0D"/>
        </w:rPr>
        <w:t>tikkettar</w:t>
      </w:r>
      <w:proofErr w:type="spellEnd"/>
      <w:r w:rsidRPr="005900D3">
        <w:rPr>
          <w:color w:val="0D0D0D"/>
        </w:rPr>
        <w:t xml:space="preserve"> aħjar tal-prodotti ta’ kuljum li fihom </w:t>
      </w:r>
      <w:proofErr w:type="spellStart"/>
      <w:r w:rsidRPr="005900D3">
        <w:rPr>
          <w:color w:val="0D0D0D"/>
        </w:rPr>
        <w:t>in-nanomaterjali</w:t>
      </w:r>
      <w:proofErr w:type="spellEnd"/>
      <w:r w:rsidRPr="005900D3">
        <w:rPr>
          <w:rStyle w:val="FootnoteReference"/>
          <w:color w:val="0D0D0D"/>
          <w:szCs w:val="24"/>
        </w:rPr>
        <w:footnoteReference w:id="17"/>
      </w:r>
      <w:r w:rsidRPr="005900D3">
        <w:rPr>
          <w:color w:val="0D0D0D"/>
        </w:rPr>
        <w:t>;</w:t>
      </w:r>
    </w:p>
    <w:p w:rsidR="00C57D6D" w:rsidRPr="005900D3" w:rsidRDefault="00C57D6D" w:rsidP="00C57D6D">
      <w:pPr>
        <w:spacing w:after="240"/>
        <w:jc w:val="both"/>
        <w:rPr>
          <w:i/>
          <w:szCs w:val="24"/>
        </w:rPr>
      </w:pPr>
      <w:proofErr w:type="spellStart"/>
      <w:r w:rsidRPr="005900D3">
        <w:rPr>
          <w:i/>
        </w:rPr>
        <w:t>Kontradizzjonijiet</w:t>
      </w:r>
      <w:proofErr w:type="spellEnd"/>
      <w:r w:rsidRPr="005900D3">
        <w:rPr>
          <w:i/>
        </w:rPr>
        <w:t xml:space="preserve"> ma’ rakkomandazzjonijiet u avvanzi xjentifiċi ġodda</w:t>
      </w:r>
    </w:p>
    <w:p w:rsidR="00C57D6D" w:rsidRPr="005900D3" w:rsidRDefault="00C57D6D" w:rsidP="00C57D6D">
      <w:pPr>
        <w:spacing w:after="240"/>
        <w:ind w:left="567" w:hanging="567"/>
        <w:jc w:val="both"/>
        <w:rPr>
          <w:szCs w:val="24"/>
        </w:rPr>
      </w:pPr>
      <w:r w:rsidRPr="005900D3">
        <w:t xml:space="preserve">K. </w:t>
      </w:r>
      <w:r w:rsidRPr="005900D3">
        <w:tab/>
        <w:t>billi fir-riżoluzzjoni tiegħu tat-12 ta’ Marzu 2014 dwar ir-Regolament Delegat tal-Kummissjoni tat-12 ta’ Diċembru 2013 li jemenda r-Regolament (UE) Nru 1169/2011 tal-Parlament Ewropew u tal-Kunsill dwar l-għoti ta’ informazzjoni dwar l-ikel lill-konsumaturi fir-rigward tad-definizzjoni ta’ “</w:t>
      </w:r>
      <w:proofErr w:type="spellStart"/>
      <w:r w:rsidRPr="005900D3">
        <w:t>nanomaterjali</w:t>
      </w:r>
      <w:proofErr w:type="spellEnd"/>
      <w:r w:rsidRPr="005900D3">
        <w:t xml:space="preserve"> maħdumin”</w:t>
      </w:r>
      <w:r w:rsidRPr="005900D3">
        <w:rPr>
          <w:rStyle w:val="FootnoteReference"/>
          <w:szCs w:val="24"/>
        </w:rPr>
        <w:footnoteReference w:id="18"/>
      </w:r>
      <w:r w:rsidRPr="005900D3">
        <w:t xml:space="preserve">, il-Parlament Ewropew oġġezzjona għal definizzjoni simili ħafna, bl-istess limitu ta’ 50 %, li </w:t>
      </w:r>
      <w:proofErr w:type="spellStart"/>
      <w:r w:rsidRPr="005900D3">
        <w:t>eskludiet</w:t>
      </w:r>
      <w:proofErr w:type="spellEnd"/>
      <w:r w:rsidRPr="005900D3">
        <w:t xml:space="preserve"> l-addittivi tal-ikel kollha, billi qies li d-definizzjoni kienet “kuntrarja għall-għan bażiku tad-direttiva li jsegwi livell għoli ta’ protezzjoni ta’ saħħet il-konsumaturi u l-interessi tagħhom billi jipprovdi bażi għall-konsumaturi finali biex ikunu jistgħu jagħmlu għażliet infurmati”; billi l-Parlament Ewropew stieden lill-Kummissjoni tressaq att delegat ġdid li jqis il-pożizzjoni tagħha;</w:t>
      </w:r>
    </w:p>
    <w:p w:rsidR="00C57D6D" w:rsidRPr="005900D3" w:rsidRDefault="00C57D6D" w:rsidP="00C57D6D">
      <w:pPr>
        <w:spacing w:after="240"/>
        <w:ind w:left="567" w:hanging="567"/>
        <w:jc w:val="both"/>
        <w:rPr>
          <w:szCs w:val="24"/>
        </w:rPr>
      </w:pPr>
      <w:r w:rsidRPr="005900D3">
        <w:t xml:space="preserve">L. </w:t>
      </w:r>
      <w:r w:rsidRPr="005900D3">
        <w:tab/>
        <w:t xml:space="preserve">billi fir-riżoluzzjoni tiegħu tat-8 ta’ Ottubru 2020 dwar l-abbozz ta’ regolament tal-Kummissjoni li jemenda l-Anness tar-Regolament (UE) Nru 231/2012 li jistabbilixxi l-ispeċifikazzjonijiet għall-addittivi tal-ikel elenkati </w:t>
      </w:r>
      <w:proofErr w:type="spellStart"/>
      <w:r w:rsidRPr="005900D3">
        <w:t>fl-Annessi</w:t>
      </w:r>
      <w:proofErr w:type="spellEnd"/>
      <w:r w:rsidRPr="005900D3">
        <w:t xml:space="preserve"> II u III tar-Regolament (KE) Nru 1333/2008 tal-Parlament Ewropew u tal-Kunsill, fir-rigward tal-ispeċifikazzjonijiet għad-</w:t>
      </w:r>
      <w:proofErr w:type="spellStart"/>
      <w:r w:rsidRPr="005900D3">
        <w:t>diossidu</w:t>
      </w:r>
      <w:proofErr w:type="spellEnd"/>
      <w:r w:rsidRPr="005900D3">
        <w:t xml:space="preserve"> tat-titanju (E 171)</w:t>
      </w:r>
      <w:r w:rsidRPr="005900D3">
        <w:rPr>
          <w:rStyle w:val="FootnoteReference"/>
          <w:szCs w:val="24"/>
        </w:rPr>
        <w:footnoteReference w:id="19"/>
      </w:r>
      <w:r w:rsidRPr="005900D3">
        <w:t xml:space="preserve">, il-Parlament Ewropew oġġezzjona għal abbozz ta’ regolament tal-Kummissjoni li awtorizza lottijiet ta’ </w:t>
      </w:r>
      <w:proofErr w:type="spellStart"/>
      <w:r w:rsidRPr="005900D3">
        <w:t>diossidu</w:t>
      </w:r>
      <w:proofErr w:type="spellEnd"/>
      <w:r w:rsidRPr="005900D3">
        <w:t xml:space="preserve"> tat-titanju ta’ grad tal-ikel (E171) li fihom inqas minn 50 % ta’ partiċelli iżgħar minn 100 </w:t>
      </w:r>
      <w:proofErr w:type="spellStart"/>
      <w:r w:rsidRPr="005900D3">
        <w:t>nm</w:t>
      </w:r>
      <w:proofErr w:type="spellEnd"/>
      <w:r w:rsidRPr="005900D3">
        <w:t>;</w:t>
      </w:r>
    </w:p>
    <w:p w:rsidR="00C57D6D" w:rsidRPr="005900D3" w:rsidRDefault="00C57D6D" w:rsidP="00C57D6D">
      <w:pPr>
        <w:spacing w:after="240"/>
        <w:ind w:left="567" w:hanging="567"/>
        <w:jc w:val="both"/>
        <w:rPr>
          <w:szCs w:val="24"/>
        </w:rPr>
      </w:pPr>
      <w:r w:rsidRPr="005900D3">
        <w:t xml:space="preserve">M. </w:t>
      </w:r>
      <w:r w:rsidRPr="005900D3">
        <w:tab/>
        <w:t xml:space="preserve">billi l-Awtorità Ewropea dwar is-Sigurtà fl-Ikel </w:t>
      </w:r>
      <w:proofErr w:type="spellStart"/>
      <w:r w:rsidRPr="005900D3">
        <w:t>irrakkomandat</w:t>
      </w:r>
      <w:proofErr w:type="spellEnd"/>
      <w:r w:rsidRPr="005900D3">
        <w:rPr>
          <w:rStyle w:val="FootnoteReference"/>
          <w:szCs w:val="24"/>
        </w:rPr>
        <w:footnoteReference w:id="20"/>
      </w:r>
      <w:r w:rsidRPr="005900D3">
        <w:rPr>
          <w:b/>
        </w:rPr>
        <w:t xml:space="preserve"> </w:t>
      </w:r>
      <w:r w:rsidRPr="005900D3">
        <w:t>li “[</w:t>
      </w:r>
      <w:proofErr w:type="spellStart"/>
      <w:r w:rsidRPr="005900D3">
        <w:t>fid</w:t>
      </w:r>
      <w:proofErr w:type="spellEnd"/>
      <w:r w:rsidRPr="005900D3">
        <w:t>-]dawl tal-</w:t>
      </w:r>
      <w:proofErr w:type="spellStart"/>
      <w:r w:rsidRPr="005900D3">
        <w:t>inċertezzi</w:t>
      </w:r>
      <w:proofErr w:type="spellEnd"/>
      <w:r w:rsidRPr="005900D3">
        <w:t xml:space="preserve"> attwali dwar is-sikurezza, limitu aktar baxx tan-numru ta’ </w:t>
      </w:r>
      <w:proofErr w:type="spellStart"/>
      <w:r w:rsidRPr="005900D3">
        <w:t>nanopartiċelli</w:t>
      </w:r>
      <w:proofErr w:type="spellEnd"/>
      <w:r w:rsidRPr="005900D3">
        <w:t xml:space="preserve">, pereżempju 10 %, </w:t>
      </w:r>
      <w:proofErr w:type="spellStart"/>
      <w:r w:rsidRPr="005900D3">
        <w:t>jenħtieġ</w:t>
      </w:r>
      <w:proofErr w:type="spellEnd"/>
      <w:r w:rsidRPr="005900D3">
        <w:t xml:space="preserve"> li jiġu </w:t>
      </w:r>
      <w:proofErr w:type="spellStart"/>
      <w:r w:rsidRPr="005900D3">
        <w:t>kkunsidrati</w:t>
      </w:r>
      <w:proofErr w:type="spellEnd"/>
      <w:r w:rsidRPr="005900D3">
        <w:t xml:space="preserve"> għal applikazzjonijiet relatati mal-ikel minflok dak propost bħalissa (50 %) fir-Rakkomandazzjoni”;</w:t>
      </w:r>
    </w:p>
    <w:p w:rsidR="00C57D6D" w:rsidRPr="005900D3" w:rsidRDefault="00C57D6D" w:rsidP="00C57D6D">
      <w:pPr>
        <w:spacing w:after="240"/>
        <w:ind w:left="567" w:hanging="567"/>
        <w:jc w:val="both"/>
        <w:rPr>
          <w:szCs w:val="24"/>
        </w:rPr>
      </w:pPr>
      <w:r w:rsidRPr="005900D3">
        <w:t xml:space="preserve">N. </w:t>
      </w:r>
      <w:r w:rsidRPr="005900D3">
        <w:tab/>
        <w:t xml:space="preserve">billi organizzazzjonijiet akkademiċi, awtoritajiet pubbliċi, organizzazzjonijiet mhux governattivi tal-konsumatur u ambjentali u </w:t>
      </w:r>
      <w:proofErr w:type="spellStart"/>
      <w:r w:rsidRPr="005900D3">
        <w:t>trade</w:t>
      </w:r>
      <w:proofErr w:type="spellEnd"/>
      <w:r w:rsidRPr="005900D3">
        <w:t xml:space="preserve"> </w:t>
      </w:r>
      <w:proofErr w:type="spellStart"/>
      <w:r w:rsidRPr="005900D3">
        <w:t>unions</w:t>
      </w:r>
      <w:proofErr w:type="spellEnd"/>
      <w:r w:rsidRPr="005900D3">
        <w:t xml:space="preserve"> </w:t>
      </w:r>
      <w:proofErr w:type="spellStart"/>
      <w:r w:rsidRPr="005900D3">
        <w:t>appoġġjaw</w:t>
      </w:r>
      <w:proofErr w:type="spellEnd"/>
      <w:r w:rsidRPr="005900D3">
        <w:t xml:space="preserve">, fil-proċess ta’ konsultazzjoni tal-Kummissjoni, definizzjoni li tinkludi l-materjali kollha, kemm jekk ikunu manifatturati, inċidentali jew naturali, u limitu </w:t>
      </w:r>
      <w:proofErr w:type="spellStart"/>
      <w:r w:rsidRPr="005900D3">
        <w:t>predefinit</w:t>
      </w:r>
      <w:proofErr w:type="spellEnd"/>
      <w:r w:rsidRPr="005900D3">
        <w:t xml:space="preserve"> ta’ 10 % jew aktar ta’ partiċelli fid-distribuzzjoni tad-daqs ibbażata fuq in-numru;</w:t>
      </w:r>
    </w:p>
    <w:p w:rsidR="00C57D6D" w:rsidRPr="005900D3" w:rsidRDefault="00C57D6D" w:rsidP="00C57D6D">
      <w:pPr>
        <w:spacing w:after="240"/>
        <w:ind w:left="567" w:hanging="567"/>
        <w:jc w:val="both"/>
        <w:rPr>
          <w:color w:val="0D0D0D"/>
          <w:szCs w:val="24"/>
        </w:rPr>
      </w:pPr>
      <w:r w:rsidRPr="005900D3">
        <w:rPr>
          <w:color w:val="0D0D0D"/>
        </w:rPr>
        <w:t xml:space="preserve">O. </w:t>
      </w:r>
      <w:r w:rsidRPr="005900D3">
        <w:rPr>
          <w:color w:val="0D0D0D"/>
        </w:rPr>
        <w:tab/>
        <w:t>billi mill-2014, avvanzi ġodda u għarfien xjentifiċi jikkonfermaw li n-</w:t>
      </w:r>
      <w:proofErr w:type="spellStart"/>
      <w:r w:rsidRPr="005900D3">
        <w:rPr>
          <w:color w:val="0D0D0D"/>
        </w:rPr>
        <w:t>nanomaterjali</w:t>
      </w:r>
      <w:proofErr w:type="spellEnd"/>
      <w:r w:rsidRPr="005900D3">
        <w:rPr>
          <w:color w:val="0D0D0D"/>
        </w:rPr>
        <w:t xml:space="preserve"> jistgħu jaqsmu l-ostakli </w:t>
      </w:r>
      <w:proofErr w:type="spellStart"/>
      <w:r w:rsidRPr="005900D3">
        <w:rPr>
          <w:color w:val="0D0D0D"/>
        </w:rPr>
        <w:t>fiżjoloġiċi</w:t>
      </w:r>
      <w:proofErr w:type="spellEnd"/>
      <w:r w:rsidRPr="005900D3">
        <w:rPr>
          <w:color w:val="0D0D0D"/>
        </w:rPr>
        <w:t xml:space="preserve"> u ħafna drabi huma aktar perikolużi minn sustanzi fi stati </w:t>
      </w:r>
      <w:proofErr w:type="spellStart"/>
      <w:r w:rsidRPr="005900D3">
        <w:rPr>
          <w:color w:val="0D0D0D"/>
        </w:rPr>
        <w:t>mikro</w:t>
      </w:r>
      <w:proofErr w:type="spellEnd"/>
      <w:r w:rsidRPr="005900D3">
        <w:rPr>
          <w:color w:val="0D0D0D"/>
        </w:rPr>
        <w:t xml:space="preserve"> jew makro</w:t>
      </w:r>
      <w:r w:rsidRPr="005900D3">
        <w:rPr>
          <w:rStyle w:val="FootnoteReference"/>
          <w:color w:val="0D0D0D"/>
          <w:szCs w:val="24"/>
        </w:rPr>
        <w:footnoteReference w:id="21"/>
      </w:r>
      <w:r w:rsidRPr="005900D3">
        <w:rPr>
          <w:color w:val="0D0D0D"/>
        </w:rPr>
        <w:t>;</w:t>
      </w:r>
    </w:p>
    <w:p w:rsidR="00C57D6D" w:rsidRPr="005900D3" w:rsidRDefault="00C57D6D" w:rsidP="00C57D6D">
      <w:pPr>
        <w:spacing w:after="240"/>
        <w:ind w:left="567" w:hanging="567"/>
        <w:jc w:val="both"/>
        <w:rPr>
          <w:color w:val="0D0D0D"/>
          <w:szCs w:val="24"/>
        </w:rPr>
      </w:pPr>
      <w:r w:rsidRPr="005900D3">
        <w:rPr>
          <w:color w:val="0D0D0D"/>
        </w:rPr>
        <w:t xml:space="preserve">P. </w:t>
      </w:r>
      <w:r w:rsidRPr="005900D3">
        <w:rPr>
          <w:color w:val="0D0D0D"/>
        </w:rPr>
        <w:tab/>
        <w:t>billi l-ANSES ippubblikat rapport dettaljat f’April 2023</w:t>
      </w:r>
      <w:r w:rsidRPr="005900D3">
        <w:rPr>
          <w:rStyle w:val="FootnoteReference"/>
          <w:color w:val="0D0D0D"/>
          <w:szCs w:val="24"/>
        </w:rPr>
        <w:footnoteReference w:id="22"/>
      </w:r>
      <w:r w:rsidRPr="005900D3">
        <w:rPr>
          <w:color w:val="0D0D0D"/>
        </w:rPr>
        <w:t xml:space="preserve"> li fih tiddikjara li d-definizzjoni </w:t>
      </w:r>
      <w:r w:rsidRPr="005900D3">
        <w:rPr>
          <w:color w:val="0D0D0D"/>
        </w:rPr>
        <w:lastRenderedPageBreak/>
        <w:t xml:space="preserve">ta’ </w:t>
      </w:r>
      <w:proofErr w:type="spellStart"/>
      <w:r w:rsidRPr="005900D3">
        <w:rPr>
          <w:color w:val="0D0D0D"/>
        </w:rPr>
        <w:t>nanomaterjali</w:t>
      </w:r>
      <w:proofErr w:type="spellEnd"/>
      <w:r w:rsidRPr="005900D3">
        <w:rPr>
          <w:color w:val="0D0D0D"/>
        </w:rPr>
        <w:t xml:space="preserve"> stabbilita fir-Rakkomandazzjoni tal-Kummissjoni tal-10 ta’ Ġunju 2022</w:t>
      </w:r>
      <w:r w:rsidRPr="005900D3">
        <w:rPr>
          <w:rStyle w:val="FootnoteReference"/>
          <w:color w:val="0D0D0D"/>
          <w:szCs w:val="24"/>
        </w:rPr>
        <w:footnoteReference w:id="23"/>
      </w:r>
      <w:r w:rsidRPr="005900D3">
        <w:rPr>
          <w:color w:val="0D0D0D"/>
        </w:rPr>
        <w:t>, li serviet bħala l-bażi għar-reviżjoni tad-definizzjoni ta’ “</w:t>
      </w:r>
      <w:proofErr w:type="spellStart"/>
      <w:r w:rsidRPr="005900D3">
        <w:rPr>
          <w:color w:val="0D0D0D"/>
        </w:rPr>
        <w:t>nanomaterjali</w:t>
      </w:r>
      <w:proofErr w:type="spellEnd"/>
      <w:r w:rsidRPr="005900D3">
        <w:rPr>
          <w:color w:val="0D0D0D"/>
        </w:rPr>
        <w:t xml:space="preserve"> maħdumin” stabbilita fir-Regolament (UE) 2015/2283, f’regolamenti speċifiċi għas-settur, speċjalment fl-ikel, ikun ta’ detriment għall-prevenzjoni tar-riskji għas-saħħa u għall-ambjent; billi l-ANSES saħqet li l-limitu tan-numru ta’ </w:t>
      </w:r>
      <w:proofErr w:type="spellStart"/>
      <w:r w:rsidRPr="005900D3">
        <w:rPr>
          <w:color w:val="0D0D0D"/>
        </w:rPr>
        <w:t>nanopartiċelli</w:t>
      </w:r>
      <w:proofErr w:type="spellEnd"/>
      <w:r w:rsidRPr="005900D3">
        <w:rPr>
          <w:color w:val="0D0D0D"/>
        </w:rPr>
        <w:t xml:space="preserve"> ta’ 50 % inkluż fid-definizzjoni orizzontali “</w:t>
      </w:r>
      <w:r w:rsidRPr="005900D3">
        <w:t>[</w:t>
      </w:r>
      <w:proofErr w:type="spellStart"/>
      <w:r w:rsidRPr="005900D3">
        <w:t>nano</w:t>
      </w:r>
      <w:proofErr w:type="spellEnd"/>
      <w:r w:rsidRPr="005900D3">
        <w:t>]”</w:t>
      </w:r>
      <w:r w:rsidRPr="005900D3">
        <w:rPr>
          <w:color w:val="0D0D0D"/>
        </w:rPr>
        <w:t xml:space="preserve"> “mhuwiex ibbażat fuq argumenti xjentifiċi sodi”, u rrakkomandat li jiġi stabbilit valur aktar baxx għal dak il-limitu;</w:t>
      </w:r>
    </w:p>
    <w:p w:rsidR="00C57D6D" w:rsidRPr="005900D3" w:rsidRDefault="00C57D6D" w:rsidP="00C57D6D">
      <w:pPr>
        <w:spacing w:after="240"/>
        <w:ind w:left="567" w:hanging="567"/>
        <w:jc w:val="both"/>
        <w:rPr>
          <w:color w:val="0D0D0D"/>
          <w:szCs w:val="24"/>
        </w:rPr>
      </w:pPr>
      <w:r w:rsidRPr="005900D3">
        <w:rPr>
          <w:color w:val="0D0D0D"/>
        </w:rPr>
        <w:t xml:space="preserve">Q. </w:t>
      </w:r>
      <w:r w:rsidRPr="005900D3">
        <w:rPr>
          <w:color w:val="0D0D0D"/>
        </w:rPr>
        <w:tab/>
        <w:t xml:space="preserve">billi l-iskoperta ta’ </w:t>
      </w:r>
      <w:proofErr w:type="spellStart"/>
      <w:r w:rsidRPr="005900D3">
        <w:rPr>
          <w:color w:val="0D0D0D"/>
        </w:rPr>
        <w:t>nano</w:t>
      </w:r>
      <w:proofErr w:type="spellEnd"/>
      <w:r w:rsidRPr="005900D3">
        <w:rPr>
          <w:color w:val="0D0D0D"/>
        </w:rPr>
        <w:t xml:space="preserve"> ingredjenti tal-ikel ibbażati fuq limitu ta’ numru ta’ </w:t>
      </w:r>
      <w:proofErr w:type="spellStart"/>
      <w:r w:rsidRPr="005900D3">
        <w:rPr>
          <w:color w:val="0D0D0D"/>
        </w:rPr>
        <w:t>nanopartiċelli</w:t>
      </w:r>
      <w:proofErr w:type="spellEnd"/>
      <w:r w:rsidRPr="005900D3">
        <w:rPr>
          <w:color w:val="0D0D0D"/>
        </w:rPr>
        <w:t xml:space="preserve"> ta’ 10 % huwa fattibbli, peress li dak huwa l-valur ta’ limitu applikat bħalissa mid-Direttorat Ġenerali Franċiż għall-Affarijiet tal-Konsumatur, il-Kompetizzjoni u l-Kontroll tal-Frodi fl-attivitajiet tal-kontroll tiegħu</w:t>
      </w:r>
      <w:r w:rsidRPr="005900D3">
        <w:rPr>
          <w:rStyle w:val="FootnoteReference"/>
          <w:color w:val="0D0D0D"/>
          <w:szCs w:val="24"/>
        </w:rPr>
        <w:footnoteReference w:id="24"/>
      </w:r>
      <w:r w:rsidRPr="005900D3">
        <w:rPr>
          <w:color w:val="0D0D0D"/>
        </w:rPr>
        <w:t>;</w:t>
      </w:r>
    </w:p>
    <w:p w:rsidR="00C57D6D" w:rsidRPr="005900D3" w:rsidRDefault="00C57D6D" w:rsidP="00C57D6D">
      <w:pPr>
        <w:spacing w:after="240"/>
        <w:jc w:val="both"/>
        <w:rPr>
          <w:i/>
          <w:color w:val="0D0D0D"/>
          <w:szCs w:val="24"/>
        </w:rPr>
      </w:pPr>
      <w:r w:rsidRPr="005900D3">
        <w:rPr>
          <w:i/>
          <w:color w:val="0D0D0D"/>
        </w:rPr>
        <w:t>Il-Prinċipju ta’ prekawzjoni</w:t>
      </w:r>
    </w:p>
    <w:p w:rsidR="00C57D6D" w:rsidRPr="005900D3" w:rsidRDefault="00C57D6D" w:rsidP="00C57D6D">
      <w:pPr>
        <w:spacing w:after="240"/>
        <w:ind w:left="567" w:hanging="567"/>
        <w:jc w:val="both"/>
        <w:rPr>
          <w:color w:val="0D0D0D"/>
          <w:szCs w:val="24"/>
        </w:rPr>
      </w:pPr>
      <w:r w:rsidRPr="005900D3">
        <w:rPr>
          <w:color w:val="0D0D0D"/>
        </w:rPr>
        <w:t>R.</w:t>
      </w:r>
      <w:r w:rsidRPr="005900D3">
        <w:rPr>
          <w:color w:val="0D0D0D"/>
        </w:rPr>
        <w:tab/>
        <w:t>billi l-Artikolu 191(2) tat-TFUE jistabbilixxi l-prinċipju ta’ prekawzjoni bħala wieħed mill-prinċipji fundamentali tal-Unjoni;</w:t>
      </w:r>
    </w:p>
    <w:p w:rsidR="00C57D6D" w:rsidRPr="005900D3" w:rsidRDefault="00C57D6D" w:rsidP="00C57D6D">
      <w:pPr>
        <w:spacing w:after="240"/>
        <w:ind w:left="567" w:hanging="567"/>
        <w:jc w:val="both"/>
        <w:rPr>
          <w:szCs w:val="24"/>
        </w:rPr>
      </w:pPr>
      <w:r w:rsidRPr="005900D3">
        <w:t xml:space="preserve">S. </w:t>
      </w:r>
      <w:r w:rsidRPr="005900D3">
        <w:tab/>
        <w:t>billi l-Artikolu 168(1) tat-TFUE jiddisponi li "livell għoli ta’ ħarsien tas-saħħa fiżika u mentali għandu jkun assigurat fid-definizzjoni u l-implimentazzjoni tal-istrateġiji u l-attivitajiet kollha tal-Unjoni";</w:t>
      </w:r>
    </w:p>
    <w:p w:rsidR="00C57D6D" w:rsidRPr="005900D3" w:rsidRDefault="00C57D6D" w:rsidP="00C57D6D">
      <w:pPr>
        <w:pStyle w:val="NormalHanging12a"/>
        <w:jc w:val="both"/>
        <w:rPr>
          <w:szCs w:val="24"/>
        </w:rPr>
      </w:pPr>
      <w:r w:rsidRPr="005900D3">
        <w:t>1.</w:t>
      </w:r>
      <w:r w:rsidRPr="005900D3">
        <w:tab/>
        <w:t>Joġġezzjona għar-Regolament Delegat tal-Kummissjoni;</w:t>
      </w:r>
    </w:p>
    <w:p w:rsidR="00C57D6D" w:rsidRPr="005900D3" w:rsidRDefault="00C57D6D" w:rsidP="00C57D6D">
      <w:pPr>
        <w:pStyle w:val="NormalHanging12a"/>
        <w:jc w:val="both"/>
        <w:rPr>
          <w:szCs w:val="24"/>
        </w:rPr>
      </w:pPr>
      <w:r w:rsidRPr="005900D3">
        <w:t>2.</w:t>
      </w:r>
      <w:r w:rsidRPr="005900D3">
        <w:tab/>
        <w:t xml:space="preserve">Jagħti istruzzjonijiet lill-President tiegħu biex tgħaddi din ir-riżoluzzjoni lill-Kummissjoni u </w:t>
      </w:r>
      <w:proofErr w:type="spellStart"/>
      <w:r w:rsidRPr="005900D3">
        <w:t>tinnotifikaha</w:t>
      </w:r>
      <w:proofErr w:type="spellEnd"/>
      <w:r w:rsidRPr="005900D3">
        <w:t xml:space="preserve"> li r-Regolament Delegat ma jistax jidħol fis-seħħ; </w:t>
      </w:r>
    </w:p>
    <w:p w:rsidR="00C57D6D" w:rsidRPr="005900D3" w:rsidRDefault="00C57D6D" w:rsidP="00C57D6D">
      <w:pPr>
        <w:spacing w:after="240"/>
        <w:ind w:left="567" w:hanging="567"/>
        <w:jc w:val="both"/>
        <w:rPr>
          <w:szCs w:val="24"/>
        </w:rPr>
      </w:pPr>
      <w:r w:rsidRPr="005900D3">
        <w:t xml:space="preserve">3. </w:t>
      </w:r>
      <w:r w:rsidRPr="005900D3">
        <w:tab/>
        <w:t xml:space="preserve">Iqis li r-Regolament Delegat tal-Kummissjoni mhuwiex kompatibbli mal-għan u l-kontenut tar-Regolament (UE) 2015/2283 u li jeċċedi s-setgħat delegati </w:t>
      </w:r>
      <w:proofErr w:type="spellStart"/>
      <w:r w:rsidRPr="005900D3">
        <w:t>konferiti</w:t>
      </w:r>
      <w:proofErr w:type="spellEnd"/>
      <w:r w:rsidRPr="005900D3">
        <w:t xml:space="preserve"> lill-Kummissjoni skont l-Artikolu 31 ta’ dan ir-Regolament;</w:t>
      </w:r>
    </w:p>
    <w:p w:rsidR="00C57D6D" w:rsidRPr="005900D3" w:rsidRDefault="00C57D6D" w:rsidP="00C57D6D">
      <w:pPr>
        <w:spacing w:after="240"/>
        <w:ind w:left="567" w:hanging="567"/>
        <w:jc w:val="both"/>
        <w:rPr>
          <w:szCs w:val="24"/>
        </w:rPr>
      </w:pPr>
      <w:r w:rsidRPr="005900D3">
        <w:t xml:space="preserve">4. </w:t>
      </w:r>
      <w:r w:rsidRPr="005900D3">
        <w:tab/>
        <w:t>Jiddispjaċih għall-fatt li l-limitu propost ta’ 50 % ma jqisx il-progress tekniku u xjentifiku;</w:t>
      </w:r>
    </w:p>
    <w:p w:rsidR="00C57D6D" w:rsidRPr="005900D3" w:rsidRDefault="00C57D6D" w:rsidP="00C57D6D">
      <w:pPr>
        <w:pStyle w:val="NormalHanging12a"/>
        <w:jc w:val="both"/>
        <w:rPr>
          <w:szCs w:val="24"/>
        </w:rPr>
      </w:pPr>
      <w:r w:rsidRPr="005900D3">
        <w:t xml:space="preserve">5. </w:t>
      </w:r>
      <w:r w:rsidRPr="005900D3">
        <w:tab/>
        <w:t>Jistieden lill-Kummissjoni tapplika l-prinċipju ta’ prekawzjoni, tiżgura s-sikurezza u l-informazzjoni tal-konsumaturi u tqis l-</w:t>
      </w:r>
      <w:proofErr w:type="spellStart"/>
      <w:r w:rsidRPr="005900D3">
        <w:t>approċċ</w:t>
      </w:r>
      <w:proofErr w:type="spellEnd"/>
      <w:r w:rsidRPr="005900D3">
        <w:t xml:space="preserve"> “Saħħa Waħda”;</w:t>
      </w:r>
    </w:p>
    <w:p w:rsidR="00C57D6D" w:rsidRPr="00B22C9D" w:rsidRDefault="00C57D6D" w:rsidP="005900D3">
      <w:pPr>
        <w:ind w:left="567" w:hanging="567"/>
      </w:pPr>
      <w:r w:rsidRPr="005900D3">
        <w:t>6.</w:t>
      </w:r>
      <w:r w:rsidRPr="005900D3">
        <w:tab/>
        <w:t>Jagħti istruzzjonijiet lill-President tiegħu biex tgħaddi din ir-riżoluzzjoni lill-Kunsill kif ukoll lill-gvernijiet u lill-parlamenti tal-Istati Membri.</w:t>
      </w:r>
    </w:p>
    <w:p w:rsidR="00E365E1" w:rsidRPr="00B22C9D" w:rsidRDefault="00E365E1" w:rsidP="005B62A7">
      <w:bookmarkStart w:id="8" w:name="TextBodyEnd"/>
      <w:bookmarkEnd w:id="8"/>
    </w:p>
    <w:sectPr w:rsidR="00E365E1" w:rsidRPr="00B22C9D" w:rsidSect="00B22C9D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Page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B62A7" w:rsidRPr="00B22C9D" w:rsidRDefault="005B62A7">
      <w:r w:rsidRPr="00B22C9D">
        <w:separator/>
      </w:r>
    </w:p>
  </w:endnote>
  <w:endnote w:type="continuationSeparator" w:id="0">
    <w:p w:rsidR="005B62A7" w:rsidRPr="00B22C9D" w:rsidRDefault="005B62A7">
      <w:r w:rsidRPr="00B22C9D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DE"/>
    <w:family w:val="swiss"/>
    <w:pitch w:val="variable"/>
    <w:sig w:usb0="00000000" w:usb1="00000000" w:usb2="00000000" w:usb3="00000000" w:csb0="0001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B22C9D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B22C9D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B22C9D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B62A7" w:rsidRPr="00B22C9D" w:rsidRDefault="005B62A7">
      <w:r w:rsidRPr="00B22C9D">
        <w:separator/>
      </w:r>
    </w:p>
  </w:footnote>
  <w:footnote w:type="continuationSeparator" w:id="0">
    <w:p w:rsidR="005B62A7" w:rsidRPr="00B22C9D" w:rsidRDefault="005B62A7">
      <w:r w:rsidRPr="00B22C9D">
        <w:continuationSeparator/>
      </w:r>
    </w:p>
  </w:footnote>
  <w:footnote w:id="1">
    <w:p w:rsidR="00C57D6D" w:rsidRPr="005900D3" w:rsidRDefault="00C57D6D" w:rsidP="00B22C9D">
      <w:pPr>
        <w:pStyle w:val="FootnoteText"/>
        <w:ind w:left="567" w:hanging="567"/>
        <w:rPr>
          <w:sz w:val="24"/>
          <w:lang w:val="mt-MT"/>
        </w:rPr>
      </w:pPr>
      <w:r w:rsidRPr="005900D3">
        <w:rPr>
          <w:rStyle w:val="FootnoteReference"/>
          <w:sz w:val="24"/>
          <w:lang w:val="mt-MT"/>
        </w:rPr>
        <w:footnoteRef/>
      </w:r>
      <w:r w:rsidR="00B22C9D" w:rsidRPr="005900D3">
        <w:rPr>
          <w:sz w:val="24"/>
          <w:lang w:val="mt-MT"/>
        </w:rPr>
        <w:t xml:space="preserve"> </w:t>
      </w:r>
      <w:r w:rsidR="00B22C9D" w:rsidRPr="005900D3">
        <w:rPr>
          <w:sz w:val="24"/>
          <w:lang w:val="mt-MT"/>
        </w:rPr>
        <w:tab/>
      </w:r>
      <w:r w:rsidRPr="005900D3">
        <w:rPr>
          <w:sz w:val="24"/>
          <w:lang w:val="mt-MT"/>
        </w:rPr>
        <w:t xml:space="preserve">ĠU L 327, 11.12.2015, p. 1. </w:t>
      </w:r>
    </w:p>
  </w:footnote>
  <w:footnote w:id="2">
    <w:p w:rsidR="00C57D6D" w:rsidRPr="005900D3" w:rsidRDefault="00C57D6D" w:rsidP="00B22C9D">
      <w:pPr>
        <w:pStyle w:val="FootnoteText"/>
        <w:ind w:left="567" w:hanging="567"/>
        <w:rPr>
          <w:sz w:val="24"/>
          <w:lang w:val="mt-MT"/>
        </w:rPr>
      </w:pPr>
      <w:r w:rsidRPr="005900D3">
        <w:rPr>
          <w:rStyle w:val="FootnoteReference"/>
          <w:sz w:val="24"/>
          <w:lang w:val="mt-MT"/>
        </w:rPr>
        <w:footnoteRef/>
      </w:r>
      <w:r w:rsidR="00B22C9D" w:rsidRPr="005900D3">
        <w:rPr>
          <w:sz w:val="24"/>
          <w:lang w:val="mt-MT"/>
        </w:rPr>
        <w:t xml:space="preserve"> </w:t>
      </w:r>
      <w:r w:rsidR="00B22C9D" w:rsidRPr="005900D3">
        <w:rPr>
          <w:sz w:val="24"/>
          <w:lang w:val="mt-MT"/>
        </w:rPr>
        <w:tab/>
      </w:r>
      <w:r w:rsidRPr="005900D3">
        <w:rPr>
          <w:sz w:val="24"/>
          <w:lang w:val="mt-MT"/>
        </w:rPr>
        <w:t>ĠU L 304, 22.11.2011, p. 18.</w:t>
      </w:r>
    </w:p>
  </w:footnote>
  <w:footnote w:id="3">
    <w:p w:rsidR="00C57D6D" w:rsidRPr="005900D3" w:rsidRDefault="00C57D6D" w:rsidP="00B22C9D">
      <w:pPr>
        <w:pStyle w:val="FootnoteText"/>
        <w:ind w:left="567" w:hanging="567"/>
        <w:rPr>
          <w:sz w:val="24"/>
          <w:lang w:val="mt-MT"/>
        </w:rPr>
      </w:pPr>
      <w:r w:rsidRPr="005900D3">
        <w:rPr>
          <w:rStyle w:val="FootnoteReference"/>
          <w:sz w:val="24"/>
          <w:lang w:val="mt-MT"/>
        </w:rPr>
        <w:footnoteRef/>
      </w:r>
      <w:r w:rsidR="00B22C9D" w:rsidRPr="005900D3">
        <w:rPr>
          <w:sz w:val="24"/>
          <w:lang w:val="mt-MT"/>
        </w:rPr>
        <w:t xml:space="preserve"> </w:t>
      </w:r>
      <w:r w:rsidR="00B22C9D" w:rsidRPr="005900D3">
        <w:rPr>
          <w:sz w:val="24"/>
          <w:lang w:val="mt-MT"/>
        </w:rPr>
        <w:tab/>
      </w:r>
      <w:r w:rsidRPr="005900D3">
        <w:rPr>
          <w:sz w:val="24"/>
          <w:lang w:val="mt-MT"/>
        </w:rPr>
        <w:t>ĠU L 354, 31.12.2008, p. 16.</w:t>
      </w:r>
    </w:p>
  </w:footnote>
  <w:footnote w:id="4">
    <w:p w:rsidR="00C57D6D" w:rsidRPr="005900D3" w:rsidRDefault="00C57D6D" w:rsidP="00B22C9D">
      <w:pPr>
        <w:pStyle w:val="FootnoteText"/>
        <w:ind w:left="567" w:hanging="567"/>
        <w:rPr>
          <w:sz w:val="24"/>
          <w:lang w:val="mt-MT"/>
        </w:rPr>
      </w:pPr>
      <w:r w:rsidRPr="005900D3">
        <w:rPr>
          <w:rStyle w:val="FootnoteReference"/>
          <w:sz w:val="24"/>
          <w:lang w:val="mt-MT"/>
        </w:rPr>
        <w:footnoteRef/>
      </w:r>
      <w:r w:rsidR="00B22C9D" w:rsidRPr="005900D3">
        <w:rPr>
          <w:sz w:val="24"/>
          <w:lang w:val="mt-MT"/>
        </w:rPr>
        <w:t xml:space="preserve"> </w:t>
      </w:r>
      <w:r w:rsidR="00B22C9D" w:rsidRPr="005900D3">
        <w:rPr>
          <w:sz w:val="24"/>
          <w:lang w:val="mt-MT"/>
        </w:rPr>
        <w:tab/>
      </w:r>
      <w:r w:rsidRPr="005900D3">
        <w:rPr>
          <w:sz w:val="24"/>
          <w:lang w:val="mt-MT"/>
        </w:rPr>
        <w:t>ĠU L 295, 12.11.2011, p. 1.</w:t>
      </w:r>
    </w:p>
  </w:footnote>
  <w:footnote w:id="5">
    <w:p w:rsidR="00C57D6D" w:rsidRPr="005900D3" w:rsidRDefault="00C57D6D" w:rsidP="00B22C9D">
      <w:pPr>
        <w:pStyle w:val="FootnoteText"/>
        <w:ind w:left="567" w:hanging="567"/>
        <w:rPr>
          <w:sz w:val="24"/>
          <w:lang w:val="mt-MT"/>
        </w:rPr>
      </w:pPr>
      <w:r w:rsidRPr="005900D3">
        <w:rPr>
          <w:rStyle w:val="FootnoteReference"/>
          <w:sz w:val="24"/>
          <w:lang w:val="mt-MT"/>
        </w:rPr>
        <w:footnoteRef/>
      </w:r>
      <w:r w:rsidR="00B22C9D" w:rsidRPr="005900D3">
        <w:rPr>
          <w:sz w:val="24"/>
          <w:lang w:val="mt-MT"/>
        </w:rPr>
        <w:t xml:space="preserve"> </w:t>
      </w:r>
      <w:r w:rsidR="00B22C9D" w:rsidRPr="005900D3">
        <w:rPr>
          <w:sz w:val="24"/>
          <w:lang w:val="mt-MT"/>
        </w:rPr>
        <w:tab/>
      </w:r>
      <w:r w:rsidRPr="005900D3">
        <w:rPr>
          <w:sz w:val="24"/>
          <w:lang w:val="mt-MT"/>
        </w:rPr>
        <w:t>ĠU L 295, 12.11.2011, p. 178.</w:t>
      </w:r>
    </w:p>
  </w:footnote>
  <w:footnote w:id="6">
    <w:p w:rsidR="00C57D6D" w:rsidRPr="005900D3" w:rsidRDefault="00C57D6D" w:rsidP="00B22C9D">
      <w:pPr>
        <w:pStyle w:val="FootnoteText"/>
        <w:ind w:left="567" w:hanging="567"/>
        <w:rPr>
          <w:sz w:val="24"/>
          <w:lang w:val="mt-MT"/>
        </w:rPr>
      </w:pPr>
      <w:r w:rsidRPr="005900D3">
        <w:rPr>
          <w:rStyle w:val="FootnoteReference"/>
          <w:sz w:val="24"/>
          <w:lang w:val="mt-MT"/>
        </w:rPr>
        <w:footnoteRef/>
      </w:r>
      <w:r w:rsidR="00B22C9D" w:rsidRPr="005900D3">
        <w:rPr>
          <w:sz w:val="24"/>
          <w:lang w:val="mt-MT"/>
        </w:rPr>
        <w:t xml:space="preserve"> </w:t>
      </w:r>
      <w:r w:rsidR="00B22C9D" w:rsidRPr="005900D3">
        <w:rPr>
          <w:sz w:val="24"/>
          <w:lang w:val="mt-MT"/>
        </w:rPr>
        <w:tab/>
      </w:r>
      <w:r w:rsidRPr="005900D3">
        <w:rPr>
          <w:sz w:val="24"/>
          <w:lang w:val="mt-MT"/>
        </w:rPr>
        <w:t>ĠU L 80, 26.3.2010, p. 19.</w:t>
      </w:r>
    </w:p>
  </w:footnote>
  <w:footnote w:id="7">
    <w:p w:rsidR="00C57D6D" w:rsidRPr="005900D3" w:rsidRDefault="00C57D6D" w:rsidP="00B22C9D">
      <w:pPr>
        <w:pStyle w:val="FootnoteText"/>
        <w:ind w:left="567" w:hanging="567"/>
        <w:rPr>
          <w:sz w:val="24"/>
          <w:lang w:val="mt-MT"/>
        </w:rPr>
      </w:pPr>
      <w:r w:rsidRPr="005900D3">
        <w:rPr>
          <w:rStyle w:val="FootnoteReference"/>
          <w:sz w:val="24"/>
          <w:lang w:val="mt-MT"/>
        </w:rPr>
        <w:footnoteRef/>
      </w:r>
      <w:r w:rsidR="00B22C9D" w:rsidRPr="005900D3">
        <w:rPr>
          <w:sz w:val="24"/>
          <w:lang w:val="mt-MT"/>
        </w:rPr>
        <w:t xml:space="preserve"> </w:t>
      </w:r>
      <w:r w:rsidR="00B22C9D" w:rsidRPr="005900D3">
        <w:rPr>
          <w:sz w:val="24"/>
          <w:lang w:val="mt-MT"/>
        </w:rPr>
        <w:tab/>
      </w:r>
      <w:hyperlink r:id="rId1" w:history="1">
        <w:r w:rsidRPr="005900D3">
          <w:rPr>
            <w:rStyle w:val="Hyperlink"/>
            <w:color w:val="1155CC"/>
            <w:sz w:val="24"/>
            <w:lang w:val="mt-MT"/>
          </w:rPr>
          <w:t>https://www.anses.fr/fr/nanomateriaux-alimentation-premiere-application-methodologie</w:t>
        </w:r>
      </w:hyperlink>
      <w:r w:rsidRPr="005900D3">
        <w:rPr>
          <w:rStyle w:val="Hyperlink"/>
          <w:color w:val="1155CC"/>
          <w:sz w:val="24"/>
          <w:lang w:val="mt-MT"/>
        </w:rPr>
        <w:t>.</w:t>
      </w:r>
      <w:r w:rsidRPr="005900D3">
        <w:rPr>
          <w:color w:val="1155CC"/>
          <w:sz w:val="24"/>
          <w:u w:val="single"/>
          <w:lang w:val="mt-MT"/>
        </w:rPr>
        <w:t xml:space="preserve"> </w:t>
      </w:r>
    </w:p>
  </w:footnote>
  <w:footnote w:id="8">
    <w:p w:rsidR="00C57D6D" w:rsidRPr="005900D3" w:rsidRDefault="00C57D6D" w:rsidP="00B22C9D">
      <w:pPr>
        <w:pStyle w:val="FootnoteText"/>
        <w:ind w:left="567" w:hanging="567"/>
        <w:rPr>
          <w:sz w:val="24"/>
          <w:lang w:val="mt-MT"/>
        </w:rPr>
      </w:pPr>
      <w:r w:rsidRPr="005900D3">
        <w:rPr>
          <w:rStyle w:val="FootnoteReference"/>
          <w:sz w:val="24"/>
          <w:lang w:val="mt-MT"/>
        </w:rPr>
        <w:footnoteRef/>
      </w:r>
      <w:r w:rsidR="00B22C9D" w:rsidRPr="005900D3">
        <w:rPr>
          <w:sz w:val="24"/>
          <w:lang w:val="mt-MT"/>
        </w:rPr>
        <w:t xml:space="preserve"> </w:t>
      </w:r>
      <w:r w:rsidR="00B22C9D" w:rsidRPr="005900D3">
        <w:rPr>
          <w:sz w:val="24"/>
          <w:lang w:val="mt-MT"/>
        </w:rPr>
        <w:tab/>
      </w:r>
      <w:hyperlink r:id="rId2" w:history="1">
        <w:r w:rsidRPr="005900D3">
          <w:rPr>
            <w:rStyle w:val="Hyperlink"/>
            <w:sz w:val="24"/>
            <w:lang w:val="mt-MT"/>
          </w:rPr>
          <w:t>https://www.agirpourlenvironnement.org/communiques-presse/enquete-exclusive-des-analyses-revelent-la-presence-de-nanoparticules-dans-3980/</w:t>
        </w:r>
      </w:hyperlink>
      <w:r w:rsidRPr="005900D3">
        <w:rPr>
          <w:rStyle w:val="Hyperlink"/>
          <w:sz w:val="24"/>
          <w:lang w:val="mt-MT"/>
        </w:rPr>
        <w:t>.</w:t>
      </w:r>
    </w:p>
  </w:footnote>
  <w:footnote w:id="9">
    <w:p w:rsidR="00C57D6D" w:rsidRPr="005900D3" w:rsidRDefault="00C57D6D" w:rsidP="00B22C9D">
      <w:pPr>
        <w:pStyle w:val="FootnoteText"/>
        <w:ind w:left="567" w:hanging="567"/>
        <w:rPr>
          <w:sz w:val="24"/>
          <w:lang w:val="mt-MT"/>
        </w:rPr>
      </w:pPr>
      <w:r w:rsidRPr="005900D3">
        <w:rPr>
          <w:rStyle w:val="FootnoteReference"/>
          <w:sz w:val="24"/>
          <w:lang w:val="mt-MT"/>
        </w:rPr>
        <w:footnoteRef/>
      </w:r>
      <w:r w:rsidR="00B22C9D" w:rsidRPr="005900D3">
        <w:rPr>
          <w:sz w:val="24"/>
          <w:lang w:val="mt-MT"/>
        </w:rPr>
        <w:t xml:space="preserve"> </w:t>
      </w:r>
      <w:r w:rsidR="00B22C9D" w:rsidRPr="005900D3">
        <w:rPr>
          <w:sz w:val="24"/>
          <w:lang w:val="mt-MT"/>
        </w:rPr>
        <w:tab/>
      </w:r>
      <w:hyperlink r:id="rId3" w:history="1">
        <w:r w:rsidRPr="005900D3">
          <w:rPr>
            <w:rStyle w:val="Hyperlink"/>
            <w:color w:val="1155CC"/>
            <w:sz w:val="24"/>
            <w:lang w:val="mt-MT"/>
          </w:rPr>
          <w:t>https://www.quechoisir.org/enquete-nanoparticules-taille-mini-doutes-maxi-n50748/</w:t>
        </w:r>
      </w:hyperlink>
      <w:r w:rsidRPr="005900D3">
        <w:rPr>
          <w:rStyle w:val="Hyperlink"/>
          <w:color w:val="1155CC"/>
          <w:sz w:val="24"/>
          <w:lang w:val="mt-MT"/>
        </w:rPr>
        <w:t>.</w:t>
      </w:r>
      <w:r w:rsidRPr="005900D3">
        <w:rPr>
          <w:color w:val="1155CC"/>
          <w:sz w:val="24"/>
          <w:u w:val="single"/>
          <w:lang w:val="mt-MT"/>
        </w:rPr>
        <w:t xml:space="preserve"> </w:t>
      </w:r>
    </w:p>
  </w:footnote>
  <w:footnote w:id="10">
    <w:p w:rsidR="00C57D6D" w:rsidRPr="005900D3" w:rsidRDefault="00C57D6D" w:rsidP="00B22C9D">
      <w:pPr>
        <w:pStyle w:val="FootnoteText"/>
        <w:ind w:left="567" w:hanging="567"/>
        <w:rPr>
          <w:sz w:val="24"/>
          <w:lang w:val="mt-MT"/>
        </w:rPr>
      </w:pPr>
      <w:r w:rsidRPr="005900D3">
        <w:rPr>
          <w:rStyle w:val="FootnoteReference"/>
          <w:sz w:val="24"/>
          <w:lang w:val="mt-MT"/>
        </w:rPr>
        <w:footnoteRef/>
      </w:r>
      <w:r w:rsidR="00B22C9D" w:rsidRPr="005900D3">
        <w:rPr>
          <w:sz w:val="24"/>
          <w:lang w:val="mt-MT"/>
        </w:rPr>
        <w:t xml:space="preserve"> </w:t>
      </w:r>
      <w:r w:rsidR="00B22C9D" w:rsidRPr="005900D3">
        <w:rPr>
          <w:sz w:val="24"/>
          <w:lang w:val="mt-MT"/>
        </w:rPr>
        <w:tab/>
      </w:r>
      <w:hyperlink r:id="rId4" w:history="1">
        <w:r w:rsidRPr="005900D3">
          <w:rPr>
            <w:rStyle w:val="Hyperlink"/>
            <w:color w:val="1155CC"/>
            <w:sz w:val="24"/>
            <w:lang w:val="mt-MT"/>
          </w:rPr>
          <w:t>https://bibliotheque.60millions-mag.com/detail/publication/detail-top-right/561?issue_id=113421&amp;switch_toc=archive</w:t>
        </w:r>
      </w:hyperlink>
      <w:r w:rsidRPr="005900D3">
        <w:rPr>
          <w:rStyle w:val="Hyperlink"/>
          <w:color w:val="1155CC"/>
          <w:sz w:val="24"/>
          <w:lang w:val="mt-MT"/>
        </w:rPr>
        <w:t>.</w:t>
      </w:r>
    </w:p>
  </w:footnote>
  <w:footnote w:id="11">
    <w:p w:rsidR="00C57D6D" w:rsidRPr="005900D3" w:rsidRDefault="00C57D6D" w:rsidP="00B22C9D">
      <w:pPr>
        <w:pStyle w:val="FootnoteText"/>
        <w:ind w:left="567" w:hanging="567"/>
        <w:rPr>
          <w:sz w:val="24"/>
          <w:lang w:val="mt-MT"/>
        </w:rPr>
      </w:pPr>
      <w:r w:rsidRPr="005900D3">
        <w:rPr>
          <w:rStyle w:val="FootnoteReference"/>
          <w:sz w:val="24"/>
          <w:lang w:val="mt-MT"/>
        </w:rPr>
        <w:footnoteRef/>
      </w:r>
      <w:r w:rsidR="00B22C9D" w:rsidRPr="005900D3">
        <w:rPr>
          <w:sz w:val="24"/>
          <w:lang w:val="mt-MT"/>
        </w:rPr>
        <w:t xml:space="preserve"> </w:t>
      </w:r>
      <w:r w:rsidR="00B22C9D" w:rsidRPr="005900D3">
        <w:rPr>
          <w:sz w:val="24"/>
          <w:lang w:val="mt-MT"/>
        </w:rPr>
        <w:tab/>
      </w:r>
      <w:hyperlink r:id="rId5" w:history="1">
        <w:r w:rsidRPr="005900D3">
          <w:rPr>
            <w:rStyle w:val="Hyperlink"/>
            <w:color w:val="1155CC"/>
            <w:sz w:val="24"/>
            <w:lang w:val="mt-MT"/>
          </w:rPr>
          <w:t>https://veillenanos.fr/wp-content/uploads/2023/01/Rapport-test-EN-20230113.pdf</w:t>
        </w:r>
      </w:hyperlink>
      <w:r w:rsidRPr="005900D3">
        <w:rPr>
          <w:rStyle w:val="Hyperlink"/>
          <w:color w:val="1155CC"/>
          <w:sz w:val="24"/>
          <w:lang w:val="mt-MT"/>
        </w:rPr>
        <w:t>.</w:t>
      </w:r>
    </w:p>
  </w:footnote>
  <w:footnote w:id="12">
    <w:p w:rsidR="00C57D6D" w:rsidRPr="005900D3" w:rsidRDefault="00C57D6D" w:rsidP="00B22C9D">
      <w:pPr>
        <w:pStyle w:val="FootnoteText"/>
        <w:ind w:left="567" w:hanging="567"/>
        <w:rPr>
          <w:sz w:val="24"/>
          <w:lang w:val="mt-MT"/>
        </w:rPr>
      </w:pPr>
      <w:r w:rsidRPr="005900D3">
        <w:rPr>
          <w:rStyle w:val="FootnoteReference"/>
          <w:sz w:val="24"/>
          <w:lang w:val="mt-MT"/>
        </w:rPr>
        <w:footnoteRef/>
      </w:r>
      <w:r w:rsidR="00B22C9D" w:rsidRPr="005900D3">
        <w:rPr>
          <w:sz w:val="24"/>
          <w:lang w:val="mt-MT"/>
        </w:rPr>
        <w:t xml:space="preserve"> </w:t>
      </w:r>
      <w:r w:rsidR="00B22C9D" w:rsidRPr="005900D3">
        <w:rPr>
          <w:sz w:val="24"/>
          <w:lang w:val="mt-MT"/>
        </w:rPr>
        <w:tab/>
      </w:r>
      <w:hyperlink r:id="rId6" w:history="1">
        <w:r w:rsidRPr="005900D3">
          <w:rPr>
            <w:rStyle w:val="Hyperlink"/>
            <w:color w:val="1155CC"/>
            <w:sz w:val="24"/>
            <w:lang w:val="mt-MT"/>
          </w:rPr>
          <w:t>https://www.foodwatch.org/de/potenziell-krebserregender-farbstoff-in-backzutaten-von-dr-oetker</w:t>
        </w:r>
      </w:hyperlink>
      <w:r w:rsidRPr="005900D3">
        <w:rPr>
          <w:rStyle w:val="Hyperlink"/>
          <w:color w:val="1155CC"/>
          <w:sz w:val="24"/>
          <w:lang w:val="mt-MT"/>
        </w:rPr>
        <w:t>.</w:t>
      </w:r>
    </w:p>
  </w:footnote>
  <w:footnote w:id="13">
    <w:p w:rsidR="00C57D6D" w:rsidRPr="005900D3" w:rsidRDefault="00C57D6D" w:rsidP="00B22C9D">
      <w:pPr>
        <w:pStyle w:val="FootnoteText"/>
        <w:ind w:left="567" w:hanging="567"/>
        <w:rPr>
          <w:sz w:val="24"/>
          <w:lang w:val="mt-MT"/>
        </w:rPr>
      </w:pPr>
      <w:r w:rsidRPr="005900D3">
        <w:rPr>
          <w:rStyle w:val="FootnoteReference"/>
          <w:sz w:val="24"/>
          <w:lang w:val="mt-MT"/>
        </w:rPr>
        <w:footnoteRef/>
      </w:r>
      <w:r w:rsidR="00B22C9D" w:rsidRPr="005900D3">
        <w:rPr>
          <w:sz w:val="24"/>
          <w:lang w:val="mt-MT"/>
        </w:rPr>
        <w:t xml:space="preserve"> </w:t>
      </w:r>
      <w:r w:rsidR="00B22C9D" w:rsidRPr="005900D3">
        <w:rPr>
          <w:sz w:val="24"/>
          <w:lang w:val="mt-MT"/>
        </w:rPr>
        <w:tab/>
      </w:r>
      <w:hyperlink r:id="rId7" w:history="1">
        <w:r w:rsidRPr="005900D3">
          <w:rPr>
            <w:rStyle w:val="Hyperlink"/>
            <w:color w:val="1155CC"/>
            <w:sz w:val="24"/>
            <w:lang w:val="mt-MT"/>
          </w:rPr>
          <w:t>https://www.bund.net/fileadmin/user_upload_bund/publikationen/chemie/‌nanotechnologie_in_lebensmitteln_hintergrund.pdf</w:t>
        </w:r>
      </w:hyperlink>
      <w:r w:rsidRPr="005900D3">
        <w:rPr>
          <w:rStyle w:val="Hyperlink"/>
          <w:color w:val="1155CC"/>
          <w:sz w:val="24"/>
          <w:lang w:val="mt-MT"/>
        </w:rPr>
        <w:t>.</w:t>
      </w:r>
    </w:p>
  </w:footnote>
  <w:footnote w:id="14">
    <w:p w:rsidR="00C57D6D" w:rsidRPr="005900D3" w:rsidRDefault="00C57D6D" w:rsidP="00B22C9D">
      <w:pPr>
        <w:pStyle w:val="FootnoteText"/>
        <w:ind w:left="567" w:hanging="567"/>
        <w:rPr>
          <w:sz w:val="24"/>
          <w:lang w:val="mt-MT"/>
        </w:rPr>
      </w:pPr>
      <w:r w:rsidRPr="005900D3">
        <w:rPr>
          <w:rStyle w:val="FootnoteReference"/>
          <w:sz w:val="24"/>
          <w:lang w:val="mt-MT"/>
        </w:rPr>
        <w:footnoteRef/>
      </w:r>
      <w:r w:rsidR="00B22C9D" w:rsidRPr="005900D3">
        <w:rPr>
          <w:sz w:val="24"/>
          <w:lang w:val="mt-MT"/>
        </w:rPr>
        <w:t xml:space="preserve"> </w:t>
      </w:r>
      <w:r w:rsidR="00B22C9D" w:rsidRPr="005900D3">
        <w:rPr>
          <w:sz w:val="24"/>
          <w:lang w:val="mt-MT"/>
        </w:rPr>
        <w:tab/>
      </w:r>
      <w:hyperlink r:id="rId8" w:history="1">
        <w:r w:rsidRPr="005900D3">
          <w:rPr>
            <w:rStyle w:val="Hyperlink"/>
            <w:color w:val="1155CC"/>
            <w:sz w:val="24"/>
            <w:lang w:val="mt-MT"/>
          </w:rPr>
          <w:t>https://www.test-achats.be/sante/sante-au-quotidien/produits-testes/news/nanoparticules-affichage</w:t>
        </w:r>
      </w:hyperlink>
      <w:r w:rsidRPr="005900D3">
        <w:rPr>
          <w:rStyle w:val="Hyperlink"/>
          <w:color w:val="1155CC"/>
          <w:sz w:val="24"/>
          <w:lang w:val="mt-MT"/>
        </w:rPr>
        <w:t>.</w:t>
      </w:r>
      <w:r w:rsidRPr="005900D3">
        <w:rPr>
          <w:color w:val="1155CC"/>
          <w:sz w:val="24"/>
          <w:u w:val="single"/>
          <w:lang w:val="mt-MT"/>
        </w:rPr>
        <w:t xml:space="preserve"> </w:t>
      </w:r>
    </w:p>
  </w:footnote>
  <w:footnote w:id="15">
    <w:p w:rsidR="00C57D6D" w:rsidRPr="005900D3" w:rsidRDefault="00C57D6D" w:rsidP="00B22C9D">
      <w:pPr>
        <w:pStyle w:val="FootnoteText"/>
        <w:ind w:left="567" w:hanging="567"/>
        <w:rPr>
          <w:sz w:val="24"/>
          <w:lang w:val="mt-MT"/>
        </w:rPr>
      </w:pPr>
      <w:r w:rsidRPr="005900D3">
        <w:rPr>
          <w:rStyle w:val="FootnoteReference"/>
          <w:sz w:val="24"/>
          <w:lang w:val="mt-MT"/>
        </w:rPr>
        <w:footnoteRef/>
      </w:r>
      <w:r w:rsidR="00B22C9D" w:rsidRPr="005900D3">
        <w:rPr>
          <w:sz w:val="24"/>
          <w:lang w:val="mt-MT"/>
        </w:rPr>
        <w:t xml:space="preserve"> </w:t>
      </w:r>
      <w:r w:rsidR="00B22C9D" w:rsidRPr="005900D3">
        <w:rPr>
          <w:sz w:val="24"/>
          <w:lang w:val="mt-MT"/>
        </w:rPr>
        <w:tab/>
      </w:r>
      <w:hyperlink r:id="rId9" w:history="1">
        <w:r w:rsidRPr="005900D3">
          <w:rPr>
            <w:rStyle w:val="Hyperlink"/>
            <w:color w:val="1155CC"/>
            <w:sz w:val="24"/>
            <w:lang w:val="mt-MT"/>
          </w:rPr>
          <w:t>https://www.altroconsumo.it/alimentazione/sicurezza-alimentare/news/nanoparticelle</w:t>
        </w:r>
      </w:hyperlink>
      <w:r w:rsidRPr="005900D3">
        <w:rPr>
          <w:rStyle w:val="Hyperlink"/>
          <w:color w:val="1155CC"/>
          <w:sz w:val="24"/>
          <w:lang w:val="mt-MT"/>
        </w:rPr>
        <w:t>.</w:t>
      </w:r>
    </w:p>
  </w:footnote>
  <w:footnote w:id="16">
    <w:p w:rsidR="00C57D6D" w:rsidRPr="005900D3" w:rsidRDefault="00C57D6D" w:rsidP="00B22C9D">
      <w:pPr>
        <w:ind w:left="567" w:hanging="567"/>
        <w:rPr>
          <w:color w:val="1155CC"/>
          <w:u w:val="single"/>
        </w:rPr>
      </w:pPr>
      <w:r w:rsidRPr="005900D3">
        <w:rPr>
          <w:rStyle w:val="FootnoteReference"/>
        </w:rPr>
        <w:footnoteRef/>
      </w:r>
      <w:r w:rsidR="00B22C9D" w:rsidRPr="005900D3">
        <w:t xml:space="preserve"> </w:t>
      </w:r>
      <w:r w:rsidR="00B22C9D" w:rsidRPr="005900D3">
        <w:tab/>
      </w:r>
      <w:hyperlink r:id="rId10" w:history="1">
        <w:r w:rsidRPr="005900D3">
          <w:rPr>
            <w:rStyle w:val="Hyperlink"/>
          </w:rPr>
          <w:t>https://www.ocu.org/toda-la-informacion?type=magazine-articles&amp;magazine=ocu%20compra%20maestra&amp;year=2019</w:t>
        </w:r>
      </w:hyperlink>
      <w:r w:rsidRPr="005900D3">
        <w:rPr>
          <w:rStyle w:val="Hyperlink"/>
        </w:rPr>
        <w:t>.</w:t>
      </w:r>
    </w:p>
  </w:footnote>
  <w:footnote w:id="17">
    <w:p w:rsidR="00C57D6D" w:rsidRPr="005900D3" w:rsidRDefault="00C57D6D" w:rsidP="00B22C9D">
      <w:pPr>
        <w:pStyle w:val="FootnoteText"/>
        <w:ind w:left="567" w:hanging="567"/>
        <w:rPr>
          <w:sz w:val="24"/>
          <w:lang w:val="mt-MT"/>
        </w:rPr>
      </w:pPr>
      <w:r w:rsidRPr="005900D3">
        <w:rPr>
          <w:rStyle w:val="FootnoteReference"/>
          <w:sz w:val="24"/>
          <w:lang w:val="mt-MT"/>
        </w:rPr>
        <w:footnoteRef/>
      </w:r>
      <w:r w:rsidR="00B22C9D" w:rsidRPr="005900D3">
        <w:rPr>
          <w:sz w:val="24"/>
          <w:lang w:val="mt-MT"/>
        </w:rPr>
        <w:t xml:space="preserve"> </w:t>
      </w:r>
      <w:r w:rsidR="00B22C9D" w:rsidRPr="005900D3">
        <w:rPr>
          <w:sz w:val="24"/>
          <w:lang w:val="mt-MT"/>
        </w:rPr>
        <w:tab/>
      </w:r>
      <w:hyperlink r:id="rId11" w:history="1">
        <w:r w:rsidRPr="005900D3">
          <w:rPr>
            <w:rStyle w:val="Hyperlink"/>
            <w:sz w:val="24"/>
            <w:lang w:val="mt-MT"/>
          </w:rPr>
          <w:t>https://echa.europa.eu/mt/-/what-do-eu-citizens-think-about-nanomaterials-</w:t>
        </w:r>
      </w:hyperlink>
      <w:r w:rsidRPr="005900D3">
        <w:rPr>
          <w:rStyle w:val="Hyperlink"/>
          <w:sz w:val="24"/>
          <w:lang w:val="mt-MT"/>
        </w:rPr>
        <w:t>.</w:t>
      </w:r>
      <w:r w:rsidRPr="005900D3">
        <w:rPr>
          <w:sz w:val="24"/>
          <w:lang w:val="mt-MT"/>
        </w:rPr>
        <w:t xml:space="preserve"> </w:t>
      </w:r>
    </w:p>
  </w:footnote>
  <w:footnote w:id="18">
    <w:p w:rsidR="00C57D6D" w:rsidRPr="005900D3" w:rsidRDefault="00C57D6D" w:rsidP="00B22C9D">
      <w:pPr>
        <w:pStyle w:val="FootnoteText"/>
        <w:ind w:left="567" w:hanging="567"/>
        <w:rPr>
          <w:sz w:val="24"/>
          <w:lang w:val="mt-MT"/>
        </w:rPr>
      </w:pPr>
      <w:r w:rsidRPr="005900D3">
        <w:rPr>
          <w:rStyle w:val="FootnoteReference"/>
          <w:sz w:val="24"/>
          <w:lang w:val="mt-MT"/>
        </w:rPr>
        <w:footnoteRef/>
      </w:r>
      <w:r w:rsidR="00B22C9D" w:rsidRPr="005900D3">
        <w:rPr>
          <w:sz w:val="24"/>
          <w:lang w:val="mt-MT"/>
        </w:rPr>
        <w:t xml:space="preserve"> </w:t>
      </w:r>
      <w:r w:rsidR="00B22C9D" w:rsidRPr="005900D3">
        <w:rPr>
          <w:sz w:val="24"/>
          <w:lang w:val="mt-MT"/>
        </w:rPr>
        <w:tab/>
      </w:r>
      <w:r w:rsidRPr="005900D3">
        <w:rPr>
          <w:sz w:val="24"/>
          <w:lang w:val="mt-MT"/>
        </w:rPr>
        <w:t>ĠU C 378, 9.11.2017, p. 92.</w:t>
      </w:r>
    </w:p>
  </w:footnote>
  <w:footnote w:id="19">
    <w:p w:rsidR="00C57D6D" w:rsidRPr="005900D3" w:rsidRDefault="00C57D6D" w:rsidP="00B22C9D">
      <w:pPr>
        <w:pStyle w:val="FootnoteText"/>
        <w:ind w:left="567" w:hanging="567"/>
        <w:rPr>
          <w:sz w:val="24"/>
          <w:lang w:val="mt-MT"/>
        </w:rPr>
      </w:pPr>
      <w:r w:rsidRPr="005900D3">
        <w:rPr>
          <w:rStyle w:val="FootnoteReference"/>
          <w:sz w:val="24"/>
          <w:lang w:val="mt-MT"/>
        </w:rPr>
        <w:footnoteRef/>
      </w:r>
      <w:r w:rsidR="00B22C9D" w:rsidRPr="005900D3">
        <w:rPr>
          <w:sz w:val="24"/>
          <w:lang w:val="mt-MT"/>
        </w:rPr>
        <w:t xml:space="preserve"> </w:t>
      </w:r>
      <w:r w:rsidR="00B22C9D" w:rsidRPr="005900D3">
        <w:rPr>
          <w:sz w:val="24"/>
          <w:lang w:val="mt-MT"/>
        </w:rPr>
        <w:tab/>
      </w:r>
      <w:r w:rsidRPr="005900D3">
        <w:rPr>
          <w:sz w:val="24"/>
          <w:lang w:val="mt-MT"/>
        </w:rPr>
        <w:t>ĠU C 395, 29.3.2021, p. 28.</w:t>
      </w:r>
    </w:p>
  </w:footnote>
  <w:footnote w:id="20">
    <w:p w:rsidR="00C57D6D" w:rsidRPr="005900D3" w:rsidRDefault="00C57D6D" w:rsidP="00B22C9D">
      <w:pPr>
        <w:pStyle w:val="FootnoteText"/>
        <w:ind w:left="567" w:hanging="567"/>
        <w:rPr>
          <w:sz w:val="24"/>
          <w:lang w:val="mt-MT"/>
        </w:rPr>
      </w:pPr>
      <w:r w:rsidRPr="005900D3">
        <w:rPr>
          <w:rStyle w:val="FootnoteReference"/>
          <w:sz w:val="24"/>
          <w:lang w:val="mt-MT"/>
        </w:rPr>
        <w:footnoteRef/>
      </w:r>
      <w:r w:rsidR="00B22C9D" w:rsidRPr="005900D3">
        <w:rPr>
          <w:sz w:val="24"/>
          <w:lang w:val="mt-MT"/>
        </w:rPr>
        <w:t xml:space="preserve"> </w:t>
      </w:r>
      <w:r w:rsidR="00B22C9D" w:rsidRPr="005900D3">
        <w:rPr>
          <w:sz w:val="24"/>
          <w:lang w:val="mt-MT"/>
        </w:rPr>
        <w:tab/>
      </w:r>
      <w:hyperlink r:id="rId12" w:history="1">
        <w:r w:rsidRPr="005900D3">
          <w:rPr>
            <w:rStyle w:val="Hyperlink"/>
            <w:sz w:val="24"/>
            <w:lang w:val="mt-MT"/>
          </w:rPr>
          <w:t>https://www.efsa.europa.eu/sites/default/files/assets/corporatenanotechnology121003.pdf</w:t>
        </w:r>
      </w:hyperlink>
      <w:r w:rsidRPr="005900D3">
        <w:rPr>
          <w:rStyle w:val="Hyperlink"/>
          <w:sz w:val="24"/>
          <w:lang w:val="mt-MT"/>
        </w:rPr>
        <w:t>.</w:t>
      </w:r>
    </w:p>
  </w:footnote>
  <w:footnote w:id="21">
    <w:p w:rsidR="00C57D6D" w:rsidRPr="005900D3" w:rsidRDefault="00C57D6D" w:rsidP="00B22C9D">
      <w:pPr>
        <w:pStyle w:val="FootnoteText"/>
        <w:ind w:left="567" w:hanging="567"/>
        <w:rPr>
          <w:sz w:val="24"/>
          <w:lang w:val="mt-MT"/>
        </w:rPr>
      </w:pPr>
      <w:r w:rsidRPr="005900D3">
        <w:rPr>
          <w:rStyle w:val="FootnoteReference"/>
          <w:sz w:val="24"/>
          <w:lang w:val="mt-MT"/>
        </w:rPr>
        <w:footnoteRef/>
      </w:r>
      <w:r w:rsidR="00B22C9D" w:rsidRPr="005900D3">
        <w:rPr>
          <w:sz w:val="24"/>
          <w:lang w:val="mt-MT"/>
        </w:rPr>
        <w:t xml:space="preserve"> </w:t>
      </w:r>
      <w:r w:rsidR="00B22C9D" w:rsidRPr="005900D3">
        <w:rPr>
          <w:sz w:val="24"/>
          <w:lang w:val="mt-MT"/>
        </w:rPr>
        <w:tab/>
      </w:r>
      <w:hyperlink r:id="rId13" w:history="1">
        <w:r w:rsidRPr="005900D3">
          <w:rPr>
            <w:rStyle w:val="Hyperlink"/>
            <w:color w:val="1155CC"/>
            <w:sz w:val="24"/>
            <w:lang w:val="mt-MT"/>
          </w:rPr>
          <w:t>https://veillenanos.fr/en/dossier/nanos-and-health/nanos-health-risks/</w:t>
        </w:r>
      </w:hyperlink>
      <w:r w:rsidRPr="005900D3">
        <w:rPr>
          <w:rStyle w:val="Hyperlink"/>
          <w:color w:val="1155CC"/>
          <w:sz w:val="24"/>
          <w:lang w:val="mt-MT"/>
        </w:rPr>
        <w:t>.</w:t>
      </w:r>
    </w:p>
  </w:footnote>
  <w:footnote w:id="22">
    <w:p w:rsidR="00C57D6D" w:rsidRPr="005900D3" w:rsidRDefault="00C57D6D" w:rsidP="00B22C9D">
      <w:pPr>
        <w:pStyle w:val="FootnoteText"/>
        <w:ind w:left="567" w:hanging="567"/>
        <w:rPr>
          <w:sz w:val="24"/>
          <w:lang w:val="mt-MT"/>
        </w:rPr>
      </w:pPr>
      <w:r w:rsidRPr="005900D3">
        <w:rPr>
          <w:rStyle w:val="FootnoteReference"/>
          <w:sz w:val="24"/>
          <w:lang w:val="mt-MT"/>
        </w:rPr>
        <w:footnoteRef/>
      </w:r>
      <w:r w:rsidR="00B22C9D" w:rsidRPr="005900D3">
        <w:rPr>
          <w:sz w:val="24"/>
          <w:lang w:val="mt-MT"/>
        </w:rPr>
        <w:t xml:space="preserve"> </w:t>
      </w:r>
      <w:r w:rsidR="00B22C9D" w:rsidRPr="005900D3">
        <w:rPr>
          <w:sz w:val="24"/>
          <w:lang w:val="mt-MT"/>
        </w:rPr>
        <w:tab/>
      </w:r>
      <w:r w:rsidRPr="005900D3">
        <w:rPr>
          <w:sz w:val="24"/>
          <w:lang w:val="mt-MT"/>
        </w:rPr>
        <w:t>Opinjoni tal-</w:t>
      </w:r>
      <w:proofErr w:type="spellStart"/>
      <w:r w:rsidRPr="005900D3">
        <w:rPr>
          <w:sz w:val="24"/>
          <w:lang w:val="mt-MT"/>
        </w:rPr>
        <w:t>Anses</w:t>
      </w:r>
      <w:proofErr w:type="spellEnd"/>
      <w:r w:rsidRPr="005900D3">
        <w:rPr>
          <w:sz w:val="24"/>
          <w:lang w:val="mt-MT"/>
        </w:rPr>
        <w:t xml:space="preserve"> (2023): Definizzjoni ta’ </w:t>
      </w:r>
      <w:proofErr w:type="spellStart"/>
      <w:r w:rsidRPr="005900D3">
        <w:rPr>
          <w:sz w:val="24"/>
          <w:lang w:val="mt-MT"/>
        </w:rPr>
        <w:t>nanomaterjali</w:t>
      </w:r>
      <w:proofErr w:type="spellEnd"/>
      <w:r w:rsidRPr="005900D3">
        <w:rPr>
          <w:sz w:val="24"/>
          <w:lang w:val="mt-MT"/>
        </w:rPr>
        <w:t>: analiżi, sfidi u kontroversji,</w:t>
      </w:r>
      <w:hyperlink r:id="rId14" w:history="1">
        <w:r w:rsidRPr="005900D3">
          <w:rPr>
            <w:rStyle w:val="Hyperlink"/>
            <w:sz w:val="24"/>
            <w:lang w:val="mt-MT"/>
          </w:rPr>
          <w:t xml:space="preserve"> </w:t>
        </w:r>
      </w:hyperlink>
      <w:hyperlink r:id="rId15" w:history="1">
        <w:r w:rsidRPr="005900D3">
          <w:rPr>
            <w:rStyle w:val="Hyperlink"/>
            <w:color w:val="1155CC"/>
            <w:sz w:val="24"/>
            <w:lang w:val="mt-MT"/>
          </w:rPr>
          <w:t>https://www.anses.fr/en/system/files/AP2018SA0168RaEN.pdf</w:t>
        </w:r>
      </w:hyperlink>
      <w:r w:rsidRPr="005900D3">
        <w:rPr>
          <w:rStyle w:val="Hyperlink"/>
          <w:color w:val="1155CC"/>
          <w:sz w:val="24"/>
          <w:lang w:val="mt-MT"/>
        </w:rPr>
        <w:t>.</w:t>
      </w:r>
    </w:p>
  </w:footnote>
  <w:footnote w:id="23">
    <w:p w:rsidR="00C57D6D" w:rsidRPr="005900D3" w:rsidRDefault="00C57D6D" w:rsidP="00B22C9D">
      <w:pPr>
        <w:pStyle w:val="FootnoteText"/>
        <w:ind w:left="567" w:hanging="567"/>
        <w:rPr>
          <w:sz w:val="24"/>
          <w:lang w:val="mt-MT"/>
        </w:rPr>
      </w:pPr>
      <w:r w:rsidRPr="005900D3">
        <w:rPr>
          <w:rStyle w:val="FootnoteReference"/>
          <w:sz w:val="24"/>
          <w:lang w:val="mt-MT"/>
        </w:rPr>
        <w:footnoteRef/>
      </w:r>
      <w:r w:rsidR="00B22C9D" w:rsidRPr="005900D3">
        <w:rPr>
          <w:sz w:val="24"/>
          <w:lang w:val="mt-MT"/>
        </w:rPr>
        <w:t xml:space="preserve"> </w:t>
      </w:r>
      <w:r w:rsidR="00B22C9D" w:rsidRPr="005900D3">
        <w:rPr>
          <w:sz w:val="24"/>
          <w:lang w:val="mt-MT"/>
        </w:rPr>
        <w:tab/>
      </w:r>
      <w:r w:rsidRPr="005900D3">
        <w:rPr>
          <w:sz w:val="24"/>
          <w:lang w:val="mt-MT"/>
        </w:rPr>
        <w:t xml:space="preserve">Rakkomandazzjoni tal-Kummissjoni tal-10 ta’ Ġunju 2022 dwar id-definizzjoni ta’ </w:t>
      </w:r>
      <w:proofErr w:type="spellStart"/>
      <w:r w:rsidRPr="005900D3">
        <w:rPr>
          <w:sz w:val="24"/>
          <w:lang w:val="mt-MT"/>
        </w:rPr>
        <w:t>nanomaterjal</w:t>
      </w:r>
      <w:proofErr w:type="spellEnd"/>
      <w:r w:rsidRPr="005900D3">
        <w:rPr>
          <w:sz w:val="24"/>
          <w:lang w:val="mt-MT"/>
        </w:rPr>
        <w:t xml:space="preserve"> (ĠU C 229, 14.6.2022, p. 1).</w:t>
      </w:r>
    </w:p>
  </w:footnote>
  <w:footnote w:id="24">
    <w:p w:rsidR="00C57D6D" w:rsidRPr="00B22C9D" w:rsidRDefault="00C57D6D" w:rsidP="00B22C9D">
      <w:pPr>
        <w:pStyle w:val="FootnoteText"/>
        <w:ind w:left="567" w:hanging="567"/>
        <w:rPr>
          <w:sz w:val="24"/>
          <w:lang w:val="mt-MT"/>
        </w:rPr>
      </w:pPr>
      <w:r w:rsidRPr="005900D3">
        <w:rPr>
          <w:rStyle w:val="FootnoteReference"/>
          <w:sz w:val="24"/>
          <w:lang w:val="mt-MT"/>
        </w:rPr>
        <w:footnoteRef/>
      </w:r>
      <w:r w:rsidR="00B22C9D" w:rsidRPr="005900D3">
        <w:rPr>
          <w:sz w:val="24"/>
          <w:lang w:val="mt-MT"/>
        </w:rPr>
        <w:t xml:space="preserve"> </w:t>
      </w:r>
      <w:r w:rsidR="00B22C9D" w:rsidRPr="005900D3">
        <w:rPr>
          <w:sz w:val="24"/>
          <w:lang w:val="mt-MT"/>
        </w:rPr>
        <w:tab/>
      </w:r>
      <w:proofErr w:type="spellStart"/>
      <w:r w:rsidRPr="005900D3">
        <w:rPr>
          <w:sz w:val="24"/>
          <w:lang w:val="mt-MT"/>
        </w:rPr>
        <w:t>Anses</w:t>
      </w:r>
      <w:proofErr w:type="spellEnd"/>
      <w:r w:rsidRPr="005900D3">
        <w:rPr>
          <w:sz w:val="24"/>
          <w:lang w:val="mt-MT"/>
        </w:rPr>
        <w:t xml:space="preserve"> (2020) : </w:t>
      </w:r>
      <w:proofErr w:type="spellStart"/>
      <w:r w:rsidRPr="005900D3">
        <w:rPr>
          <w:sz w:val="24"/>
          <w:lang w:val="mt-MT"/>
        </w:rPr>
        <w:t>Nanomatériaux</w:t>
      </w:r>
      <w:proofErr w:type="spellEnd"/>
      <w:r w:rsidRPr="005900D3">
        <w:rPr>
          <w:sz w:val="24"/>
          <w:lang w:val="mt-MT"/>
        </w:rPr>
        <w:t xml:space="preserve"> </w:t>
      </w:r>
      <w:proofErr w:type="spellStart"/>
      <w:r w:rsidRPr="005900D3">
        <w:rPr>
          <w:sz w:val="24"/>
          <w:lang w:val="mt-MT"/>
        </w:rPr>
        <w:t>dans</w:t>
      </w:r>
      <w:proofErr w:type="spellEnd"/>
      <w:r w:rsidRPr="005900D3">
        <w:rPr>
          <w:sz w:val="24"/>
          <w:lang w:val="mt-MT"/>
        </w:rPr>
        <w:t xml:space="preserve"> </w:t>
      </w:r>
      <w:proofErr w:type="spellStart"/>
      <w:r w:rsidRPr="005900D3">
        <w:rPr>
          <w:sz w:val="24"/>
          <w:lang w:val="mt-MT"/>
        </w:rPr>
        <w:t>les</w:t>
      </w:r>
      <w:proofErr w:type="spellEnd"/>
      <w:r w:rsidRPr="005900D3">
        <w:rPr>
          <w:sz w:val="24"/>
          <w:lang w:val="mt-MT"/>
        </w:rPr>
        <w:t xml:space="preserve"> </w:t>
      </w:r>
      <w:proofErr w:type="spellStart"/>
      <w:r w:rsidRPr="005900D3">
        <w:rPr>
          <w:sz w:val="24"/>
          <w:lang w:val="mt-MT"/>
        </w:rPr>
        <w:t>produits</w:t>
      </w:r>
      <w:proofErr w:type="spellEnd"/>
      <w:r w:rsidRPr="005900D3">
        <w:rPr>
          <w:sz w:val="24"/>
          <w:lang w:val="mt-MT"/>
        </w:rPr>
        <w:t xml:space="preserve"> </w:t>
      </w:r>
      <w:proofErr w:type="spellStart"/>
      <w:r w:rsidRPr="005900D3">
        <w:rPr>
          <w:sz w:val="24"/>
          <w:lang w:val="mt-MT"/>
        </w:rPr>
        <w:t>destinés</w:t>
      </w:r>
      <w:proofErr w:type="spellEnd"/>
      <w:r w:rsidRPr="005900D3">
        <w:rPr>
          <w:sz w:val="24"/>
          <w:lang w:val="mt-MT"/>
        </w:rPr>
        <w:t xml:space="preserve"> à l’</w:t>
      </w:r>
      <w:proofErr w:type="spellStart"/>
      <w:r w:rsidRPr="005900D3">
        <w:rPr>
          <w:sz w:val="24"/>
          <w:lang w:val="mt-MT"/>
        </w:rPr>
        <w:t>alimentation</w:t>
      </w:r>
      <w:proofErr w:type="spellEnd"/>
      <w:r w:rsidRPr="005900D3">
        <w:rPr>
          <w:sz w:val="24"/>
          <w:lang w:val="mt-MT"/>
        </w:rPr>
        <w:t>. Rapport d’</w:t>
      </w:r>
      <w:proofErr w:type="spellStart"/>
      <w:r w:rsidRPr="005900D3">
        <w:rPr>
          <w:sz w:val="24"/>
          <w:lang w:val="mt-MT"/>
        </w:rPr>
        <w:t>expertise</w:t>
      </w:r>
      <w:proofErr w:type="spellEnd"/>
      <w:r w:rsidRPr="005900D3">
        <w:rPr>
          <w:sz w:val="24"/>
          <w:lang w:val="mt-MT"/>
        </w:rPr>
        <w:t xml:space="preserve"> </w:t>
      </w:r>
      <w:proofErr w:type="spellStart"/>
      <w:r w:rsidRPr="005900D3">
        <w:rPr>
          <w:sz w:val="24"/>
          <w:lang w:val="mt-MT"/>
        </w:rPr>
        <w:t>collective</w:t>
      </w:r>
      <w:proofErr w:type="spellEnd"/>
      <w:r w:rsidRPr="005900D3">
        <w:rPr>
          <w:sz w:val="24"/>
          <w:lang w:val="mt-MT"/>
        </w:rPr>
        <w:t>,</w:t>
      </w:r>
      <w:hyperlink r:id="rId16" w:history="1">
        <w:r w:rsidRPr="005900D3">
          <w:rPr>
            <w:rStyle w:val="Hyperlink"/>
            <w:sz w:val="24"/>
            <w:lang w:val="mt-MT"/>
          </w:rPr>
          <w:t xml:space="preserve"> </w:t>
        </w:r>
      </w:hyperlink>
      <w:hyperlink r:id="rId17" w:history="1">
        <w:r w:rsidRPr="005900D3">
          <w:rPr>
            <w:rStyle w:val="Hyperlink"/>
            <w:color w:val="1155CC"/>
            <w:sz w:val="24"/>
            <w:lang w:val="mt-MT"/>
          </w:rPr>
          <w:t>https://www.anses.fr/fr/system/files/ERCA2016SA0226Ra.pdf</w:t>
        </w:r>
      </w:hyperlink>
      <w:r w:rsidRPr="005900D3">
        <w:rPr>
          <w:sz w:val="24"/>
          <w:lang w:val="mt-MT"/>
        </w:rPr>
        <w:t xml:space="preserve"> (p. 86).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B22C9D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B22C9D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B22C9D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Page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B9-0225/2024"/>
    <w:docVar w:name="dvlangue" w:val="MT"/>
    <w:docVar w:name="dvnumam" w:val="0"/>
    <w:docVar w:name="dvpe" w:val="760.689"/>
    <w:docVar w:name="dvtitre" w:val="Riżoluzzjoni tal-Parlament Ewropew tal-24 ta' April 2024 dwar ir-Regolament Delegat tal-Kummissjoni tal-14 ta’ Marzu 2024 li jemenda r-Regolament (UE) 2015/2283 tal-Parlament Ewropew u tal-Kunsill dwar ikel ġdid fir-rigward tad-definizzjoni ta’ “nanomaterjali maħdumin”(C(2024)01612 – 2024/2691(DEA))"/>
  </w:docVars>
  <w:rsids>
    <w:rsidRoot w:val="005B62A7"/>
    <w:rsid w:val="00002272"/>
    <w:rsid w:val="00064002"/>
    <w:rsid w:val="000677B9"/>
    <w:rsid w:val="000831BA"/>
    <w:rsid w:val="000A42CC"/>
    <w:rsid w:val="000E7DD9"/>
    <w:rsid w:val="0010095E"/>
    <w:rsid w:val="00125B37"/>
    <w:rsid w:val="00187494"/>
    <w:rsid w:val="001F32AE"/>
    <w:rsid w:val="002767FF"/>
    <w:rsid w:val="002B18FE"/>
    <w:rsid w:val="002B5493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900D3"/>
    <w:rsid w:val="005B62A7"/>
    <w:rsid w:val="005C2568"/>
    <w:rsid w:val="006037C0"/>
    <w:rsid w:val="006631B6"/>
    <w:rsid w:val="00680577"/>
    <w:rsid w:val="006F74FA"/>
    <w:rsid w:val="007164A4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22C9D"/>
    <w:rsid w:val="00B558F0"/>
    <w:rsid w:val="00BD48FE"/>
    <w:rsid w:val="00BD7BD8"/>
    <w:rsid w:val="00BE6ADC"/>
    <w:rsid w:val="00C05BFE"/>
    <w:rsid w:val="00C23CD4"/>
    <w:rsid w:val="00C57D6D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E365E1"/>
    <w:rsid w:val="00E820A4"/>
    <w:rsid w:val="00EA297E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8BA350C"/>
  <w15:chartTrackingRefBased/>
  <w15:docId w15:val="{8DF72A18-C161-4000-988E-D59025912B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note text" w:uiPriority="99"/>
    <w:lsdException w:name="caption" w:semiHidden="1" w:unhideWhenUsed="1" w:qFormat="1"/>
    <w:lsdException w:name="footnote reference" w:uiPriority="99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mt-MT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uiPriority w:val="99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uiPriority w:val="99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uiPriority w:val="99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C57D6D"/>
    <w:pPr>
      <w:spacing w:before="480" w:after="240"/>
    </w:pPr>
  </w:style>
  <w:style w:type="paragraph" w:customStyle="1" w:styleId="NormalHanging12a">
    <w:name w:val="NormalHanging12a"/>
    <w:basedOn w:val="Normal"/>
    <w:rsid w:val="00C57D6D"/>
    <w:pPr>
      <w:spacing w:after="240"/>
      <w:ind w:left="567" w:hanging="567"/>
    </w:pPr>
  </w:style>
  <w:style w:type="character" w:styleId="Hyperlink">
    <w:name w:val="Hyperlink"/>
    <w:basedOn w:val="DefaultParagraphFont"/>
    <w:unhideWhenUsed/>
    <w:rsid w:val="00C57D6D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rsid w:val="00EA297E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EA297E"/>
    <w:rPr>
      <w:rFonts w:ascii="Segoe UI" w:hAnsi="Segoe UI" w:cs="Segoe UI"/>
      <w:sz w:val="18"/>
      <w:szCs w:val="18"/>
      <w:lang w:val="mt-M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notes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test-achats.be/sante/sante-au-quotidien/produits-testes/news/nanoparticules-affichage" TargetMode="External"/><Relationship Id="rId13" Type="http://schemas.openxmlformats.org/officeDocument/2006/relationships/hyperlink" Target="https://veillenanos.fr/en/dossier/nanos-and-health/nanos-health-risks/" TargetMode="External"/><Relationship Id="rId3" Type="http://schemas.openxmlformats.org/officeDocument/2006/relationships/hyperlink" Target="https://www.quechoisir.org/enquete-nanoparticules-taille-mini-doutes-maxi-n50748/" TargetMode="External"/><Relationship Id="rId7" Type="http://schemas.openxmlformats.org/officeDocument/2006/relationships/hyperlink" Target="https://www.bund.net/fileadmin/user_upload_bund/publikationen/chemie/nanotechnologie_in_lebensmitteln_hintergrund.pdf" TargetMode="External"/><Relationship Id="rId12" Type="http://schemas.openxmlformats.org/officeDocument/2006/relationships/hyperlink" Target="https://www.efsa.europa.eu/sites/default/files/assets/corporatenanotechnology121003.pdf" TargetMode="External"/><Relationship Id="rId17" Type="http://schemas.openxmlformats.org/officeDocument/2006/relationships/hyperlink" Target="https://www.anses.fr/fr/system/files/ERCA2016SA0226Ra.pdf" TargetMode="External"/><Relationship Id="rId2" Type="http://schemas.openxmlformats.org/officeDocument/2006/relationships/hyperlink" Target="https://www.agirpourlenvironnement.org/communiques-presse/enquete-exclusive-des-analyses-revelent-la-presence-de-nanoparticules-dans-3980/" TargetMode="External"/><Relationship Id="rId16" Type="http://schemas.openxmlformats.org/officeDocument/2006/relationships/hyperlink" Target="https://www.anses.fr/fr/system/files/ERCA2016SA0226Ra.pdf" TargetMode="External"/><Relationship Id="rId1" Type="http://schemas.openxmlformats.org/officeDocument/2006/relationships/hyperlink" Target="https://www.anses.fr/fr/nanomateriaux-alimentation-premiere-application-methodologie" TargetMode="External"/><Relationship Id="rId6" Type="http://schemas.openxmlformats.org/officeDocument/2006/relationships/hyperlink" Target="https://www.foodwatch.org/de/potenziell-krebserregender-farbstoff-in-backzutaten-von-dr-oetker" TargetMode="External"/><Relationship Id="rId11" Type="http://schemas.openxmlformats.org/officeDocument/2006/relationships/hyperlink" Target="https://echa.europa.eu/mt/-/what-do-eu-citizens-think-about-nanomaterials-" TargetMode="External"/><Relationship Id="rId5" Type="http://schemas.openxmlformats.org/officeDocument/2006/relationships/hyperlink" Target="https://veillenanos.fr/wp-content/uploads/2023/01/Rapport-test-EN-20230113.pdf" TargetMode="External"/><Relationship Id="rId15" Type="http://schemas.openxmlformats.org/officeDocument/2006/relationships/hyperlink" Target="https://www.anses.fr/en/system/files/AP2018SA0168RaEN.pdf" TargetMode="External"/><Relationship Id="rId10" Type="http://schemas.openxmlformats.org/officeDocument/2006/relationships/hyperlink" Target="https://www.ocu.org/toda-la-informacion?type=magazine-articles&amp;magazine=ocu%20compra%20maestra&amp;year=2019" TargetMode="External"/><Relationship Id="rId4" Type="http://schemas.openxmlformats.org/officeDocument/2006/relationships/hyperlink" Target="https://bibliotheque.60millions-mag.com/detail/publication/detail-top-right/561?issue_id=113421&amp;switch_toc=archive" TargetMode="External"/><Relationship Id="rId9" Type="http://schemas.openxmlformats.org/officeDocument/2006/relationships/hyperlink" Target="https://www.altroconsumo.it/alimentazione/sicurezza-alimentare/news/nanoparticelle" TargetMode="External"/><Relationship Id="rId14" Type="http://schemas.openxmlformats.org/officeDocument/2006/relationships/hyperlink" Target="https://www.anses.fr/en/system/files/AP2018SA0168RaEN.pdf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7B9A09C-4E9C-4ED8-9854-510B9DFB514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1448</Words>
  <Characters>10503</Characters>
  <Application>Microsoft Office Word</Application>
  <DocSecurity>0</DocSecurity>
  <Lines>187</Lines>
  <Paragraphs>60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11891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CUTAJAR Sera</dc:creator>
  <cp:keywords/>
  <cp:lastModifiedBy>CUTAJAR Sera</cp:lastModifiedBy>
  <cp:revision>2</cp:revision>
  <cp:lastPrinted>2004-11-19T15:42:00Z</cp:lastPrinted>
  <dcterms:created xsi:type="dcterms:W3CDTF">2024-04-24T11:04:00Z</dcterms:created>
  <dcterms:modified xsi:type="dcterms:W3CDTF">2024-04-24T11:04:00Z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MT</vt:lpwstr>
  </property>
  <property fmtid="{D5CDD505-2E9C-101B-9397-08002B2CF9AE}" pid="3" name="&lt;FdR&gt;">
    <vt:lpwstr>B9-0225/2024</vt:lpwstr>
  </property>
  <property fmtid="{D5CDD505-2E9C-101B-9397-08002B2CF9AE}" pid="4" name="&lt;Type&gt;">
    <vt:lpwstr>RR</vt:lpwstr>
  </property>
</Properties>
</file>