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D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0D40" w:rsidRDefault="008B201D" w:rsidP="0010095E">
            <w:pPr>
              <w:pStyle w:val="EPName"/>
            </w:pPr>
            <w:r w:rsidRPr="00000D40">
              <w:t>Parlamento Europeu</w:t>
            </w:r>
          </w:p>
          <w:p w:rsidR="00751A4A" w:rsidRPr="00000D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0D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0D40" w:rsidRDefault="00187494" w:rsidP="0010095E">
            <w:pPr>
              <w:pStyle w:val="EPLogo"/>
            </w:pPr>
            <w:r w:rsidRPr="00000D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0D40" w:rsidRDefault="00D058B8" w:rsidP="004C5D52">
      <w:pPr>
        <w:pStyle w:val="LineTop"/>
      </w:pPr>
    </w:p>
    <w:p w:rsidR="00680577" w:rsidRPr="00000D40" w:rsidRDefault="008B201D" w:rsidP="00680577">
      <w:pPr>
        <w:pStyle w:val="EPBodyTA1"/>
      </w:pPr>
      <w:r w:rsidRPr="00000D40">
        <w:t>TEXTOS APROVADOS</w:t>
      </w:r>
    </w:p>
    <w:p w:rsidR="00D058B8" w:rsidRPr="00000D40" w:rsidRDefault="00D058B8" w:rsidP="00D058B8">
      <w:pPr>
        <w:pStyle w:val="LineBottom"/>
      </w:pPr>
    </w:p>
    <w:p w:rsidR="008B201D" w:rsidRPr="00000D40" w:rsidRDefault="008B201D" w:rsidP="008B201D">
      <w:pPr>
        <w:pStyle w:val="ATHeading1"/>
      </w:pPr>
      <w:bookmarkStart w:id="0" w:name="TANumber"/>
      <w:r w:rsidRPr="00000D40">
        <w:t>P9_TA(2024)0</w:t>
      </w:r>
      <w:bookmarkEnd w:id="0"/>
      <w:r w:rsidR="00FF2B8E">
        <w:t>316</w:t>
      </w:r>
    </w:p>
    <w:p w:rsidR="008B201D" w:rsidRPr="00000D40" w:rsidRDefault="006C6952" w:rsidP="008B201D">
      <w:pPr>
        <w:pStyle w:val="ATHeading2"/>
      </w:pPr>
      <w:bookmarkStart w:id="1" w:name="title"/>
      <w:r w:rsidRPr="00000D40">
        <w:t>Objeção a um ato delegado</w:t>
      </w:r>
      <w:r w:rsidR="008B201D" w:rsidRPr="00000D40">
        <w:t>: Novos alimentos - a definição de «nanomateriais artificiais»</w:t>
      </w:r>
      <w:bookmarkEnd w:id="1"/>
    </w:p>
    <w:p w:rsidR="008B201D" w:rsidRPr="00000D40" w:rsidRDefault="008B201D" w:rsidP="008B201D">
      <w:pPr>
        <w:rPr>
          <w:i/>
          <w:vanish/>
        </w:rPr>
      </w:pPr>
      <w:r w:rsidRPr="00000D40">
        <w:rPr>
          <w:i/>
        </w:rPr>
        <w:fldChar w:fldCharType="begin"/>
      </w:r>
      <w:r w:rsidRPr="00000D40">
        <w:rPr>
          <w:i/>
        </w:rPr>
        <w:instrText xml:space="preserve"> TC"(</w:instrText>
      </w:r>
      <w:bookmarkStart w:id="2" w:name="DocNumber"/>
      <w:r w:rsidRPr="00000D40">
        <w:rPr>
          <w:i/>
        </w:rPr>
        <w:instrText>B9-0225/2024</w:instrText>
      </w:r>
      <w:bookmarkEnd w:id="2"/>
      <w:r w:rsidRPr="00000D40">
        <w:rPr>
          <w:i/>
        </w:rPr>
        <w:instrText xml:space="preserve">)"\l3 \n&gt; \* MERGEFORMAT </w:instrText>
      </w:r>
      <w:r w:rsidRPr="00000D40">
        <w:rPr>
          <w:i/>
        </w:rPr>
        <w:fldChar w:fldCharType="end"/>
      </w:r>
    </w:p>
    <w:p w:rsidR="008B201D" w:rsidRPr="00000D40" w:rsidRDefault="008B201D" w:rsidP="008B201D">
      <w:pPr>
        <w:rPr>
          <w:vanish/>
        </w:rPr>
      </w:pPr>
      <w:bookmarkStart w:id="3" w:name="PE"/>
      <w:r w:rsidRPr="00000D40">
        <w:rPr>
          <w:vanish/>
        </w:rPr>
        <w:t>PE760.689</w:t>
      </w:r>
      <w:bookmarkEnd w:id="3"/>
    </w:p>
    <w:p w:rsidR="008B201D" w:rsidRPr="00000D40" w:rsidRDefault="008B201D" w:rsidP="008B201D">
      <w:pPr>
        <w:pStyle w:val="ATHeading3"/>
      </w:pPr>
      <w:bookmarkStart w:id="4" w:name="Sujet"/>
      <w:r w:rsidRPr="00000D40">
        <w:t xml:space="preserve">Resolução do Parlamento Europeu, de </w:t>
      </w:r>
      <w:r w:rsidR="00B31FF2" w:rsidRPr="00000D40">
        <w:t xml:space="preserve">24 </w:t>
      </w:r>
      <w:r w:rsidRPr="00000D40">
        <w:t xml:space="preserve">de </w:t>
      </w:r>
      <w:r w:rsidR="00B31FF2" w:rsidRPr="00000D40">
        <w:t xml:space="preserve">abril </w:t>
      </w:r>
      <w:r w:rsidRPr="00000D40">
        <w:t>de 2024, sobre o Regulamento delegado da Comissão, de 14 de março de 2024, que altera o Regulamento (UE) 2015/2283 do Parlamento Europeu e do Conselho relativo a novos alimentos, no que se refere à definição de «nanomateriais artificiais»</w:t>
      </w:r>
      <w:bookmarkEnd w:id="4"/>
      <w:r w:rsidRPr="00000D40">
        <w:t xml:space="preserve"> </w:t>
      </w:r>
      <w:bookmarkStart w:id="5" w:name="References"/>
      <w:r w:rsidRPr="00000D40">
        <w:t>(C(2024)01612 – 2024/2691(DEA))</w:t>
      </w:r>
      <w:bookmarkEnd w:id="5"/>
    </w:p>
    <w:p w:rsidR="008466BA" w:rsidRPr="00000D40" w:rsidRDefault="008466BA" w:rsidP="008466BA">
      <w:pPr>
        <w:pStyle w:val="EPComma"/>
      </w:pPr>
      <w:bookmarkStart w:id="6" w:name="TextBodyBegin"/>
      <w:bookmarkEnd w:id="6"/>
      <w:r w:rsidRPr="00000D40">
        <w:rPr>
          <w:i/>
          <w:iCs/>
        </w:rPr>
        <w:t>O Parlamento Europeu</w:t>
      </w:r>
      <w:r w:rsidRPr="00000D40">
        <w:t>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o Regulamento delegado da Comissão, de 14 de março de 2024, que altera o Regulamento (UE) 2015/2283 do Parlamento Europeu e do Conselho relativo a novos alimentos, no que se refere à definição de «nanomateriais artificiais» (C(2024)01612),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o artigo 290.º do Tratado sobre o Funcionamento da União Europeia (TFUE),</w:t>
      </w:r>
    </w:p>
    <w:p w:rsidR="008466BA" w:rsidRPr="00000D40" w:rsidRDefault="008466BA" w:rsidP="008466BA">
      <w:pPr>
        <w:pStyle w:val="NormalHanging12a"/>
        <w:rPr>
          <w:noProof/>
        </w:rPr>
      </w:pPr>
      <w:r w:rsidRPr="00000D40">
        <w:t>–</w:t>
      </w:r>
      <w:r w:rsidRPr="00000D40">
        <w:tab/>
        <w:t>Tendo em conta o Regulamento (UE) 2015/2283 do Parlamento Europeu e do Conselho, de 25 de novembro de 2015, relativo a novos alimentos, que altera o Regulamento (UE) n.º 1169/2011 do Parlamento Europeu e do Conselho e que revoga o Regulamento (CE) n.º 258/97 do Parlamento Europeu e do Conselho e o Regulamento (CE) n.º 1852/2001 da Comissão</w:t>
      </w:r>
      <w:r w:rsidRPr="00000D40">
        <w:rPr>
          <w:rStyle w:val="FootnoteReference"/>
          <w:noProof/>
          <w:color w:val="000000"/>
          <w:szCs w:val="24"/>
        </w:rPr>
        <w:footnoteReference w:id="1"/>
      </w:r>
      <w:r w:rsidRPr="00000D40">
        <w:t>, nomeadamente o artigo 31.º e o artigo 32.º, n.º 6,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o Regulamento (UE) n.º 1169/2011 do Parlamento Europeu e do Conselho, de 25 de outubro de 2011, relativo à prestação de informação aos consumidores sobre os géneros alimentícios, que altera os Regulamentos (CE) n.º 1924/2006 e (CE) n.º 1925/2006 do Parlamento Europeu e do Conselho e revoga as Diretivas 87/250/CEE da Comissão, 90/496/CEE do Conselho, 1999/10/CE da Comissão, 2000/13/CE do Parlamento Europeu e do Conselho, 2002/67/CE e 2008/5/CE da Comissão e o Regulamento (CE) n.º 608/2004 da Comissão</w:t>
      </w:r>
      <w:r w:rsidRPr="00000D40">
        <w:rPr>
          <w:rStyle w:val="FootnoteReference"/>
          <w:noProof/>
          <w:color w:val="000000"/>
          <w:szCs w:val="24"/>
        </w:rPr>
        <w:footnoteReference w:id="2"/>
      </w:r>
      <w:r w:rsidRPr="00000D40">
        <w:t>, nomeadamente o artigo 26.º, n.º 3,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 xml:space="preserve">Tendo em conta o Regulamento (CE) n.º 1333/2008 do Parlamento Europeu e do </w:t>
      </w:r>
      <w:r w:rsidRPr="00000D40">
        <w:lastRenderedPageBreak/>
        <w:t>Conselho, de 16 de dezembro de 2008, relativo aos aditivos alimentares</w:t>
      </w:r>
      <w:r w:rsidRPr="00000D40">
        <w:rPr>
          <w:rStyle w:val="FootnoteReference"/>
          <w:color w:val="000000"/>
          <w:szCs w:val="24"/>
        </w:rPr>
        <w:footnoteReference w:id="3"/>
      </w:r>
      <w:r w:rsidRPr="00000D40">
        <w:t>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as listas da União estabelecidas pelo Regulamento (UE) n.º 1129/2011 da Comissão, de 11 de novembro de 2011, que altera o anexo II do Regulamento (CE) n.º 1333/2008 do Parlamento Europeu e do Conselho mediante o estabelecimento de uma lista da União de aditivos alimentares</w:t>
      </w:r>
      <w:r w:rsidRPr="00000D40">
        <w:rPr>
          <w:rStyle w:val="FootnoteReference"/>
          <w:color w:val="000000"/>
          <w:szCs w:val="24"/>
        </w:rPr>
        <w:footnoteReference w:id="4"/>
      </w:r>
      <w:r w:rsidRPr="00000D40">
        <w:t>, e o Regulamento (UE) n.º 1130/2011 da Comissão, de 11 de novembro de 2011, que altera o anexo III do Regulamento (CE) n.º 1333/2008 do Parlamento Europeu e do Conselho relativo aos aditivos alimentares, mediante o estabelecimento de uma lista da União de aditivos alimentares autorizados para utilização nos aditivos alimentares, enzimas alimentares, aromas alimentares e nutrientes</w:t>
      </w:r>
      <w:r w:rsidRPr="00000D40">
        <w:rPr>
          <w:rStyle w:val="FootnoteReference"/>
          <w:color w:val="000000"/>
          <w:szCs w:val="24"/>
        </w:rPr>
        <w:footnoteReference w:id="5"/>
      </w:r>
      <w:r w:rsidRPr="00000D40">
        <w:t>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o Regulamento (UE) n.º 257/2010</w:t>
      </w:r>
      <w:r w:rsidR="00B31FF2" w:rsidRPr="00000D40">
        <w:t xml:space="preserve"> da Comissão, de 25 de março de </w:t>
      </w:r>
      <w:r w:rsidRPr="00000D40">
        <w:t>2010, que estabelece um programa de reavaliação de aditivos alimentares aprovados em conformidade com o Regulamento (CE) n.º 1333/2008 do Parlamento Europeu e do Conselho relativo aos aditivos alimentares</w:t>
      </w:r>
      <w:r w:rsidRPr="00000D40">
        <w:rPr>
          <w:rStyle w:val="FootnoteReference"/>
          <w:color w:val="000000"/>
          <w:szCs w:val="24"/>
        </w:rPr>
        <w:footnoteReference w:id="6"/>
      </w:r>
      <w:r w:rsidRPr="00000D40">
        <w:t>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o artigo 111.º, n.º 3, do seu Regimento,</w:t>
      </w:r>
    </w:p>
    <w:p w:rsidR="008466BA" w:rsidRPr="00000D40" w:rsidRDefault="008466BA" w:rsidP="008466BA">
      <w:pPr>
        <w:pStyle w:val="NormalHanging12a"/>
      </w:pPr>
      <w:r w:rsidRPr="00000D40">
        <w:t>–</w:t>
      </w:r>
      <w:r w:rsidRPr="00000D40">
        <w:tab/>
        <w:t>Tendo em conta a proposta de resolução da Comissão do Ambiente, da Saúde Pública e da Segurança Alimentar,</w:t>
      </w:r>
    </w:p>
    <w:p w:rsidR="008466BA" w:rsidRPr="00000D40" w:rsidRDefault="008466BA" w:rsidP="008466BA">
      <w:pPr>
        <w:pStyle w:val="NormalHanging12a"/>
      </w:pPr>
      <w:r w:rsidRPr="00000D40">
        <w:t>A.</w:t>
      </w:r>
      <w:r w:rsidRPr="00000D40">
        <w:tab/>
        <w:t>Considerando que o artigo 18.º, n.º 3, do Regulamento (UE) n.º 1169/2011 estabelece que todos os ingredientes contidos sob a forma de nanomateriais artificiais devem ser claramente indicados na lista de ingredientes, a fim de garantir a informação dos consumidores. que, nesse âmbito, o Regulamento (UE) n.º 1169/2011 define «nanomateriais artificiais» conforme o define o artigo 3.º, n.º 2, alínea f), do Regulamento (UE) 2015/2283;</w:t>
      </w:r>
    </w:p>
    <w:p w:rsidR="008466BA" w:rsidRPr="00000D40" w:rsidRDefault="008466BA" w:rsidP="008466BA">
      <w:pPr>
        <w:pStyle w:val="NormalHanging12a"/>
      </w:pPr>
      <w:r w:rsidRPr="00000D40">
        <w:t>B.</w:t>
      </w:r>
      <w:r w:rsidRPr="00000D40">
        <w:tab/>
        <w:t>Considerando que o artigo 31.º do Regulamento (UE) 2015/2283 confere à Comissão poderes para ajustar e adaptar a definição de «nanomateriais artificiais» aí referida aos progressos técnicos e científicos ou às definições acordadas a nível internacional, por meio de atos delegados, para efeitos da consecução dos objetivos desse regulamento;</w:t>
      </w:r>
    </w:p>
    <w:p w:rsidR="008466BA" w:rsidRPr="00000D40" w:rsidRDefault="008466BA" w:rsidP="008466BA">
      <w:pPr>
        <w:pStyle w:val="NormalHanging12a"/>
      </w:pPr>
      <w:r w:rsidRPr="00000D40">
        <w:t>C.</w:t>
      </w:r>
      <w:r w:rsidRPr="00000D40">
        <w:tab/>
        <w:t>Considerando que os Regulamentos (UE) n.º 1129/2011 e (UE) n.º 1130/2011 da Comissão estabeleceram listas exaustivas da União, elencando os aditivos alimentares autorizados para utilização antes da entrada em vigor do Regulamento (CE) n.º 1333/2008, após análise da respetiva conformidade com as disposições daqueles regulamentos;</w:t>
      </w:r>
    </w:p>
    <w:p w:rsidR="008466BA" w:rsidRPr="00000D40" w:rsidRDefault="008466BA" w:rsidP="008466BA">
      <w:pPr>
        <w:pStyle w:val="NormalHanging12a"/>
        <w:rPr>
          <w:i/>
        </w:rPr>
      </w:pPr>
      <w:r w:rsidRPr="00000D40">
        <w:rPr>
          <w:i/>
        </w:rPr>
        <w:t>As consequências da definição</w:t>
      </w:r>
    </w:p>
    <w:p w:rsidR="008466BA" w:rsidRPr="00000D40" w:rsidRDefault="008466BA" w:rsidP="008466BA">
      <w:pPr>
        <w:pStyle w:val="NormalHanging12a"/>
      </w:pPr>
      <w:r w:rsidRPr="00000D40">
        <w:t>D.</w:t>
      </w:r>
      <w:r w:rsidRPr="00000D40">
        <w:tab/>
        <w:t>Considerando que a definição do regulamento delegado da Comissão de «nanomaterial artificial» determinará se um género alimentício deverá ser rotulado como «[nano]» na lista de ingredientes, conforme disposto no artigo 18.º, n.º 3, do Regulamento (UE) n.º 1169/2011;</w:t>
      </w:r>
    </w:p>
    <w:p w:rsidR="008466BA" w:rsidRPr="00000D40" w:rsidRDefault="008466BA" w:rsidP="008466BA">
      <w:pPr>
        <w:pStyle w:val="NormalHanging12a"/>
      </w:pPr>
      <w:r w:rsidRPr="00000D40">
        <w:lastRenderedPageBreak/>
        <w:t>E.</w:t>
      </w:r>
      <w:r w:rsidRPr="00000D40">
        <w:tab/>
        <w:t>Considerando que o regulamento delegado da Comissão visa resolver os problemas de interpretação decorrentes da atual definição através da introdução de elementos objetivos que permitam determinar se um nanomaterial é ou não «artificial», por exemplo, substituindo «[material] intencionalmente produzido» por «fabricado»;</w:t>
      </w:r>
    </w:p>
    <w:p w:rsidR="008466BA" w:rsidRPr="00000D40" w:rsidRDefault="008466BA" w:rsidP="008466BA">
      <w:pPr>
        <w:pStyle w:val="NormalHanging12a"/>
      </w:pPr>
      <w:r w:rsidRPr="00000D40">
        <w:t>F.</w:t>
      </w:r>
      <w:r w:rsidRPr="00000D40">
        <w:tab/>
        <w:t>Considerando que o regulamento delegado da Comissão impede que as partículas que não se encontrem no estado sólido, tais como as micelas, os lipossomas ou as gotículas à escala nanométrica em emulsões, e os ingredientes que contenham menos de 50 % de partículas com dimensões inferiores a 100 nm sejam considerados nanomateriais nos alimentos;</w:t>
      </w:r>
    </w:p>
    <w:p w:rsidR="008466BA" w:rsidRPr="00000D40" w:rsidRDefault="008466BA" w:rsidP="008466BA">
      <w:pPr>
        <w:pStyle w:val="NormalHanging12a"/>
      </w:pPr>
      <w:r w:rsidRPr="00000D40">
        <w:t>G.</w:t>
      </w:r>
      <w:r w:rsidRPr="00000D40">
        <w:tab/>
        <w:t>Considerando que o limiar predefinido proposto de 50 % ou mais de partículas à escala nanométrica é arbitrário e confere um nível de proteção inferior à interpretação da definição constante do Regulamento (UE) 2015/2283 avançada por alguns Estados</w:t>
      </w:r>
      <w:r w:rsidRPr="00000D40">
        <w:noBreakHyphen/>
        <w:t>Membros, como a França</w:t>
      </w:r>
      <w:r w:rsidR="00396129" w:rsidRPr="00000D40">
        <w:t>; considerando que</w:t>
      </w:r>
      <w:r w:rsidRPr="00000D40">
        <w:t xml:space="preserve"> o referido regulamento não prevê um limiar de distribuição por tamanho para partículas inferiores a 100 nm;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H.</w:t>
      </w:r>
      <w:r w:rsidRPr="00000D40">
        <w:tab/>
        <w:t>Considerando que a definição proposta é suscetível de excluir muitas nanosubstâncias do âmbito de aplicação do Regulamento (UE) n.º 1169/2011, que, dessa forma, ficariam isentas da obrigação de rotulagem como «[nano]». que a Comissão explica, no ponto 3 da exposição de motivos, que «o número de materiais utilizados nos alimentos suscetíveis de conter uma determinada fração de nanopartículas é reduzido e que estes materiais, na sua maioria, se não todos, não são novos» e que «os potenciais impactos do ato delegado dirão respeito apenas a um número muito reduzido de materiais»;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t>I.</w:t>
      </w:r>
      <w:r w:rsidRPr="00000D40">
        <w:tab/>
        <w:t>Considerando que, atualmente, são precisamente os aditivos alimentares que podem estar presentes como nanomateriais nos alimentos</w:t>
      </w:r>
      <w:r w:rsidR="00396129" w:rsidRPr="00000D40">
        <w:t>; considerando que</w:t>
      </w:r>
      <w:r w:rsidRPr="00000D40">
        <w:t xml:space="preserve"> a </w:t>
      </w:r>
      <w:r w:rsidRPr="00000D40">
        <w:rPr>
          <w:color w:val="0D0D0D"/>
        </w:rPr>
        <w:t>Agência Nacional de Saúde e Segurança francesa (</w:t>
      </w:r>
      <w:r w:rsidRPr="00000D40">
        <w:t>a ANSES) elencou 37 nanosubstâncias que são utilizadas em mais de 900 produtos alimentares</w:t>
      </w:r>
      <w:r w:rsidRPr="00000D40">
        <w:rPr>
          <w:rStyle w:val="FootnoteReference"/>
          <w:szCs w:val="24"/>
        </w:rPr>
        <w:footnoteReference w:id="7"/>
      </w:r>
      <w:r w:rsidR="00396129" w:rsidRPr="00000D40">
        <w:t>; considerando que</w:t>
      </w:r>
      <w:r w:rsidRPr="00000D40">
        <w:rPr>
          <w:color w:val="0D0D0D"/>
        </w:rPr>
        <w:t xml:space="preserve"> os testes realizados por associações do consumidor e organizações não governamentais (Agir pour l’Environnement</w:t>
      </w:r>
      <w:r w:rsidRPr="00000D40">
        <w:rPr>
          <w:rStyle w:val="FootnoteReference"/>
          <w:color w:val="0D0D0D"/>
          <w:szCs w:val="24"/>
        </w:rPr>
        <w:footnoteReference w:id="8"/>
      </w:r>
      <w:r w:rsidRPr="00000D40">
        <w:rPr>
          <w:color w:val="0D0D0D"/>
        </w:rPr>
        <w:t>, Que Choisir</w:t>
      </w:r>
      <w:r w:rsidRPr="00000D40">
        <w:rPr>
          <w:rStyle w:val="FootnoteReference"/>
          <w:color w:val="0D0D0D"/>
          <w:szCs w:val="24"/>
        </w:rPr>
        <w:footnoteReference w:id="9"/>
      </w:r>
      <w:r w:rsidRPr="00000D40">
        <w:rPr>
          <w:color w:val="0D0D0D"/>
        </w:rPr>
        <w:t>, 60 Millions de Consommateurs</w:t>
      </w:r>
      <w:r w:rsidRPr="00000D40">
        <w:rPr>
          <w:rStyle w:val="FootnoteReference"/>
          <w:color w:val="0D0D0D"/>
          <w:szCs w:val="24"/>
        </w:rPr>
        <w:footnoteReference w:id="10"/>
      </w:r>
      <w:r w:rsidRPr="00000D40">
        <w:rPr>
          <w:color w:val="0D0D0D"/>
        </w:rPr>
        <w:t xml:space="preserve"> e AVICENN</w:t>
      </w:r>
      <w:r w:rsidRPr="00000D40">
        <w:rPr>
          <w:rStyle w:val="FootnoteReference"/>
          <w:color w:val="0D0D0D"/>
          <w:szCs w:val="24"/>
        </w:rPr>
        <w:footnoteReference w:id="11"/>
      </w:r>
      <w:r w:rsidRPr="00000D40">
        <w:rPr>
          <w:color w:val="0D0D0D"/>
        </w:rPr>
        <w:t xml:space="preserve"> em França, Foodwatch</w:t>
      </w:r>
      <w:r w:rsidRPr="00000D40">
        <w:rPr>
          <w:rStyle w:val="FootnoteReference"/>
          <w:color w:val="0D0D0D"/>
          <w:szCs w:val="24"/>
        </w:rPr>
        <w:footnoteReference w:id="12"/>
      </w:r>
      <w:r w:rsidRPr="00000D40">
        <w:rPr>
          <w:color w:val="0D0D0D"/>
        </w:rPr>
        <w:t xml:space="preserve"> e Bund</w:t>
      </w:r>
      <w:r w:rsidRPr="00000D40">
        <w:rPr>
          <w:rStyle w:val="FootnoteReference"/>
          <w:color w:val="0D0D0D"/>
          <w:szCs w:val="24"/>
        </w:rPr>
        <w:footnoteReference w:id="13"/>
      </w:r>
      <w:r w:rsidRPr="00000D40">
        <w:rPr>
          <w:color w:val="0D0D0D"/>
        </w:rPr>
        <w:t xml:space="preserve"> na Alemanha, Testachats</w:t>
      </w:r>
      <w:r w:rsidRPr="00000D40">
        <w:rPr>
          <w:rStyle w:val="FootnoteReference"/>
          <w:color w:val="0D0D0D"/>
          <w:szCs w:val="24"/>
        </w:rPr>
        <w:footnoteReference w:id="14"/>
      </w:r>
      <w:r w:rsidRPr="00000D40">
        <w:rPr>
          <w:color w:val="0D0D0D"/>
        </w:rPr>
        <w:t xml:space="preserve"> na Bélgica, Altroconsumo</w:t>
      </w:r>
      <w:r w:rsidRPr="00000D40">
        <w:rPr>
          <w:rStyle w:val="FootnoteReference"/>
          <w:color w:val="0D0D0D"/>
          <w:szCs w:val="24"/>
        </w:rPr>
        <w:footnoteReference w:id="15"/>
      </w:r>
      <w:r w:rsidRPr="00000D40">
        <w:rPr>
          <w:color w:val="0D0D0D"/>
        </w:rPr>
        <w:t xml:space="preserve"> em Itália e OCU em Espanha</w:t>
      </w:r>
      <w:r w:rsidRPr="00000D40">
        <w:rPr>
          <w:rStyle w:val="FootnoteReference"/>
          <w:color w:val="0D0D0D"/>
          <w:szCs w:val="24"/>
        </w:rPr>
        <w:footnoteReference w:id="16"/>
      </w:r>
      <w:r w:rsidRPr="00000D40">
        <w:rPr>
          <w:color w:val="0D0D0D"/>
        </w:rPr>
        <w:t xml:space="preserve">) demonstraram, por várias vezes, a presença de aditivos </w:t>
      </w:r>
      <w:r w:rsidRPr="00000D40">
        <w:rPr>
          <w:color w:val="0D0D0D"/>
        </w:rPr>
        <w:lastRenderedPageBreak/>
        <w:t>alimentares com uma percentagem significativa de nanopartículas, e que, por exemplo, o óxido de ferro utilizado como corante alimentar (E 172) em produtos lácteos, produtos de pastelaria e alguns cereais para o pequeno</w:t>
      </w:r>
      <w:r w:rsidRPr="00000D40">
        <w:rPr>
          <w:color w:val="0D0D0D"/>
        </w:rPr>
        <w:noBreakHyphen/>
        <w:t>almoço pode conter uma proporção de nanopartículas inferior ao limiar de 50 %</w:t>
      </w:r>
      <w:r w:rsidR="00396129" w:rsidRPr="00000D40">
        <w:rPr>
          <w:color w:val="000000"/>
        </w:rPr>
        <w:t>; considerando que</w:t>
      </w:r>
      <w:r w:rsidRPr="00000D40">
        <w:rPr>
          <w:color w:val="0D0D0D"/>
        </w:rPr>
        <w:t xml:space="preserve"> tal mostra que o facto de alguns ingredientes alimentares não serem devidamente rotulados como «[nano]» se deve principalmente a um controlo insuficiente da aplicação da legislação em vigor e não tanto a problemas de interpretação;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rPr>
          <w:color w:val="0D0D0D"/>
        </w:rPr>
        <w:t>J.</w:t>
      </w:r>
      <w:r w:rsidRPr="00000D40">
        <w:rPr>
          <w:color w:val="0D0D0D"/>
        </w:rPr>
        <w:tab/>
        <w:t>Considerando que, de acordo com um estudo de 2020 encomendado pela Agência Europeia dos Produtos Químicos, os cidadãos exigem uma rotulagem mais adequada dos produtos do dia a dia que contenham nanomateriais</w:t>
      </w:r>
      <w:r w:rsidRPr="00000D40">
        <w:rPr>
          <w:rStyle w:val="FootnoteReference"/>
          <w:color w:val="0D0D0D"/>
          <w:szCs w:val="24"/>
        </w:rPr>
        <w:footnoteReference w:id="17"/>
      </w:r>
      <w:r w:rsidRPr="00000D40">
        <w:rPr>
          <w:color w:val="0D0D0D"/>
        </w:rPr>
        <w:t>;</w:t>
      </w:r>
    </w:p>
    <w:p w:rsidR="008466BA" w:rsidRPr="00000D40" w:rsidRDefault="008466BA" w:rsidP="008466BA">
      <w:pPr>
        <w:spacing w:after="240"/>
        <w:jc w:val="both"/>
        <w:rPr>
          <w:i/>
          <w:szCs w:val="24"/>
        </w:rPr>
      </w:pPr>
      <w:r w:rsidRPr="00000D40">
        <w:rPr>
          <w:i/>
        </w:rPr>
        <w:t>Contradições com as recomendações e os últimos progressos científicos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K.</w:t>
      </w:r>
      <w:r w:rsidRPr="00000D40">
        <w:tab/>
        <w:t>Considerando que, na sua Resolução, de 12 de março de 2014, sobre o Regulamento delegado da Comissão, de 12 de dezembro de 2013, que altera o Regulamento (UE) n.º 1169/2011 do Parlamento Europeu e do Conselho relativo à prestação de informação aos consumidores sobre os géneros alimentícios, no que se refere à definição de «nanomaterial artificial»</w:t>
      </w:r>
      <w:r w:rsidRPr="00000D40">
        <w:rPr>
          <w:rStyle w:val="FootnoteReference"/>
          <w:szCs w:val="24"/>
        </w:rPr>
        <w:footnoteReference w:id="18"/>
      </w:r>
      <w:r w:rsidRPr="00000D40">
        <w:t>, o Parlamento Europeu obstou a uma definição muito semelhante, com o mesmo limiar de 50 %, que excluía todos os aditivos alimentares, estimando que a definição «viola(va) o objetivo básico do regulamento de alcançar um elevado nível de proteção da saúde e dos interesses dos consumidores, proporcionando uma base para que o consumidor final possa fazer escolhas informadas»</w:t>
      </w:r>
      <w:r w:rsidR="00396129" w:rsidRPr="00000D40">
        <w:t>; considerando que</w:t>
      </w:r>
      <w:r w:rsidRPr="00000D40">
        <w:t xml:space="preserve"> o Parlamento Europeu instou a Comissão a apresentar um novo ato delegado que tivesse em conta a sua posição;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L.</w:t>
      </w:r>
      <w:r w:rsidRPr="00000D40">
        <w:tab/>
        <w:t>Considerando que, na sua Resolução, de 8 de outubro de 2020, sobre o projeto de regulamento da Comissão que altera o anexo do Regulamento (UE) n.º 231/2012 que estabelece especificações para os aditivos alimentares enumerados nos anexos II e III do Regulamento (CE) n.º 1333/2008 do Parlamento Europeu e do Conselho, no que diz respeito às especificações para o dióxido de titânio (E 171)</w:t>
      </w:r>
      <w:r w:rsidRPr="00000D40">
        <w:rPr>
          <w:rStyle w:val="FootnoteReference"/>
          <w:szCs w:val="24"/>
        </w:rPr>
        <w:footnoteReference w:id="19"/>
      </w:r>
      <w:r w:rsidRPr="00000D40">
        <w:t>, o Parlamento Europeu opôs</w:t>
      </w:r>
      <w:r w:rsidRPr="00000D40">
        <w:noBreakHyphen/>
        <w:t>se a um projeto de regulamento da Comissão que autorizava dióxido de titânio (</w:t>
      </w:r>
      <w:r w:rsidR="00395E03" w:rsidRPr="00000D40">
        <w:t>E </w:t>
      </w:r>
      <w:r w:rsidRPr="00000D40">
        <w:t>171) de qualidade alimentar que contivesse menos de 50 % de partículas com dimensões inferiores a 100 nm;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M.</w:t>
      </w:r>
      <w:r w:rsidRPr="00000D40">
        <w:tab/>
        <w:t>Considerando que a Autoridade Europeia para a Segurança dos Alimentos recomendou</w:t>
      </w:r>
      <w:r w:rsidRPr="00000D40">
        <w:rPr>
          <w:rStyle w:val="FootnoteReference"/>
          <w:szCs w:val="24"/>
        </w:rPr>
        <w:footnoteReference w:id="20"/>
      </w:r>
      <w:r w:rsidRPr="00000D40">
        <w:rPr>
          <w:b/>
        </w:rPr>
        <w:t xml:space="preserve"> </w:t>
      </w:r>
      <w:r w:rsidRPr="00000D40">
        <w:t>que, tendo em conta as incertezas existentes em matéria de segurança, fosse considerado um limiar inferior para o número de nanopartículas utilizadas nos alimentos, por exemplo, um limiar de 10 % em vez de 50 %, como proposto na Recomendação;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N.</w:t>
      </w:r>
      <w:r w:rsidRPr="00000D40">
        <w:tab/>
        <w:t xml:space="preserve">Considerando que as instituições académicas, as autoridades públicas, as organizações não governamentais de defesa do consumidor e do ambiente e os sindicatos defenderam, no processo de consulta da Comissão, uma definição que inclua todos os materiais, sejam eles fabricados, incidentais ou naturais, e um limiar por defeito de 10 % ou mais de </w:t>
      </w:r>
      <w:r w:rsidRPr="00000D40">
        <w:lastRenderedPageBreak/>
        <w:t>partículas na distribuição do número de partículas por tamanho;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rPr>
          <w:color w:val="0D0D0D"/>
        </w:rPr>
        <w:t>O.</w:t>
      </w:r>
      <w:r w:rsidRPr="00000D40">
        <w:rPr>
          <w:color w:val="0D0D0D"/>
        </w:rPr>
        <w:tab/>
        <w:t>Considerando que, desde 2014, os progressos e a evolução do conhecimento científico confirmaram que os nanomateriais são capazes de atravessar as barreiras fisiológicas e são muitas vezes mais perigosos do que as substâncias em micro ou macroestados</w:t>
      </w:r>
      <w:r w:rsidRPr="00000D40">
        <w:rPr>
          <w:rStyle w:val="FootnoteReference"/>
          <w:color w:val="0D0D0D"/>
          <w:szCs w:val="24"/>
        </w:rPr>
        <w:footnoteReference w:id="21"/>
      </w:r>
      <w:r w:rsidRPr="00000D40">
        <w:rPr>
          <w:color w:val="0D0D0D"/>
        </w:rPr>
        <w:t>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rPr>
          <w:color w:val="0D0D0D"/>
        </w:rPr>
        <w:t>P.</w:t>
      </w:r>
      <w:r w:rsidRPr="00000D40">
        <w:rPr>
          <w:color w:val="0D0D0D"/>
        </w:rPr>
        <w:tab/>
        <w:t>Considerando que, em abril de 2023</w:t>
      </w:r>
      <w:r w:rsidRPr="00000D40">
        <w:rPr>
          <w:rStyle w:val="FootnoteReference"/>
          <w:color w:val="0D0D0D"/>
          <w:szCs w:val="24"/>
        </w:rPr>
        <w:footnoteReference w:id="22"/>
      </w:r>
      <w:r w:rsidRPr="00000D40">
        <w:rPr>
          <w:color w:val="0D0D0D"/>
        </w:rPr>
        <w:t>, a ANSES publicou um relatório pormenorizado no qual afirma que a definição de nanomateriais constante na Recomendação da Comissão, de 10 de junho de 2022</w:t>
      </w:r>
      <w:r w:rsidRPr="00000D40">
        <w:rPr>
          <w:rStyle w:val="FootnoteReference"/>
          <w:color w:val="0D0D0D"/>
          <w:szCs w:val="24"/>
        </w:rPr>
        <w:footnoteReference w:id="23"/>
      </w:r>
      <w:r w:rsidRPr="00000D40">
        <w:rPr>
          <w:color w:val="0D0D0D"/>
        </w:rPr>
        <w:t>, que serviu de base para a revisão da definição de «nanomateriais artificiais» estabelecida no Regulamento (UE) 2015/2283 na regulamentação de alguns setores, em particular do setor alimentar, comprometeria a prevenção dos riscos para a saúde e o ambiente</w:t>
      </w:r>
      <w:r w:rsidR="00396129" w:rsidRPr="00000D40">
        <w:rPr>
          <w:color w:val="0D0D0D"/>
        </w:rPr>
        <w:t>; considerando que</w:t>
      </w:r>
      <w:r w:rsidRPr="00000D40">
        <w:rPr>
          <w:color w:val="0D0D0D"/>
        </w:rPr>
        <w:t xml:space="preserve"> a ANSES frisou que o limiar de 50 % para o número de nanopartículas incluído na definição horizontal de «</w:t>
      </w:r>
      <w:r w:rsidRPr="00000D40">
        <w:t>[nano]»</w:t>
      </w:r>
      <w:r w:rsidRPr="00000D40">
        <w:rPr>
          <w:color w:val="0D0D0D"/>
        </w:rPr>
        <w:t xml:space="preserve"> «não se baseia em argumentos científicos sólidos» e recomendou a fixação de um valor inferior para esse limiar;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rPr>
          <w:color w:val="0D0D0D"/>
        </w:rPr>
        <w:t>Q.</w:t>
      </w:r>
      <w:r w:rsidRPr="00000D40">
        <w:rPr>
          <w:color w:val="0D0D0D"/>
        </w:rPr>
        <w:tab/>
        <w:t>Considerando que é possível detetar ingredientes alimentares «nano» com base num limiar de 10 % para o número de nanopartículas, uma vez que é esse o valor</w:t>
      </w:r>
      <w:r w:rsidRPr="00000D40">
        <w:rPr>
          <w:color w:val="0D0D0D"/>
        </w:rPr>
        <w:noBreakHyphen/>
        <w:t>limite atualmente aplicado pela Direção</w:t>
      </w:r>
      <w:r w:rsidRPr="00000D40">
        <w:rPr>
          <w:color w:val="0D0D0D"/>
        </w:rPr>
        <w:noBreakHyphen/>
        <w:t>Geral dos Consumidores, da Concorrência e da Prevenção da Fraude francesa nas suas atividades de fiscalização</w:t>
      </w:r>
      <w:r w:rsidRPr="00000D40">
        <w:rPr>
          <w:rStyle w:val="FootnoteReference"/>
          <w:color w:val="0D0D0D"/>
          <w:szCs w:val="24"/>
        </w:rPr>
        <w:footnoteReference w:id="24"/>
      </w:r>
      <w:r w:rsidRPr="00000D40">
        <w:rPr>
          <w:color w:val="0D0D0D"/>
        </w:rPr>
        <w:t>;</w:t>
      </w:r>
    </w:p>
    <w:p w:rsidR="008466BA" w:rsidRPr="00000D40" w:rsidRDefault="008466BA" w:rsidP="008466BA">
      <w:pPr>
        <w:spacing w:after="240"/>
        <w:jc w:val="both"/>
        <w:rPr>
          <w:i/>
          <w:color w:val="0D0D0D"/>
          <w:szCs w:val="24"/>
        </w:rPr>
      </w:pPr>
      <w:r w:rsidRPr="00000D40">
        <w:rPr>
          <w:i/>
          <w:color w:val="0D0D0D"/>
        </w:rPr>
        <w:t>Princípio da precaução</w:t>
      </w:r>
    </w:p>
    <w:p w:rsidR="008466BA" w:rsidRPr="00000D40" w:rsidRDefault="008466BA" w:rsidP="008466BA">
      <w:pPr>
        <w:spacing w:after="240"/>
        <w:ind w:left="567" w:hanging="567"/>
        <w:jc w:val="both"/>
        <w:rPr>
          <w:color w:val="0D0D0D"/>
          <w:szCs w:val="24"/>
        </w:rPr>
      </w:pPr>
      <w:r w:rsidRPr="00000D40">
        <w:rPr>
          <w:color w:val="0D0D0D"/>
        </w:rPr>
        <w:t>R.</w:t>
      </w:r>
      <w:r w:rsidRPr="00000D40">
        <w:rPr>
          <w:color w:val="0D0D0D"/>
        </w:rPr>
        <w:tab/>
        <w:t>Considerando que o artigo 191.º, n.º 2, do TFUE fixa o princípio da precaução como um dos princípios fundamentais da União;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 xml:space="preserve">S. </w:t>
      </w:r>
      <w:r w:rsidRPr="00000D40">
        <w:tab/>
        <w:t>Considerando que o artigo 168.º, n.º 1, do TFUE determina que «na definição e execução de todas as políticas e ações da União será assegurado um elevado nível de proteção da saúde»;</w:t>
      </w:r>
    </w:p>
    <w:p w:rsidR="008466BA" w:rsidRPr="00000D40" w:rsidRDefault="008466BA" w:rsidP="008466BA">
      <w:pPr>
        <w:pStyle w:val="NormalHanging12a"/>
        <w:jc w:val="both"/>
        <w:rPr>
          <w:szCs w:val="24"/>
        </w:rPr>
      </w:pPr>
      <w:r w:rsidRPr="00000D40">
        <w:t>1.</w:t>
      </w:r>
      <w:r w:rsidRPr="00000D40">
        <w:tab/>
        <w:t>Formula objeções ao regulamento delegado da Comissão;</w:t>
      </w:r>
    </w:p>
    <w:p w:rsidR="008466BA" w:rsidRPr="00000D40" w:rsidRDefault="008466BA" w:rsidP="008466BA">
      <w:pPr>
        <w:pStyle w:val="NormalHanging12a"/>
        <w:jc w:val="both"/>
        <w:rPr>
          <w:szCs w:val="24"/>
        </w:rPr>
      </w:pPr>
      <w:r w:rsidRPr="00000D40">
        <w:t>2.</w:t>
      </w:r>
      <w:r w:rsidRPr="00000D40">
        <w:tab/>
        <w:t>Encarrega a sua Presidente de transmitir a presente resolução à Comissão e de lhe comunicar que o Regulamento delegado não pode entrar em vigor;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3.</w:t>
      </w:r>
      <w:r w:rsidRPr="00000D40">
        <w:tab/>
        <w:t>Considera que o regulamento delegado da Comissão não é compatível com o objetivo e</w:t>
      </w:r>
      <w:r w:rsidR="00332CB9">
        <w:t xml:space="preserve"> com o teor do Regulamento (UE) </w:t>
      </w:r>
      <w:bookmarkStart w:id="7" w:name="_GoBack"/>
      <w:bookmarkEnd w:id="7"/>
      <w:r w:rsidRPr="00000D40">
        <w:t>2015/2283 e que excede os poderes delegados conferidos à Comissão ao abrigo do artigo 31.º do referido regulamento;</w:t>
      </w:r>
    </w:p>
    <w:p w:rsidR="008466BA" w:rsidRPr="00000D40" w:rsidRDefault="008466BA" w:rsidP="008466BA">
      <w:pPr>
        <w:spacing w:after="240"/>
        <w:ind w:left="567" w:hanging="567"/>
        <w:jc w:val="both"/>
        <w:rPr>
          <w:szCs w:val="24"/>
        </w:rPr>
      </w:pPr>
      <w:r w:rsidRPr="00000D40">
        <w:t>4.</w:t>
      </w:r>
      <w:r w:rsidRPr="00000D40">
        <w:tab/>
        <w:t xml:space="preserve">Lamenta que o limiar proposto de 50 % não tenha em conta os progressos técnicos e </w:t>
      </w:r>
      <w:r w:rsidRPr="00000D40">
        <w:lastRenderedPageBreak/>
        <w:t>científicos;</w:t>
      </w:r>
    </w:p>
    <w:p w:rsidR="008466BA" w:rsidRPr="00000D40" w:rsidRDefault="008466BA" w:rsidP="008466BA">
      <w:pPr>
        <w:pStyle w:val="NormalHanging12a"/>
        <w:jc w:val="both"/>
        <w:rPr>
          <w:szCs w:val="24"/>
        </w:rPr>
      </w:pPr>
      <w:r w:rsidRPr="00000D40">
        <w:t>5.</w:t>
      </w:r>
      <w:r w:rsidRPr="00000D40">
        <w:tab/>
        <w:t>Insta a Comissão a aplicar o princípio da precaução, a garantir a segurança e a informação dos consumidores e a ter em conta a abordagem «Uma Só Saúde»;</w:t>
      </w:r>
    </w:p>
    <w:p w:rsidR="00E365E1" w:rsidRPr="00000D40" w:rsidRDefault="008466BA" w:rsidP="00060BC6">
      <w:pPr>
        <w:pStyle w:val="NormalHanging12a"/>
        <w:jc w:val="both"/>
        <w:rPr>
          <w:szCs w:val="24"/>
        </w:rPr>
      </w:pPr>
      <w:r w:rsidRPr="00000D40">
        <w:t>6.</w:t>
      </w:r>
      <w:r w:rsidRPr="00000D40">
        <w:tab/>
        <w:t>Encarrega a sua Presidente de transmitir a presente resolução ao Conselho e aos governos e parlamentos dos Estados</w:t>
      </w:r>
      <w:r w:rsidRPr="00000D40">
        <w:noBreakHyphen/>
        <w:t>Membros.</w:t>
      </w:r>
      <w:bookmarkStart w:id="8" w:name="TextBodyEnd"/>
      <w:bookmarkEnd w:id="8"/>
    </w:p>
    <w:sectPr w:rsidR="00E365E1" w:rsidRPr="00000D40" w:rsidSect="007252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1D" w:rsidRPr="00725244" w:rsidRDefault="008B201D">
      <w:r w:rsidRPr="00725244">
        <w:separator/>
      </w:r>
    </w:p>
  </w:endnote>
  <w:endnote w:type="continuationSeparator" w:id="0">
    <w:p w:rsidR="008B201D" w:rsidRPr="00725244" w:rsidRDefault="008B201D">
      <w:r w:rsidRPr="007252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1D" w:rsidRPr="00725244" w:rsidRDefault="008B201D">
      <w:r w:rsidRPr="00725244">
        <w:separator/>
      </w:r>
    </w:p>
  </w:footnote>
  <w:footnote w:type="continuationSeparator" w:id="0">
    <w:p w:rsidR="008B201D" w:rsidRPr="00725244" w:rsidRDefault="008B201D">
      <w:r w:rsidRPr="00725244">
        <w:continuationSeparator/>
      </w:r>
    </w:p>
  </w:footnote>
  <w:footnote w:id="1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 xml:space="preserve">JO L 327 de 11.12.2015, p. 1. </w:t>
      </w:r>
    </w:p>
  </w:footnote>
  <w:footnote w:id="2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L 304 de 22.11.2011, p. 18.</w:t>
      </w:r>
    </w:p>
  </w:footnote>
  <w:footnote w:id="3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L 354 de 31.12.2008, p. 16.</w:t>
      </w:r>
    </w:p>
  </w:footnote>
  <w:footnote w:id="4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L 295 de 12.11.2011, p. 1.</w:t>
      </w:r>
    </w:p>
  </w:footnote>
  <w:footnote w:id="5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L 295 de 12.11.2011, p. 178.</w:t>
      </w:r>
    </w:p>
  </w:footnote>
  <w:footnote w:id="6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L 80 de 26.3.2010, p. 19.</w:t>
      </w:r>
    </w:p>
  </w:footnote>
  <w:footnote w:id="7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szCs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1" w:history="1">
        <w:r w:rsidRPr="00000D40">
          <w:rPr>
            <w:rStyle w:val="Hyperlink"/>
            <w:color w:val="1155CC"/>
            <w:sz w:val="24"/>
            <w:lang w:val="da-DK"/>
          </w:rPr>
          <w:t>https://www.anses.fr/fr/nanomateriaux-alimentation-premiere-application-methodologie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  <w:r w:rsidRPr="00000D40">
        <w:rPr>
          <w:color w:val="1155CC"/>
          <w:sz w:val="24"/>
          <w:u w:val="single"/>
          <w:lang w:val="da-DK"/>
        </w:rPr>
        <w:t xml:space="preserve"> </w:t>
      </w:r>
    </w:p>
  </w:footnote>
  <w:footnote w:id="8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2" w:history="1">
        <w:r w:rsidRPr="00000D40">
          <w:rPr>
            <w:rStyle w:val="Hyperlink"/>
            <w:sz w:val="24"/>
            <w:lang w:val="da-DK"/>
          </w:rPr>
          <w:t>https://www.agirpourlenvironnement.org/communiques-presse/enquete-exclusive-des-analyses-revelent-la-presence-de-nanoparticules-dans-3980/</w:t>
        </w:r>
      </w:hyperlink>
      <w:r w:rsidRPr="00000D40">
        <w:rPr>
          <w:rStyle w:val="Hyperlink"/>
          <w:sz w:val="24"/>
          <w:lang w:val="da-DK"/>
        </w:rPr>
        <w:t>.</w:t>
      </w:r>
    </w:p>
  </w:footnote>
  <w:footnote w:id="9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3" w:history="1">
        <w:r w:rsidRPr="00000D40">
          <w:rPr>
            <w:rStyle w:val="Hyperlink"/>
            <w:color w:val="1155CC"/>
            <w:sz w:val="24"/>
            <w:lang w:val="da-DK"/>
          </w:rPr>
          <w:t>https://www.quechoisir.org/enquete-nanoparticules-taille-mini-doutes-maxi-n50748/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  <w:r w:rsidRPr="00000D40">
        <w:rPr>
          <w:color w:val="1155CC"/>
          <w:sz w:val="24"/>
          <w:u w:val="single"/>
          <w:lang w:val="da-DK"/>
        </w:rPr>
        <w:t xml:space="preserve"> </w:t>
      </w:r>
    </w:p>
  </w:footnote>
  <w:footnote w:id="10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4" w:history="1">
        <w:r w:rsidRPr="00000D40">
          <w:rPr>
            <w:rStyle w:val="Hyperlink"/>
            <w:color w:val="1155CC"/>
            <w:sz w:val="24"/>
            <w:lang w:val="da-DK"/>
          </w:rPr>
          <w:t>https://bibliotheque.60millions-mag.com/detail/publication/detail-top-right/561?issue_id=113421&amp;switch_toc=archive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11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5" w:history="1">
        <w:r w:rsidRPr="00000D40">
          <w:rPr>
            <w:rStyle w:val="Hyperlink"/>
            <w:color w:val="1155CC"/>
            <w:sz w:val="24"/>
            <w:lang w:val="da-DK"/>
          </w:rPr>
          <w:t>https://veillenanos.fr/wp-content/uploads/2023/01/Rapport-test-EN-20230113.pdf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12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6" w:history="1">
        <w:r w:rsidRPr="00000D40">
          <w:rPr>
            <w:rStyle w:val="Hyperlink"/>
            <w:color w:val="1155CC"/>
            <w:sz w:val="24"/>
            <w:lang w:val="da-DK"/>
          </w:rPr>
          <w:t>https://www.foodwatch.org/de/potenziell-krebserregender-farbstoff-in-backzutaten-von-dr-oetker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13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7" w:history="1">
        <w:r w:rsidR="00317BF7" w:rsidRPr="00000D40">
          <w:rPr>
            <w:rStyle w:val="Hyperlink"/>
            <w:sz w:val="24"/>
            <w:lang w:val="da-DK"/>
          </w:rPr>
          <w:t>https://www.bund.net/fileadmin/user_upload_bund/publikationen/chemie/nanotechnologie_in_lebensmitteln_hintergrund.pdf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14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8" w:history="1">
        <w:r w:rsidRPr="00000D40">
          <w:rPr>
            <w:rStyle w:val="Hyperlink"/>
            <w:color w:val="1155CC"/>
            <w:sz w:val="24"/>
            <w:lang w:val="da-DK"/>
          </w:rPr>
          <w:t>https://www.test-achats.be/sante/sante-au-quotidien/produits-testes/news/nanoparticules-affichage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  <w:r w:rsidRPr="00000D40">
        <w:rPr>
          <w:color w:val="1155CC"/>
          <w:sz w:val="24"/>
          <w:u w:val="single"/>
          <w:lang w:val="da-DK"/>
        </w:rPr>
        <w:t xml:space="preserve"> </w:t>
      </w:r>
    </w:p>
  </w:footnote>
  <w:footnote w:id="15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9" w:history="1">
        <w:r w:rsidRPr="00000D40">
          <w:rPr>
            <w:rStyle w:val="Hyperlink"/>
            <w:color w:val="1155CC"/>
            <w:sz w:val="24"/>
            <w:lang w:val="da-DK"/>
          </w:rPr>
          <w:t>https://www.altroconsumo.it/alimentazione/sicurezza-alimentare/news/nanoparticelle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16">
    <w:p w:rsidR="008466BA" w:rsidRPr="00000D40" w:rsidRDefault="008466BA" w:rsidP="00725244">
      <w:pPr>
        <w:ind w:left="567" w:hanging="567"/>
        <w:rPr>
          <w:color w:val="1155CC"/>
          <w:szCs w:val="24"/>
          <w:u w:val="single"/>
          <w:lang w:val="da-DK"/>
        </w:rPr>
      </w:pPr>
      <w:r w:rsidRPr="00725244">
        <w:rPr>
          <w:rStyle w:val="FootnoteReference"/>
        </w:rPr>
        <w:footnoteRef/>
      </w:r>
      <w:r w:rsidR="00725244" w:rsidRPr="00000D40">
        <w:rPr>
          <w:lang w:val="da-DK"/>
        </w:rPr>
        <w:t xml:space="preserve"> </w:t>
      </w:r>
      <w:r w:rsidR="00725244" w:rsidRPr="00000D40">
        <w:rPr>
          <w:lang w:val="da-DK"/>
        </w:rPr>
        <w:tab/>
      </w:r>
      <w:hyperlink r:id="rId10" w:history="1">
        <w:r w:rsidRPr="00000D40">
          <w:rPr>
            <w:rStyle w:val="Hyperlink"/>
            <w:lang w:val="da-DK"/>
          </w:rPr>
          <w:t>https://www.ocu.org/toda-la-informacion?type=magazine-articles&amp;magazine=ocu%20compra%20maestra&amp;year=2019</w:t>
        </w:r>
      </w:hyperlink>
      <w:r w:rsidRPr="00000D40">
        <w:rPr>
          <w:rStyle w:val="Hyperlink"/>
          <w:lang w:val="da-DK"/>
        </w:rPr>
        <w:t>.</w:t>
      </w:r>
    </w:p>
  </w:footnote>
  <w:footnote w:id="17">
    <w:p w:rsidR="008466BA" w:rsidRPr="00000D40" w:rsidRDefault="008466BA" w:rsidP="00725244">
      <w:pPr>
        <w:pStyle w:val="FootnoteText"/>
        <w:ind w:left="567" w:hanging="567"/>
        <w:rPr>
          <w:sz w:val="24"/>
          <w:szCs w:val="24"/>
          <w:lang w:val="da-DK"/>
        </w:rPr>
      </w:pPr>
      <w:r w:rsidRPr="00725244">
        <w:rPr>
          <w:rStyle w:val="FootnoteReference"/>
          <w:sz w:val="24"/>
          <w:szCs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11" w:history="1">
        <w:r w:rsidRPr="00000D40">
          <w:rPr>
            <w:rStyle w:val="Hyperlink"/>
            <w:sz w:val="24"/>
            <w:lang w:val="da-DK"/>
          </w:rPr>
          <w:t>https://echa.europa.eu/-/what-do-eu-citizens-think-about-nanomaterials-</w:t>
        </w:r>
      </w:hyperlink>
      <w:r w:rsidRPr="00000D40">
        <w:rPr>
          <w:rStyle w:val="Hyperlink"/>
          <w:sz w:val="24"/>
          <w:lang w:val="da-DK"/>
        </w:rPr>
        <w:t>.</w:t>
      </w:r>
    </w:p>
  </w:footnote>
  <w:footnote w:id="18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szCs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 C 378 de 9.11.2017, p. 92.</w:t>
      </w:r>
    </w:p>
  </w:footnote>
  <w:footnote w:id="19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r w:rsidRPr="00000D40">
        <w:rPr>
          <w:sz w:val="24"/>
          <w:lang w:val="da-DK"/>
        </w:rPr>
        <w:t>JO C 395 de 29.3.2021, p. 28.</w:t>
      </w:r>
    </w:p>
  </w:footnote>
  <w:footnote w:id="20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12" w:history="1">
        <w:r w:rsidR="00B31FF2" w:rsidRPr="00000D40">
          <w:rPr>
            <w:rStyle w:val="Hyperlink"/>
            <w:sz w:val="24"/>
            <w:lang w:val="da-DK"/>
          </w:rPr>
          <w:t>https://www.efsa.europa.eu/sites/default/files/assets/</w:t>
        </w:r>
        <w:r w:rsidR="00B31FF2" w:rsidRPr="00000D40">
          <w:rPr>
            <w:rStyle w:val="Hyperlink"/>
            <w:sz w:val="24"/>
            <w:lang w:val="da-DK"/>
          </w:rPr>
          <w:br/>
          <w:t>corporatenanotechnology121003.pdf</w:t>
        </w:r>
      </w:hyperlink>
      <w:r w:rsidRPr="00000D40">
        <w:rPr>
          <w:rStyle w:val="Hyperlink"/>
          <w:sz w:val="24"/>
          <w:lang w:val="da-DK"/>
        </w:rPr>
        <w:t>.</w:t>
      </w:r>
    </w:p>
  </w:footnote>
  <w:footnote w:id="21">
    <w:p w:rsidR="008466BA" w:rsidRPr="00000D40" w:rsidRDefault="008466BA" w:rsidP="00725244">
      <w:pPr>
        <w:pStyle w:val="FootnoteText"/>
        <w:ind w:left="567" w:hanging="567"/>
        <w:rPr>
          <w:sz w:val="24"/>
          <w:lang w:val="da-DK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000D40">
        <w:rPr>
          <w:sz w:val="24"/>
          <w:lang w:val="da-DK"/>
        </w:rPr>
        <w:t xml:space="preserve"> </w:t>
      </w:r>
      <w:r w:rsidR="00725244" w:rsidRPr="00000D40">
        <w:rPr>
          <w:sz w:val="24"/>
          <w:lang w:val="da-DK"/>
        </w:rPr>
        <w:tab/>
      </w:r>
      <w:hyperlink r:id="rId13" w:history="1">
        <w:r w:rsidRPr="00000D40">
          <w:rPr>
            <w:rStyle w:val="Hyperlink"/>
            <w:color w:val="1155CC"/>
            <w:sz w:val="24"/>
            <w:lang w:val="da-DK"/>
          </w:rPr>
          <w:t>https://veillenanos.fr/en/dossier/nanos-and-health/nanos-health-risks/</w:t>
        </w:r>
      </w:hyperlink>
      <w:r w:rsidRPr="00000D40">
        <w:rPr>
          <w:rStyle w:val="Hyperlink"/>
          <w:color w:val="1155CC"/>
          <w:sz w:val="24"/>
          <w:lang w:val="da-DK"/>
        </w:rPr>
        <w:t>.</w:t>
      </w:r>
    </w:p>
  </w:footnote>
  <w:footnote w:id="22">
    <w:p w:rsidR="008466BA" w:rsidRPr="00725244" w:rsidRDefault="008466BA" w:rsidP="00725244">
      <w:pPr>
        <w:pStyle w:val="FootnoteText"/>
        <w:ind w:left="567" w:hanging="567"/>
        <w:rPr>
          <w:sz w:val="24"/>
          <w:lang w:val="pt-PT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725244">
        <w:rPr>
          <w:sz w:val="24"/>
          <w:lang w:val="pt-PT"/>
        </w:rPr>
        <w:t xml:space="preserve"> </w:t>
      </w:r>
      <w:r w:rsidR="00725244" w:rsidRPr="00725244">
        <w:rPr>
          <w:sz w:val="24"/>
          <w:lang w:val="pt-PT"/>
        </w:rPr>
        <w:tab/>
      </w:r>
      <w:r w:rsidRPr="00725244">
        <w:rPr>
          <w:sz w:val="24"/>
          <w:lang w:val="pt-PT"/>
        </w:rPr>
        <w:t>Anses opinion (2023): Definition of nanomaterials: analysis, challenges and controversies [Parecer da ANSES (2023): Definição de nanomateriais: análise, desafios e controvérsias],</w:t>
      </w:r>
      <w:hyperlink r:id="rId14" w:history="1">
        <w:r w:rsidRPr="00725244">
          <w:rPr>
            <w:rStyle w:val="Hyperlink"/>
            <w:sz w:val="24"/>
            <w:lang w:val="pt-PT"/>
          </w:rPr>
          <w:t xml:space="preserve"> </w:t>
        </w:r>
      </w:hyperlink>
      <w:hyperlink r:id="rId15" w:history="1">
        <w:r w:rsidRPr="00725244">
          <w:rPr>
            <w:rStyle w:val="Hyperlink"/>
            <w:color w:val="1155CC"/>
            <w:sz w:val="24"/>
            <w:lang w:val="pt-PT"/>
          </w:rPr>
          <w:t>https://www.anses.fr/en/system/files/AP2018SA0168RaEN.pdf</w:t>
        </w:r>
      </w:hyperlink>
      <w:r w:rsidRPr="00725244">
        <w:rPr>
          <w:rStyle w:val="Hyperlink"/>
          <w:color w:val="1155CC"/>
          <w:sz w:val="24"/>
          <w:lang w:val="pt-PT"/>
        </w:rPr>
        <w:t>.</w:t>
      </w:r>
    </w:p>
  </w:footnote>
  <w:footnote w:id="23">
    <w:p w:rsidR="008466BA" w:rsidRPr="00725244" w:rsidRDefault="008466BA" w:rsidP="00725244">
      <w:pPr>
        <w:pStyle w:val="FootnoteText"/>
        <w:ind w:left="567" w:hanging="567"/>
        <w:rPr>
          <w:sz w:val="24"/>
          <w:szCs w:val="24"/>
          <w:lang w:val="pt-PT"/>
        </w:rPr>
      </w:pPr>
      <w:r w:rsidRPr="00725244">
        <w:rPr>
          <w:rStyle w:val="FootnoteReference"/>
          <w:sz w:val="24"/>
          <w:lang w:val="pt-PT"/>
        </w:rPr>
        <w:footnoteRef/>
      </w:r>
      <w:r w:rsidR="00725244" w:rsidRPr="00725244">
        <w:rPr>
          <w:sz w:val="24"/>
          <w:lang w:val="pt-PT"/>
        </w:rPr>
        <w:t xml:space="preserve"> </w:t>
      </w:r>
      <w:r w:rsidR="00725244" w:rsidRPr="00725244">
        <w:rPr>
          <w:sz w:val="24"/>
          <w:lang w:val="pt-PT"/>
        </w:rPr>
        <w:tab/>
      </w:r>
      <w:r w:rsidRPr="00725244">
        <w:rPr>
          <w:sz w:val="24"/>
          <w:lang w:val="pt-PT"/>
        </w:rPr>
        <w:t>Recomendação da Comissão, de 10 de junho de 2022, sobre a definição de nanomaterial (JO C 229 de 14.6.2022, p. 1).</w:t>
      </w:r>
    </w:p>
  </w:footnote>
  <w:footnote w:id="24">
    <w:p w:rsidR="008466BA" w:rsidRPr="00725244" w:rsidRDefault="008466BA" w:rsidP="00725244">
      <w:pPr>
        <w:pStyle w:val="FootnoteText"/>
        <w:ind w:left="567" w:hanging="567"/>
        <w:rPr>
          <w:sz w:val="24"/>
          <w:szCs w:val="24"/>
          <w:lang w:val="pt-PT"/>
        </w:rPr>
      </w:pPr>
      <w:r w:rsidRPr="00725244">
        <w:rPr>
          <w:rStyle w:val="FootnoteReference"/>
          <w:sz w:val="24"/>
          <w:szCs w:val="24"/>
          <w:lang w:val="pt-PT"/>
        </w:rPr>
        <w:footnoteRef/>
      </w:r>
      <w:r w:rsidR="00725244" w:rsidRPr="00000D40">
        <w:rPr>
          <w:sz w:val="24"/>
        </w:rPr>
        <w:t xml:space="preserve"> </w:t>
      </w:r>
      <w:r w:rsidR="00725244" w:rsidRPr="00000D40">
        <w:rPr>
          <w:sz w:val="24"/>
        </w:rPr>
        <w:tab/>
      </w:r>
      <w:r w:rsidRPr="00000D40">
        <w:rPr>
          <w:sz w:val="24"/>
        </w:rPr>
        <w:t xml:space="preserve">Anses (2020): Nanomatériaux dans les produits destinés à l’alimentation. </w:t>
      </w:r>
      <w:r w:rsidRPr="00725244">
        <w:rPr>
          <w:sz w:val="24"/>
          <w:lang w:val="pt-PT"/>
        </w:rPr>
        <w:t>Rapport d’expertise collective [ANSES (2020): Nanomateriais nos produtos destinados à alimentação. Relatório de peritos],</w:t>
      </w:r>
      <w:hyperlink r:id="rId16" w:history="1">
        <w:r w:rsidRPr="00725244">
          <w:rPr>
            <w:rStyle w:val="Hyperlink"/>
            <w:sz w:val="24"/>
            <w:lang w:val="pt-PT"/>
          </w:rPr>
          <w:t xml:space="preserve"> </w:t>
        </w:r>
      </w:hyperlink>
      <w:hyperlink r:id="rId17" w:history="1">
        <w:r w:rsidRPr="00725244">
          <w:rPr>
            <w:rStyle w:val="Hyperlink"/>
            <w:color w:val="1155CC"/>
            <w:sz w:val="24"/>
            <w:lang w:val="pt-PT"/>
          </w:rPr>
          <w:t>https://www.anses.fr/fr/system/files/ERCA2016SA0226Ra.pdf</w:t>
        </w:r>
      </w:hyperlink>
      <w:r w:rsidRPr="00725244">
        <w:rPr>
          <w:sz w:val="24"/>
          <w:lang w:val="pt-PT"/>
        </w:rPr>
        <w:t xml:space="preserve"> (p.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52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PT"/>
    <w:docVar w:name="dvnumam" w:val="0"/>
    <w:docVar w:name="dvpe" w:val="760.689"/>
    <w:docVar w:name="dvtitre" w:val="Resolução do Parlamento Europeu, de ... de ... de 2024, sobre o Regulamento delegado da Comissão, de 14 de março de 2024, que altera o Regulamento (UE) 2015/2283 do Parlamento Europeu e do Conselho relativo a novos alimentos, no que se refere à definição de «nanomateriais artificiais»(C(2024)01612 – 2024/2691(DEA))"/>
  </w:docVars>
  <w:rsids>
    <w:rsidRoot w:val="008B201D"/>
    <w:rsid w:val="00000D40"/>
    <w:rsid w:val="00002272"/>
    <w:rsid w:val="00060BC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BF7"/>
    <w:rsid w:val="00332CB9"/>
    <w:rsid w:val="00343214"/>
    <w:rsid w:val="00361C00"/>
    <w:rsid w:val="00395E03"/>
    <w:rsid w:val="00395FA1"/>
    <w:rsid w:val="00396129"/>
    <w:rsid w:val="003E15D4"/>
    <w:rsid w:val="00411CCE"/>
    <w:rsid w:val="0041666E"/>
    <w:rsid w:val="00421060"/>
    <w:rsid w:val="004713DA"/>
    <w:rsid w:val="00471C19"/>
    <w:rsid w:val="004867E3"/>
    <w:rsid w:val="00494A28"/>
    <w:rsid w:val="004C0004"/>
    <w:rsid w:val="004C5D52"/>
    <w:rsid w:val="0050519A"/>
    <w:rsid w:val="005072A1"/>
    <w:rsid w:val="00511FEA"/>
    <w:rsid w:val="00514517"/>
    <w:rsid w:val="00545827"/>
    <w:rsid w:val="00560270"/>
    <w:rsid w:val="005C2568"/>
    <w:rsid w:val="006037C0"/>
    <w:rsid w:val="006631B6"/>
    <w:rsid w:val="00680577"/>
    <w:rsid w:val="006C6952"/>
    <w:rsid w:val="006F74FA"/>
    <w:rsid w:val="0072524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6BA"/>
    <w:rsid w:val="00865F67"/>
    <w:rsid w:val="00881A7B"/>
    <w:rsid w:val="008840E5"/>
    <w:rsid w:val="00887B3E"/>
    <w:rsid w:val="008B201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FF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9AF4E"/>
  <w15:chartTrackingRefBased/>
  <w15:docId w15:val="{0C5AFAEA-133A-4160-B6CE-5E7CF1C2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66BA"/>
    <w:pPr>
      <w:spacing w:before="480" w:after="240"/>
    </w:pPr>
  </w:style>
  <w:style w:type="paragraph" w:customStyle="1" w:styleId="NormalHanging12a">
    <w:name w:val="NormalHanging12a"/>
    <w:basedOn w:val="Normal"/>
    <w:rsid w:val="008466B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466B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31FF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B31F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1FF2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A2502-7F31-4621-857A-4970C6C04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1889</Words>
  <Characters>10411</Characters>
  <Application>Microsoft Office Word</Application>
  <DocSecurity>0</DocSecurity>
  <Lines>160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PEREIRA Dulce</cp:lastModifiedBy>
  <cp:revision>2</cp:revision>
  <cp:lastPrinted>2004-11-19T15:42:00Z</cp:lastPrinted>
  <dcterms:created xsi:type="dcterms:W3CDTF">2024-06-12T07:24:00Z</dcterms:created>
  <dcterms:modified xsi:type="dcterms:W3CDTF">2024-06-12T07:24:00Z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