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0A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0A96" w:rsidRDefault="00294BDC" w:rsidP="0010095E">
            <w:pPr>
              <w:pStyle w:val="EPName"/>
            </w:pPr>
            <w:r w:rsidRPr="00DA0A96">
              <w:t>Európsky parlament</w:t>
            </w:r>
          </w:p>
          <w:p w:rsidR="00751A4A" w:rsidRPr="00DA0A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0A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A0A96" w:rsidRDefault="00187494" w:rsidP="0010095E">
            <w:pPr>
              <w:pStyle w:val="EPLogo"/>
            </w:pPr>
            <w:r w:rsidRPr="00DA0A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0A96" w:rsidRDefault="00D058B8" w:rsidP="004C5D52">
      <w:pPr>
        <w:pStyle w:val="LineTop"/>
      </w:pPr>
    </w:p>
    <w:p w:rsidR="00680577" w:rsidRPr="00DA0A96" w:rsidRDefault="00294BDC" w:rsidP="00680577">
      <w:pPr>
        <w:pStyle w:val="EPBodyTA1"/>
      </w:pPr>
      <w:r w:rsidRPr="00DA0A96">
        <w:t>PRIJATÉ TEXTY</w:t>
      </w:r>
    </w:p>
    <w:p w:rsidR="00D058B8" w:rsidRPr="00DA0A96" w:rsidRDefault="00D058B8" w:rsidP="00D058B8">
      <w:pPr>
        <w:pStyle w:val="LineBottom"/>
      </w:pPr>
    </w:p>
    <w:p w:rsidR="00294BDC" w:rsidRPr="00DA0A96" w:rsidRDefault="00294BDC" w:rsidP="00294BDC">
      <w:pPr>
        <w:pStyle w:val="ATHeading1"/>
      </w:pPr>
      <w:bookmarkStart w:id="0" w:name="TANumber"/>
      <w:r w:rsidRPr="00DA0A96">
        <w:t>P9_TA(2024)0</w:t>
      </w:r>
      <w:r w:rsidR="00946089" w:rsidRPr="00DA0A96">
        <w:t>316</w:t>
      </w:r>
      <w:bookmarkEnd w:id="0"/>
    </w:p>
    <w:p w:rsidR="00294BDC" w:rsidRPr="00DA0A96" w:rsidRDefault="00294BDC" w:rsidP="00294BDC">
      <w:pPr>
        <w:pStyle w:val="ATHeading2"/>
      </w:pPr>
      <w:bookmarkStart w:id="1" w:name="title"/>
      <w:r w:rsidRPr="00DA0A96">
        <w:t xml:space="preserve">Námietka </w:t>
      </w:r>
      <w:r w:rsidR="005B35F1" w:rsidRPr="00DA0A96">
        <w:t>voči delegovanému aktu</w:t>
      </w:r>
      <w:r w:rsidRPr="00DA0A96">
        <w:t>: Nové potraviny – vymedzenie pojmu „umelo vyrobené nanomateriály“</w:t>
      </w:r>
      <w:bookmarkEnd w:id="1"/>
    </w:p>
    <w:p w:rsidR="00294BDC" w:rsidRPr="00DA0A96" w:rsidRDefault="00294BDC" w:rsidP="00294BDC">
      <w:pPr>
        <w:rPr>
          <w:i/>
          <w:vanish/>
        </w:rPr>
      </w:pPr>
      <w:r w:rsidRPr="00DA0A96">
        <w:rPr>
          <w:i/>
        </w:rPr>
        <w:fldChar w:fldCharType="begin"/>
      </w:r>
      <w:r w:rsidRPr="00DA0A96">
        <w:rPr>
          <w:i/>
        </w:rPr>
        <w:instrText xml:space="preserve"> TC"(</w:instrText>
      </w:r>
      <w:bookmarkStart w:id="2" w:name="DocNumber"/>
      <w:r w:rsidRPr="00DA0A96">
        <w:rPr>
          <w:i/>
        </w:rPr>
        <w:instrText>B9-0225/2024</w:instrText>
      </w:r>
      <w:bookmarkEnd w:id="2"/>
      <w:r w:rsidRPr="00DA0A96">
        <w:rPr>
          <w:i/>
        </w:rPr>
        <w:instrText xml:space="preserve">)"\l3 \n&gt; \* MERGEFORMAT </w:instrText>
      </w:r>
      <w:r w:rsidRPr="00DA0A96">
        <w:rPr>
          <w:i/>
        </w:rPr>
        <w:fldChar w:fldCharType="end"/>
      </w:r>
    </w:p>
    <w:p w:rsidR="00294BDC" w:rsidRPr="00DA0A96" w:rsidRDefault="00294BDC" w:rsidP="00294BDC">
      <w:pPr>
        <w:rPr>
          <w:vanish/>
        </w:rPr>
      </w:pPr>
      <w:bookmarkStart w:id="3" w:name="PE"/>
      <w:r w:rsidRPr="00DA0A96">
        <w:rPr>
          <w:vanish/>
        </w:rPr>
        <w:t>PE760.689</w:t>
      </w:r>
      <w:bookmarkEnd w:id="3"/>
    </w:p>
    <w:p w:rsidR="00294BDC" w:rsidRPr="00DA0A96" w:rsidRDefault="00294BDC" w:rsidP="00294BDC">
      <w:pPr>
        <w:pStyle w:val="ATHeading3"/>
      </w:pPr>
      <w:bookmarkStart w:id="4" w:name="Sujet"/>
      <w:r w:rsidRPr="00DA0A96">
        <w:t xml:space="preserve">Uznesenie Európskeho parlamentu z </w:t>
      </w:r>
      <w:r w:rsidR="005B35F1" w:rsidRPr="00DA0A96">
        <w:t>24</w:t>
      </w:r>
      <w:r w:rsidRPr="00DA0A96">
        <w:t>. apríla 2024 o delegovanom nariadení Komisie zo 14. marca 2024, ktorým sa mení nariadenie Európskeho parlamentu a Rady (EÚ) 2015/2283 o nových potravinách, pokiaľ ide o vymedzenie pojmu „umelo vyrobené nanomateriály“</w:t>
      </w:r>
      <w:bookmarkEnd w:id="4"/>
      <w:r w:rsidRPr="00DA0A96">
        <w:t xml:space="preserve"> </w:t>
      </w:r>
      <w:bookmarkStart w:id="5" w:name="References"/>
      <w:r w:rsidRPr="00DA0A96">
        <w:t>(C(2024)01612 – 2024/2691(DEA))</w:t>
      </w:r>
      <w:bookmarkEnd w:id="5"/>
    </w:p>
    <w:p w:rsidR="00F36797" w:rsidRPr="00DA0A96" w:rsidRDefault="00F36797" w:rsidP="00F36797">
      <w:pPr>
        <w:pStyle w:val="EPComma"/>
      </w:pPr>
      <w:bookmarkStart w:id="6" w:name="TextBodyBegin"/>
      <w:bookmarkEnd w:id="6"/>
      <w:r w:rsidRPr="00DA0A96">
        <w:rPr>
          <w:i/>
        </w:rPr>
        <w:t>Európsky parlament</w:t>
      </w:r>
      <w:r w:rsidRPr="00DA0A96">
        <w:t>,</w:t>
      </w:r>
    </w:p>
    <w:p w:rsidR="00F36797" w:rsidRPr="00DA0A96" w:rsidRDefault="00F36797" w:rsidP="00F36797">
      <w:pPr>
        <w:pStyle w:val="NormalHanging12a"/>
      </w:pPr>
      <w:r w:rsidRPr="00DA0A96">
        <w:t>–</w:t>
      </w:r>
      <w:r w:rsidRPr="00DA0A96">
        <w:tab/>
        <w:t>so zreteľom na delegované nariadenie Komisie zo 14. marca 2024, ktorým sa mení nariadenie Európskeho parlamentu a Rady (EÚ) 2015/2283 o nových potravinách, pokiaľ ide o vymedzenie pojmu „umelo vyrobené nanomateriály“ (C(2024)01612),</w:t>
      </w:r>
    </w:p>
    <w:p w:rsidR="00F36797" w:rsidRPr="00DA0A96" w:rsidRDefault="00F36797" w:rsidP="00F36797">
      <w:pPr>
        <w:pStyle w:val="NormalHanging12a"/>
        <w:jc w:val="both"/>
      </w:pPr>
      <w:r w:rsidRPr="00DA0A96">
        <w:t>–</w:t>
      </w:r>
      <w:r w:rsidRPr="00DA0A96">
        <w:tab/>
        <w:t>so zreteľom na článok 290 Zmluvy o fungovaní Európskej únie (ďalej len „ZFEÚ“),</w:t>
      </w:r>
    </w:p>
    <w:p w:rsidR="00F36797" w:rsidRPr="00DA0A96" w:rsidRDefault="00F36797" w:rsidP="00F36797">
      <w:pPr>
        <w:pStyle w:val="NormalHanging12a"/>
        <w:rPr>
          <w:noProof/>
        </w:rPr>
      </w:pPr>
      <w:r w:rsidRPr="00DA0A96">
        <w:t>–</w:t>
      </w:r>
      <w:r w:rsidRPr="00DA0A96">
        <w:tab/>
        <w:t>so zreteľom na nariadenie Európskeho parlamentu a Rady (EÚ) 2015/2283 z 25. novembra 2015 o nových potravinách, ktorým sa mení nariadenie Európskeho parlamentu a Rady (EÚ) č. 1169/2011, ktorým sa zrušuje nariadenie Európskeho parlamentu a Rady (ES) č. 258/97 a nariadenie Komisie (ES) č. 1852/2001</w:t>
      </w:r>
      <w:r w:rsidRPr="00DA0A96">
        <w:rPr>
          <w:rStyle w:val="FootnoteReference"/>
          <w:noProof/>
          <w:color w:val="000000"/>
          <w:szCs w:val="24"/>
        </w:rPr>
        <w:footnoteReference w:id="1"/>
      </w:r>
      <w:r w:rsidRPr="00DA0A96">
        <w:t>, a najmä na jeho článok 31 a článok 32 ods. 6,</w:t>
      </w:r>
    </w:p>
    <w:p w:rsidR="00F36797" w:rsidRPr="00DA0A96" w:rsidRDefault="00F36797" w:rsidP="00F36797">
      <w:pPr>
        <w:pStyle w:val="NormalHanging12a"/>
      </w:pPr>
      <w:r w:rsidRPr="00DA0A96">
        <w:t>–</w:t>
      </w:r>
      <w:r w:rsidRPr="00DA0A96">
        <w:tab/>
        <w:t>so zreteľom na nariadenie Európskeho parlamentu a Rady (EÚ) č. 1169/2011 z 25. októbra 2011 o poskytovaní informácií o potravinách spotrebiteľom, ktorým sa menia a dopĺňajú nariadenia Európskeho parlamentu a Rady (ES) č. 1924/2006 a (ES) č. 1925/2006 a ktorým sa zrušuje smernica Komisie 87/250/EHS, smernica Rady 90/496/EHS, smernica Komisie 1999/10/ES, smernica Európskeho parlamentu a Rady 2000/13/ES, smernice Komisie 2002/67/ES a 2008/5/ES a nariadenie Komisie (ES) č. 608/2004</w:t>
      </w:r>
      <w:r w:rsidRPr="00DA0A96">
        <w:rPr>
          <w:rStyle w:val="FootnoteReference"/>
          <w:noProof/>
          <w:color w:val="000000"/>
          <w:szCs w:val="24"/>
        </w:rPr>
        <w:footnoteReference w:id="2"/>
      </w:r>
      <w:r w:rsidRPr="00DA0A96">
        <w:t>, a najmä na jeho článok 18 ods. 3,</w:t>
      </w:r>
    </w:p>
    <w:p w:rsidR="00F36797" w:rsidRPr="00DA0A96" w:rsidRDefault="00F36797" w:rsidP="00F36797">
      <w:pPr>
        <w:pStyle w:val="NormalHanging12a"/>
      </w:pPr>
      <w:r w:rsidRPr="00DA0A96">
        <w:t>–</w:t>
      </w:r>
      <w:r w:rsidRPr="00DA0A96">
        <w:tab/>
        <w:t>so zreteľom na nariadenie Európskeho parlamentu a Rady (ES) č. 1333/2008 zo 16. decembra 2008 o prídavných látkach v potravinách</w:t>
      </w:r>
      <w:r w:rsidRPr="00DA0A96">
        <w:rPr>
          <w:rStyle w:val="FootnoteReference"/>
          <w:color w:val="000000"/>
          <w:szCs w:val="24"/>
        </w:rPr>
        <w:footnoteReference w:id="3"/>
      </w:r>
      <w:r w:rsidRPr="00DA0A96">
        <w:t>,</w:t>
      </w:r>
    </w:p>
    <w:p w:rsidR="00F36797" w:rsidRPr="00DA0A96" w:rsidRDefault="00F36797" w:rsidP="00F36797">
      <w:pPr>
        <w:pStyle w:val="NormalHanging12a"/>
      </w:pPr>
      <w:r w:rsidRPr="00DA0A96">
        <w:lastRenderedPageBreak/>
        <w:t>–</w:t>
      </w:r>
      <w:r w:rsidRPr="00DA0A96">
        <w:tab/>
        <w:t>so zreteľom na zoznamy Únie vytvorené nariadením Komisie (EÚ) č. 1129/2011 z 11. novembra 2011, ktorým sa mení príloha II k nariadeniu Európskeho parlamentu a Rady (ES) č. 1333/2008 vytvorením zoznamu Únie obsahujúceho prídavné látky v potravinách</w:t>
      </w:r>
      <w:r w:rsidRPr="00DA0A96">
        <w:rPr>
          <w:rStyle w:val="FootnoteReference"/>
          <w:color w:val="000000"/>
          <w:szCs w:val="24"/>
        </w:rPr>
        <w:footnoteReference w:id="4"/>
      </w:r>
      <w:r w:rsidRPr="00DA0A96">
        <w:t>, a nariadením Komisie (EÚ) č. 1130/2011</w:t>
      </w:r>
      <w:r w:rsidR="00CE0C03">
        <w:t xml:space="preserve"> </w:t>
      </w:r>
      <w:r w:rsidR="00CE0C03" w:rsidRPr="00DA0A96">
        <w:t>z 11. novembra 2011</w:t>
      </w:r>
      <w:bookmarkStart w:id="7" w:name="_GoBack"/>
      <w:bookmarkEnd w:id="7"/>
      <w:r w:rsidRPr="00DA0A96">
        <w:t>, ktorým sa mení a dopĺňa príloha III k nariadeniu Európskeho parlamentu a Rady (ES) č. 1333/2008 o prídavných látkach v potravinách vytvorením zoznamu Únie obsahujúceho prídavné látky v potravinách schválené na používanie v prídavných látkach v potravinách, potravinárskych enzýmoch, potravinárskych arómach a živinách</w:t>
      </w:r>
      <w:r w:rsidRPr="00DA0A96">
        <w:rPr>
          <w:rStyle w:val="FootnoteReference"/>
          <w:color w:val="000000"/>
          <w:szCs w:val="24"/>
        </w:rPr>
        <w:footnoteReference w:id="5"/>
      </w:r>
      <w:r w:rsidRPr="00DA0A96">
        <w:t>,</w:t>
      </w:r>
    </w:p>
    <w:p w:rsidR="00F36797" w:rsidRPr="00DA0A96" w:rsidRDefault="00F36797">
      <w:pPr>
        <w:pStyle w:val="NormalHanging12a"/>
      </w:pPr>
      <w:r w:rsidRPr="00DA0A96">
        <w:t>–</w:t>
      </w:r>
      <w:r w:rsidRPr="00DA0A96">
        <w:tab/>
        <w:t>so zreteľom na nariadenie Komisie (EÚ) č. 257/2010 z 25. marca 2010, ktorým sa ustanovuje program schválených prídavných látok v potravinách v súlade s nariadením Európskeho parlamentu a Rady (ES) č. 1333/2008 o prídavných látkach v potravinách</w:t>
      </w:r>
      <w:r w:rsidRPr="00DA0A96">
        <w:rPr>
          <w:rStyle w:val="FootnoteReference"/>
          <w:color w:val="000000"/>
          <w:szCs w:val="24"/>
        </w:rPr>
        <w:footnoteReference w:id="6"/>
      </w:r>
      <w:r w:rsidRPr="00DA0A96">
        <w:t>,</w:t>
      </w:r>
    </w:p>
    <w:p w:rsidR="00F36797" w:rsidRPr="00DA0A96" w:rsidRDefault="00F36797">
      <w:pPr>
        <w:pStyle w:val="NormalHanging12a"/>
      </w:pPr>
      <w:r w:rsidRPr="00DA0A96">
        <w:t>–</w:t>
      </w:r>
      <w:r w:rsidRPr="00DA0A96">
        <w:tab/>
        <w:t>so zreteľom na článok 111 ods. 3 rokovacieho poriadku,</w:t>
      </w:r>
    </w:p>
    <w:p w:rsidR="00F36797" w:rsidRPr="00DA0A96" w:rsidRDefault="00F36797">
      <w:pPr>
        <w:pStyle w:val="NormalHanging12a"/>
      </w:pPr>
      <w:r w:rsidRPr="00DA0A96">
        <w:t>–</w:t>
      </w:r>
      <w:r w:rsidRPr="00DA0A96">
        <w:tab/>
        <w:t>so zreteľom na návrh uznesenia Výboru pre životné prostredie, verejné zdravie a bezpečnosť potravín,</w:t>
      </w:r>
    </w:p>
    <w:p w:rsidR="00F36797" w:rsidRPr="00DA0A96" w:rsidRDefault="00F36797" w:rsidP="00DA0A96">
      <w:pPr>
        <w:pStyle w:val="NormalHanging12a"/>
      </w:pPr>
      <w:r w:rsidRPr="00DA0A96">
        <w:t>A.</w:t>
      </w:r>
      <w:r w:rsidRPr="00DA0A96">
        <w:tab/>
        <w:t>keďže v článku 18 ods. 3 nariadenia (EÚ) č. 1169/2011 sa stanovuje, že všetky zložky potravín prítomné vo forme umelých nanomateriálov sa musia jasne uviesť v zozname zložiek potravín v záujme zabezpečenia informovanosti spotrebiteľa; keďže v súlade s tým sa v nariadení (EÚ) č. 1169/2011 vymedzuje pojem „umelé nanomateriály“, ako sa stanovuje v článku 3 ods. 2 písm. f) nariadenia (EÚ) 2015/2283;</w:t>
      </w:r>
    </w:p>
    <w:p w:rsidR="00F36797" w:rsidRPr="00DA0A96" w:rsidRDefault="00F36797" w:rsidP="00DA0A96">
      <w:pPr>
        <w:pStyle w:val="NormalHanging12a"/>
      </w:pPr>
      <w:r w:rsidRPr="00DA0A96">
        <w:t>B.</w:t>
      </w:r>
      <w:r w:rsidRPr="00DA0A96">
        <w:tab/>
        <w:t>keďže v článku 31 nariadenia (EÚ) 2015/2283 sa Komisia splnomocňuje upravovať a prispôsobovať vymedzenie „umelých nanomateriálov“ spomínané v uvedenom nariadení technickému a vedeckému pokroku alebo vymedzeniam dohodnutým na medzinárodnej úrovni, a to prostredníctvom delegovaných aktov na účely dosiahnutia cieľov tohto nariadenia;</w:t>
      </w:r>
    </w:p>
    <w:p w:rsidR="00F36797" w:rsidRPr="00DA0A96" w:rsidRDefault="00F36797" w:rsidP="00DA0A96">
      <w:pPr>
        <w:pStyle w:val="NormalHanging12a"/>
      </w:pPr>
      <w:r w:rsidRPr="00DA0A96">
        <w:t>C.</w:t>
      </w:r>
      <w:r w:rsidRPr="00DA0A96">
        <w:tab/>
        <w:t>keďže komplexné zoznamy Únie vytvorené nariadeniami (EÚ) č. 1129/2011 a (EÚ) č. 1130/2011 stanovili prídavné látky v potravinách povolené na používanie pred nadobudnutím účinnosti nariadenia (ES) č. 1333/2008 po preskúmaní ich súladu s jeho ustanoveniami;</w:t>
      </w:r>
    </w:p>
    <w:p w:rsidR="00F36797" w:rsidRPr="00DA0A96" w:rsidRDefault="00F36797" w:rsidP="00F36797">
      <w:pPr>
        <w:pStyle w:val="NormalHanging12a"/>
        <w:jc w:val="both"/>
        <w:rPr>
          <w:i/>
        </w:rPr>
      </w:pPr>
      <w:r w:rsidRPr="00DA0A96">
        <w:rPr>
          <w:i/>
        </w:rPr>
        <w:t>Dôsledky vymedzenia pojmu</w:t>
      </w:r>
    </w:p>
    <w:p w:rsidR="00F36797" w:rsidRPr="00DA0A96" w:rsidRDefault="00F36797" w:rsidP="00DA0A96">
      <w:pPr>
        <w:pStyle w:val="NormalHanging12a"/>
      </w:pPr>
      <w:r w:rsidRPr="00DA0A96">
        <w:t>D.</w:t>
      </w:r>
      <w:r w:rsidRPr="00DA0A96">
        <w:tab/>
        <w:t>keďže vymedzenie pojmu „umelý nanomateriál“ v delegovanom nariadení Komisie určí, či má byť potravina v zozname zložiek označená ako „[nano]“, ako sa uvádza v článku 18 ods. 3 nariadenia (EÚ) č. 1169/2011;</w:t>
      </w:r>
    </w:p>
    <w:p w:rsidR="00F36797" w:rsidRPr="00DA0A96" w:rsidRDefault="00F36797" w:rsidP="00DA0A96">
      <w:pPr>
        <w:pStyle w:val="NormalHanging12a"/>
      </w:pPr>
      <w:r w:rsidRPr="00DA0A96">
        <w:t>E.</w:t>
      </w:r>
      <w:r w:rsidRPr="00DA0A96">
        <w:tab/>
        <w:t>keďže cieľom delegovaného nariadenia Komisie je riešiť problémy s výkladom vyplývajúce zo súčasného vymedzenia pojmu zavedením objektívnych prvkov na určenie toho, či nanomateriál je alebo nie je „umelý“, napríklad nahradením pojmu „úmyselne vyrobený [materiál]“ pojmom „vyrobený“;</w:t>
      </w:r>
    </w:p>
    <w:p w:rsidR="00F36797" w:rsidRPr="00DA0A96" w:rsidRDefault="00F36797" w:rsidP="00DA0A96">
      <w:pPr>
        <w:pStyle w:val="NormalHanging12a"/>
      </w:pPr>
      <w:r w:rsidRPr="00DA0A96">
        <w:t>F.</w:t>
      </w:r>
      <w:r w:rsidRPr="00DA0A96">
        <w:tab/>
        <w:t xml:space="preserve">keďže delegované nariadenie Komisie bráni tomu, aby sa za nanomateriály </w:t>
      </w:r>
      <w:r w:rsidRPr="00DA0A96">
        <w:lastRenderedPageBreak/>
        <w:t>v potravinách považovali častice, ktoré nie sú v pevnom stave, ako sú micely, lipozómy alebo kvapôčky v emulzii v nanorozmeroch, a zložky obsahujúce menej ako 50 % častíc s veľkosťou menšou ako 100 nm;</w:t>
      </w:r>
    </w:p>
    <w:p w:rsidR="00F36797" w:rsidRPr="00DA0A96" w:rsidRDefault="00F36797" w:rsidP="00DA0A96">
      <w:pPr>
        <w:pStyle w:val="NormalHanging12a"/>
      </w:pPr>
      <w:r w:rsidRPr="00DA0A96">
        <w:t>G.</w:t>
      </w:r>
      <w:r w:rsidRPr="00DA0A96">
        <w:tab/>
        <w:t>keďže navrhovaná štandardná prahová hodnota 50 % alebo viac častíc v nanorozmeroch je svojvoľná a menej ochranná ako výklad vymedzenia pojmu v nariadení (EÚ) 2015/2283, ktorý podali niektoré členské štáty, napríklad Francúzsko; keďže v tomto nariadení sa neuvažuje o prahovej hodnote rozdelenia veľkosti častíc pod 100 nm;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>H.</w:t>
      </w:r>
      <w:r w:rsidRPr="00DA0A96">
        <w:tab/>
        <w:t>keďže navrhované vymedzenie pojmu by potenciálne vylúčilo mnohé nanolátky z rozsahu pôsobnosti nariadenia (EÚ) č. 1169/2011, ktoré by tak nepodliehali povinnosti označovania „[nano]“; keďže Komisia v bode 3 dôvodovej správy uvádza, že „počet materiálov používaných v potravinách, ktoré môžu obsahovať určitý podiel nanočastíc, je obmedzený a väčšina týchto materiálov, ak nie všetky, nie sú nové“ a že „potenciálne vplyvy delegovaného aktu sa preto budú týkať len veľmi obmedzeného počtu materiálov“;</w:t>
      </w:r>
    </w:p>
    <w:p w:rsidR="00F36797" w:rsidRPr="00DA0A96" w:rsidRDefault="00F36797" w:rsidP="00DA0A96">
      <w:pPr>
        <w:spacing w:after="240"/>
        <w:ind w:left="567" w:hanging="567"/>
        <w:rPr>
          <w:color w:val="0D0D0D"/>
          <w:szCs w:val="24"/>
        </w:rPr>
      </w:pPr>
      <w:r w:rsidRPr="00DA0A96">
        <w:t xml:space="preserve">I. </w:t>
      </w:r>
      <w:r w:rsidRPr="00DA0A96">
        <w:tab/>
        <w:t xml:space="preserve">keďže v súčasnosti sú to práve prídavné látky v potravinách, ktoré môžu byť prítomné v potravinách ako nanomateriály; keďže </w:t>
      </w:r>
      <w:r w:rsidRPr="00DA0A96">
        <w:rPr>
          <w:color w:val="0D0D0D"/>
        </w:rPr>
        <w:t>Francúzska národná agentúra pre zdravie a bezpečnosť (</w:t>
      </w:r>
      <w:r w:rsidRPr="00DA0A96">
        <w:t>ANSES) uviedla 37 nanolátok používaných vo viac ako 900 potravinárskych výrobkoch</w:t>
      </w:r>
      <w:r w:rsidRPr="00DA0A96">
        <w:rPr>
          <w:rStyle w:val="FootnoteReference"/>
          <w:szCs w:val="24"/>
        </w:rPr>
        <w:footnoteReference w:id="7"/>
      </w:r>
      <w:r w:rsidRPr="00DA0A96">
        <w:t>;</w:t>
      </w:r>
      <w:r w:rsidRPr="00DA0A96">
        <w:rPr>
          <w:color w:val="0D0D0D"/>
        </w:rPr>
        <w:t xml:space="preserve"> keďže testy vykonané spotrebiteľskými a mimovládnymi organizáciami (Agir pour l'Environnement</w:t>
      </w:r>
      <w:r w:rsidRPr="00DA0A96">
        <w:rPr>
          <w:rStyle w:val="FootnoteReference"/>
          <w:color w:val="0D0D0D"/>
          <w:szCs w:val="24"/>
        </w:rPr>
        <w:footnoteReference w:id="8"/>
      </w:r>
      <w:r w:rsidRPr="00DA0A96">
        <w:rPr>
          <w:color w:val="0D0D0D"/>
        </w:rPr>
        <w:t>, Que Choisir</w:t>
      </w:r>
      <w:r w:rsidRPr="00DA0A96">
        <w:rPr>
          <w:rStyle w:val="FootnoteReference"/>
          <w:color w:val="0D0D0D"/>
          <w:szCs w:val="24"/>
        </w:rPr>
        <w:footnoteReference w:id="9"/>
      </w:r>
      <w:r w:rsidRPr="00DA0A96">
        <w:rPr>
          <w:color w:val="0D0D0D"/>
        </w:rPr>
        <w:t>, 60 Millions de consommateurs</w:t>
      </w:r>
      <w:r w:rsidRPr="00DA0A96">
        <w:rPr>
          <w:rStyle w:val="FootnoteReference"/>
          <w:color w:val="0D0D0D"/>
          <w:szCs w:val="24"/>
        </w:rPr>
        <w:footnoteReference w:id="10"/>
      </w:r>
      <w:r w:rsidRPr="00DA0A96">
        <w:rPr>
          <w:color w:val="0D0D0D"/>
        </w:rPr>
        <w:t>, AVICENN</w:t>
      </w:r>
      <w:r w:rsidRPr="00DA0A96">
        <w:rPr>
          <w:rStyle w:val="FootnoteReference"/>
          <w:color w:val="0D0D0D"/>
          <w:szCs w:val="24"/>
        </w:rPr>
        <w:footnoteReference w:id="11"/>
      </w:r>
      <w:r w:rsidRPr="00DA0A96">
        <w:rPr>
          <w:color w:val="0D0D0D"/>
        </w:rPr>
        <w:t xml:space="preserve"> vo Francúzsku, Foodwatch</w:t>
      </w:r>
      <w:r w:rsidRPr="00DA0A96">
        <w:rPr>
          <w:rStyle w:val="FootnoteReference"/>
          <w:color w:val="0D0D0D"/>
          <w:szCs w:val="24"/>
        </w:rPr>
        <w:footnoteReference w:id="12"/>
      </w:r>
      <w:r w:rsidRPr="00DA0A96">
        <w:rPr>
          <w:color w:val="0D0D0D"/>
        </w:rPr>
        <w:t xml:space="preserve"> a Bund</w:t>
      </w:r>
      <w:r w:rsidRPr="00DA0A96">
        <w:rPr>
          <w:rStyle w:val="FootnoteReference"/>
          <w:color w:val="0D0D0D"/>
          <w:szCs w:val="24"/>
        </w:rPr>
        <w:footnoteReference w:id="13"/>
      </w:r>
      <w:r w:rsidRPr="00DA0A96">
        <w:rPr>
          <w:color w:val="0D0D0D"/>
        </w:rPr>
        <w:t xml:space="preserve"> v Nemecku, Testachats</w:t>
      </w:r>
      <w:r w:rsidRPr="00DA0A96">
        <w:rPr>
          <w:rStyle w:val="FootnoteReference"/>
          <w:color w:val="0D0D0D"/>
          <w:szCs w:val="24"/>
        </w:rPr>
        <w:footnoteReference w:id="14"/>
      </w:r>
      <w:r w:rsidRPr="00DA0A96">
        <w:rPr>
          <w:color w:val="0D0D0D"/>
        </w:rPr>
        <w:t xml:space="preserve"> v Belgicku a Altroconsumo</w:t>
      </w:r>
      <w:r w:rsidRPr="00DA0A96">
        <w:rPr>
          <w:rStyle w:val="FootnoteReference"/>
          <w:color w:val="0D0D0D"/>
          <w:szCs w:val="24"/>
        </w:rPr>
        <w:footnoteReference w:id="15"/>
      </w:r>
      <w:r w:rsidRPr="00DA0A96">
        <w:rPr>
          <w:color w:val="0D0D0D"/>
        </w:rPr>
        <w:t xml:space="preserve"> v Taliansku a OCU v Španielsku</w:t>
      </w:r>
      <w:r w:rsidRPr="00DA0A96">
        <w:rPr>
          <w:rStyle w:val="FootnoteReference"/>
          <w:color w:val="0D0D0D"/>
          <w:szCs w:val="24"/>
        </w:rPr>
        <w:footnoteReference w:id="16"/>
      </w:r>
      <w:r w:rsidRPr="00DA0A96">
        <w:rPr>
          <w:color w:val="0D0D0D"/>
        </w:rPr>
        <w:t>) opakovane preukázali prítomnosť prídavných látok v potravinách s významným podielom nanočastíc, napríklad potravinárske farbivo oxid železa (E172) používané v mliečnych výrobkoch, pečive a niektorých raňajkových cereáliách môže obsahovať nanočastice pod prahovou hodnotou 50 %</w:t>
      </w:r>
      <w:r w:rsidRPr="00DA0A96">
        <w:rPr>
          <w:color w:val="000000"/>
        </w:rPr>
        <w:t xml:space="preserve">; </w:t>
      </w:r>
      <w:r w:rsidRPr="00DA0A96">
        <w:rPr>
          <w:color w:val="0D0D0D"/>
        </w:rPr>
        <w:t>keďže z toho vyplýva, že nedostatočné označovanie niektorých zložiek potravín ako „[nano]“ je spôsobené predovšetkým nedostatočným presadzovaním platných právnych predpisov a v oveľa menšej miere problémami s ich výkladom;</w:t>
      </w:r>
    </w:p>
    <w:p w:rsidR="00F36797" w:rsidRPr="00DA0A96" w:rsidRDefault="00F36797" w:rsidP="00DA0A96">
      <w:pPr>
        <w:spacing w:after="240"/>
        <w:ind w:left="567" w:hanging="567"/>
        <w:rPr>
          <w:color w:val="0D0D0D"/>
          <w:szCs w:val="24"/>
        </w:rPr>
      </w:pPr>
      <w:r w:rsidRPr="00DA0A96">
        <w:rPr>
          <w:color w:val="0D0D0D"/>
        </w:rPr>
        <w:t>J.</w:t>
      </w:r>
      <w:r w:rsidRPr="00DA0A96">
        <w:rPr>
          <w:color w:val="0D0D0D"/>
        </w:rPr>
        <w:tab/>
        <w:t xml:space="preserve">keďže štúdia z roku 2020, ktorú zadala Európska chemická agentúra, ukázala, že občania požadujú lepšie označovanie výrobkov každodennej spotreby obsahujúcich </w:t>
      </w:r>
      <w:r w:rsidRPr="00DA0A96">
        <w:rPr>
          <w:color w:val="0D0D0D"/>
        </w:rPr>
        <w:lastRenderedPageBreak/>
        <w:t>nanomateriály</w:t>
      </w:r>
      <w:r w:rsidRPr="00DA0A96">
        <w:rPr>
          <w:rStyle w:val="FootnoteReference"/>
          <w:color w:val="0D0D0D"/>
          <w:szCs w:val="24"/>
        </w:rPr>
        <w:footnoteReference w:id="17"/>
      </w:r>
      <w:r w:rsidRPr="00DA0A96">
        <w:rPr>
          <w:color w:val="0D0D0D"/>
        </w:rPr>
        <w:t>;</w:t>
      </w:r>
    </w:p>
    <w:p w:rsidR="00F36797" w:rsidRPr="00DA0A96" w:rsidRDefault="00F36797" w:rsidP="00F36797">
      <w:pPr>
        <w:spacing w:after="240"/>
        <w:jc w:val="both"/>
        <w:rPr>
          <w:i/>
          <w:szCs w:val="24"/>
        </w:rPr>
      </w:pPr>
      <w:r w:rsidRPr="00DA0A96">
        <w:rPr>
          <w:i/>
        </w:rPr>
        <w:t>Rozpory s odporúčaniami a novými vedeckými poznatkami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 xml:space="preserve">K. </w:t>
      </w:r>
      <w:r w:rsidRPr="00DA0A96">
        <w:tab/>
        <w:t>keďže Európsky parlament vo svojom uznesení z 12. marca 2014 o delegovanom nariadení Komisie z 12. decembra 2013, ktorým sa mení nariadenie Európskeho parlamentu a Rady (EÚ) č. 1169/2011 o poskytovaní informácií o potravinách spotrebiteľom, pokiaľ ide o vymedzenie pojmu „umelé nanomateriály“</w:t>
      </w:r>
      <w:r w:rsidRPr="00DA0A96">
        <w:rPr>
          <w:rStyle w:val="FootnoteReference"/>
          <w:szCs w:val="24"/>
        </w:rPr>
        <w:footnoteReference w:id="18"/>
      </w:r>
      <w:r w:rsidRPr="00DA0A96">
        <w:t>, vzniesol námietku proti veľmi podobnému vymedzeniu s rovnakou 50 % prahovou hodnotou, ktoré vylučovalo všetky prídavné látky v potravinách, pričom sa domnieval, že toto vymedzenie je „v rozpore so základným cieľom smernice usilovať o vysokú úroveň ochrany zdravia spotrebiteľov a ich záujmov vytvorením základu, aby sa koneční spotrebitelia mohli rozhodovať na základe informácií“; keďže Európsky parlament vyzval Komisiu, aby predložila nový delegovaný akt, ktorý zohľadní jeho stanovisko;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 xml:space="preserve">L. </w:t>
      </w:r>
      <w:r w:rsidRPr="00DA0A96">
        <w:tab/>
        <w:t>keďže Európsky parlament vo svojom uznesení z 8. októbra 2020 o návrhu nariadenia Komisie, ktorým sa mení príloha k nariadeniu (EÚ) č. 231/2012, ktorým sa ustanovujú špecifikácie prídavných látok uvedených v prílohách II a III k nariadeniu Európskeho parlamentu a Rady (ES) č. 1333/2008, pokiaľ ide o špecifikácie pre oxid titaničitý (E 171)</w:t>
      </w:r>
      <w:r w:rsidRPr="00DA0A96">
        <w:rPr>
          <w:rStyle w:val="FootnoteReference"/>
          <w:szCs w:val="24"/>
        </w:rPr>
        <w:footnoteReference w:id="19"/>
      </w:r>
      <w:r w:rsidRPr="00DA0A96">
        <w:t>, vzniesol námietku proti návrhu nariadenia Komisie, ktorým sa povoľujú šarže potravinárskeho oxidu titaničitého (E 171), ktoré obsahujú menej ako 50 % častíc menších ako 100 nm;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 xml:space="preserve">M. </w:t>
      </w:r>
      <w:r w:rsidRPr="00DA0A96">
        <w:tab/>
        <w:t>keďže Európsky úrad pre bezpečnosť potravín odporučil</w:t>
      </w:r>
      <w:r w:rsidRPr="00DA0A96">
        <w:rPr>
          <w:rStyle w:val="FootnoteReference"/>
          <w:szCs w:val="24"/>
        </w:rPr>
        <w:footnoteReference w:id="20"/>
      </w:r>
      <w:r w:rsidRPr="00DA0A96">
        <w:t>, že „s ohľadom na súčasné nejasnosti v súvislosti s bezpečnosťou by sa pre použitie v potravinách mala zvážiť nižšia prahová hodnota počtu nanočastíc, napr. 10 % namiesto 50 %, ktoré sú v súčasnosti navrhované v odporúčaní“;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 xml:space="preserve">N. </w:t>
      </w:r>
      <w:r w:rsidRPr="00DA0A96">
        <w:tab/>
        <w:t>keďže akademické organizácie, verejné orgány, mimovládne spotrebiteľské a environmentálne organizácie a odbory sa v konzultačnom procese Komisie zasadzovali za vymedzenie pojmu, ktoré by zahŕňalo všetky materiály, či už vyrobené, náhodné alebo prírodné, a štandardnú prahovú hodnotu 10 % alebo viac častíc v rozdelení podľa veľkosti;</w:t>
      </w:r>
    </w:p>
    <w:p w:rsidR="00F36797" w:rsidRPr="00DA0A96" w:rsidRDefault="00F36797" w:rsidP="00DA0A96">
      <w:pPr>
        <w:spacing w:after="240"/>
        <w:ind w:left="567" w:hanging="567"/>
        <w:rPr>
          <w:color w:val="0D0D0D"/>
          <w:szCs w:val="24"/>
        </w:rPr>
      </w:pPr>
      <w:r w:rsidRPr="00DA0A96">
        <w:rPr>
          <w:color w:val="0D0D0D"/>
        </w:rPr>
        <w:t xml:space="preserve">O. </w:t>
      </w:r>
      <w:r w:rsidRPr="00DA0A96">
        <w:rPr>
          <w:color w:val="0D0D0D"/>
        </w:rPr>
        <w:tab/>
        <w:t>keďže od roku 2014 nové vedecké pokroky a poznatky potvrdzujú, že nanomateriály môžu prekonávať fyziologické bariéry a sú často nebezpečnejšie ako látky v mikrostave alebo makrostave</w:t>
      </w:r>
      <w:r w:rsidRPr="00DA0A96">
        <w:rPr>
          <w:rStyle w:val="FootnoteReference"/>
          <w:color w:val="0D0D0D"/>
          <w:szCs w:val="24"/>
        </w:rPr>
        <w:footnoteReference w:id="21"/>
      </w:r>
      <w:r w:rsidRPr="00DA0A96">
        <w:rPr>
          <w:color w:val="0D0D0D"/>
        </w:rPr>
        <w:t>;</w:t>
      </w:r>
    </w:p>
    <w:p w:rsidR="00F36797" w:rsidRPr="00DA0A96" w:rsidRDefault="00F36797" w:rsidP="00DA0A96">
      <w:pPr>
        <w:spacing w:after="240"/>
        <w:ind w:left="567" w:hanging="567"/>
        <w:rPr>
          <w:color w:val="0D0D0D"/>
          <w:szCs w:val="24"/>
        </w:rPr>
      </w:pPr>
      <w:r w:rsidRPr="00DA0A96">
        <w:rPr>
          <w:color w:val="0D0D0D"/>
        </w:rPr>
        <w:t xml:space="preserve">P. </w:t>
      </w:r>
      <w:r w:rsidRPr="00DA0A96">
        <w:rPr>
          <w:color w:val="0D0D0D"/>
        </w:rPr>
        <w:tab/>
        <w:t>keďže agentúra ANSES uverejnila v apríli 2023 podrobnú správu</w:t>
      </w:r>
      <w:r w:rsidRPr="00DA0A96">
        <w:rPr>
          <w:rStyle w:val="FootnoteReference"/>
          <w:color w:val="0D0D0D"/>
          <w:szCs w:val="24"/>
        </w:rPr>
        <w:footnoteReference w:id="22"/>
      </w:r>
      <w:r w:rsidRPr="00DA0A96">
        <w:rPr>
          <w:color w:val="0D0D0D"/>
        </w:rPr>
        <w:t>, v ktorej uvádza, že vymedzenie nanomateriálov stanovené v odporúčaní Komisie z 10. júna 2022</w:t>
      </w:r>
      <w:r w:rsidRPr="00DA0A96">
        <w:rPr>
          <w:rStyle w:val="FootnoteReference"/>
          <w:color w:val="0D0D0D"/>
          <w:szCs w:val="24"/>
        </w:rPr>
        <w:footnoteReference w:id="23"/>
      </w:r>
      <w:r w:rsidRPr="00DA0A96">
        <w:rPr>
          <w:color w:val="0D0D0D"/>
        </w:rPr>
        <w:t xml:space="preserve">, ktoré </w:t>
      </w:r>
      <w:r w:rsidRPr="00DA0A96">
        <w:rPr>
          <w:color w:val="0D0D0D"/>
        </w:rPr>
        <w:lastRenderedPageBreak/>
        <w:t>slúžilo ako základ pre revíziu vymedzenia pojmu „umelé nanomateriály“ stanoveného v nariadení (EÚ) 2015/2283, v predpisoch pre jednotlivé odvetvia, najmä v oblasti potravín, by bolo škodlivé pre prevenciu rizík pre zdravie a životné prostredie; keďže agentúra ANSES zdôraznila, že prahová hodnota počtu nanočastíc 50 %, ktorá je súčasťou horizontálneho</w:t>
      </w:r>
      <w:r w:rsidRPr="00DA0A96">
        <w:t xml:space="preserve"> </w:t>
      </w:r>
      <w:r w:rsidRPr="00DA0A96">
        <w:rPr>
          <w:color w:val="0D0D0D"/>
        </w:rPr>
        <w:t>vymedzenia pojmu</w:t>
      </w:r>
      <w:r w:rsidRPr="00DA0A96">
        <w:t xml:space="preserve"> „</w:t>
      </w:r>
      <w:r w:rsidRPr="00DA0A96">
        <w:rPr>
          <w:color w:val="0D0D0D"/>
        </w:rPr>
        <w:t>[</w:t>
      </w:r>
      <w:r w:rsidRPr="00DA0A96">
        <w:t>nano]“,</w:t>
      </w:r>
      <w:r w:rsidRPr="00DA0A96">
        <w:rPr>
          <w:color w:val="0D0D0D"/>
        </w:rPr>
        <w:t xml:space="preserve"> „nie je založená na spoľahlivých vedeckých argumentoch“, a odporučila stanoviť nižšiu prahovú hodnotu;</w:t>
      </w:r>
    </w:p>
    <w:p w:rsidR="00F36797" w:rsidRPr="00DA0A96" w:rsidRDefault="00F36797" w:rsidP="00DA0A96">
      <w:pPr>
        <w:spacing w:after="240"/>
        <w:ind w:left="567" w:hanging="567"/>
        <w:rPr>
          <w:color w:val="0D0D0D"/>
          <w:szCs w:val="24"/>
        </w:rPr>
      </w:pPr>
      <w:r w:rsidRPr="00DA0A96">
        <w:rPr>
          <w:color w:val="0D0D0D"/>
        </w:rPr>
        <w:t xml:space="preserve">Q. </w:t>
      </w:r>
      <w:r w:rsidRPr="00DA0A96">
        <w:rPr>
          <w:color w:val="0D0D0D"/>
        </w:rPr>
        <w:tab/>
        <w:t>keďže zisťovanie nanočastíc v zložkách potravín na základe 10 % prahovej hodnoty počtu nanočastíc je možné, pretože túto hraničnú hodnotu v súčasnosti uplatňuje francúzske Generálne riaditeľstvo pre spotrebiteľské záležitosti, hospodársku súťaž a kontrolu podvodov pri svojich kontrolných činnostiach</w:t>
      </w:r>
      <w:r w:rsidRPr="00DA0A96">
        <w:rPr>
          <w:rStyle w:val="FootnoteReference"/>
          <w:color w:val="0D0D0D"/>
          <w:szCs w:val="24"/>
        </w:rPr>
        <w:footnoteReference w:id="24"/>
      </w:r>
      <w:r w:rsidRPr="00DA0A96">
        <w:rPr>
          <w:color w:val="0D0D0D"/>
        </w:rPr>
        <w:t>;</w:t>
      </w:r>
    </w:p>
    <w:p w:rsidR="00F36797" w:rsidRPr="00DA0A96" w:rsidRDefault="00F36797" w:rsidP="00F36797">
      <w:pPr>
        <w:spacing w:after="240"/>
        <w:jc w:val="both"/>
        <w:rPr>
          <w:i/>
          <w:color w:val="0D0D0D"/>
          <w:szCs w:val="24"/>
        </w:rPr>
      </w:pPr>
      <w:r w:rsidRPr="00DA0A96">
        <w:rPr>
          <w:i/>
          <w:color w:val="0D0D0D"/>
        </w:rPr>
        <w:t>Zásada predbežnej opatrnosti</w:t>
      </w:r>
    </w:p>
    <w:p w:rsidR="00F36797" w:rsidRPr="00DA0A96" w:rsidRDefault="00F36797" w:rsidP="00DA0A96">
      <w:pPr>
        <w:spacing w:after="240"/>
        <w:ind w:left="567" w:hanging="567"/>
        <w:rPr>
          <w:color w:val="0D0D0D"/>
          <w:szCs w:val="24"/>
        </w:rPr>
      </w:pPr>
      <w:r w:rsidRPr="00DA0A96">
        <w:rPr>
          <w:color w:val="0D0D0D"/>
        </w:rPr>
        <w:t>R.</w:t>
      </w:r>
      <w:r w:rsidRPr="00DA0A96">
        <w:rPr>
          <w:color w:val="0D0D0D"/>
        </w:rPr>
        <w:tab/>
        <w:t>keďže v článku 191 ods. 2 ZFEÚ sa stanovuje zásada predchádzania škodám a prevencie ako jedna zo základných zásad Únie;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 xml:space="preserve">S. </w:t>
      </w:r>
      <w:r w:rsidRPr="00DA0A96">
        <w:tab/>
        <w:t>keďže v článku 168 ods. 1 ZFEÚ sa uvádza, že „pri stanovení a uskutočňovaní všetkých politík a činností Únie sa zabezpečí vysoká úroveň ochrany ľudského zdravia“;</w:t>
      </w:r>
    </w:p>
    <w:p w:rsidR="00F36797" w:rsidRPr="00DA0A96" w:rsidRDefault="00F36797" w:rsidP="00DA0A96">
      <w:pPr>
        <w:pStyle w:val="NormalHanging12a"/>
        <w:rPr>
          <w:szCs w:val="24"/>
        </w:rPr>
      </w:pPr>
      <w:r w:rsidRPr="00DA0A96">
        <w:t>1.</w:t>
      </w:r>
      <w:r w:rsidRPr="00DA0A96">
        <w:tab/>
        <w:t>vznáša námietku voči delegovanému nariadeniu Komisie;</w:t>
      </w:r>
    </w:p>
    <w:p w:rsidR="00F36797" w:rsidRPr="00DA0A96" w:rsidRDefault="00F36797" w:rsidP="00DA0A96">
      <w:pPr>
        <w:pStyle w:val="NormalHanging12a"/>
        <w:rPr>
          <w:szCs w:val="24"/>
        </w:rPr>
      </w:pPr>
      <w:r w:rsidRPr="00DA0A96">
        <w:t>2.</w:t>
      </w:r>
      <w:r w:rsidRPr="00DA0A96">
        <w:tab/>
        <w:t xml:space="preserve">poveruje svoju predsedníčku, aby postúpila toto uznesenie Komisii a aby jej oznámila, že delegované nariadenie nemôže nadobudnúť účinnosť; 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 xml:space="preserve">3. </w:t>
      </w:r>
      <w:r w:rsidRPr="00DA0A96">
        <w:tab/>
        <w:t>domnieva sa, že delegované nariadenie Komisie nie je zlučiteľné s cieľom a obsahom nariadenia (EÚ) 2015/2283 a že prekračuje delegované právomoci udelené Komisii v článku 31 uvedeného nariadenia;</w:t>
      </w:r>
    </w:p>
    <w:p w:rsidR="00F36797" w:rsidRPr="00DA0A96" w:rsidRDefault="00F36797" w:rsidP="00DA0A96">
      <w:pPr>
        <w:spacing w:after="240"/>
        <w:ind w:left="567" w:hanging="567"/>
        <w:rPr>
          <w:szCs w:val="24"/>
        </w:rPr>
      </w:pPr>
      <w:r w:rsidRPr="00DA0A96">
        <w:t xml:space="preserve">4. </w:t>
      </w:r>
      <w:r w:rsidRPr="00DA0A96">
        <w:tab/>
        <w:t>vyjadruje poľutovanie nad tým, že navrhovaná prahová hodnota 50 % nezohľadňuje technický a vedecký pokrok;</w:t>
      </w:r>
    </w:p>
    <w:p w:rsidR="00F36797" w:rsidRPr="00DA0A96" w:rsidRDefault="00F36797" w:rsidP="00DA0A96">
      <w:pPr>
        <w:pStyle w:val="NormalHanging12a"/>
        <w:rPr>
          <w:szCs w:val="24"/>
        </w:rPr>
      </w:pPr>
      <w:r w:rsidRPr="00DA0A96">
        <w:t xml:space="preserve">5. </w:t>
      </w:r>
      <w:r w:rsidRPr="00DA0A96">
        <w:tab/>
        <w:t>vyzýva Komisiu, aby uplatňovala zásadu predbežnej opatrnosti, zabezpečila bezpečnosť a informovanosť spotrebiteľov a zohľadnila prístup „jedno zdravie“;</w:t>
      </w:r>
    </w:p>
    <w:p w:rsidR="00F36797" w:rsidRPr="00DA0A96" w:rsidRDefault="00F36797" w:rsidP="00DA0A96">
      <w:pPr>
        <w:pStyle w:val="NormalHanging12a"/>
        <w:rPr>
          <w:szCs w:val="24"/>
        </w:rPr>
      </w:pPr>
      <w:r w:rsidRPr="00DA0A96">
        <w:t>6.</w:t>
      </w:r>
      <w:r w:rsidRPr="00DA0A96">
        <w:tab/>
        <w:t>poveruje svoju predsedníčku, aby postúpila toto uznesenie Rade a vládam a parlamentom členských štátov.</w:t>
      </w:r>
    </w:p>
    <w:p w:rsidR="00F36797" w:rsidRPr="00DA0A96" w:rsidRDefault="00F36797" w:rsidP="00F36797">
      <w:pPr>
        <w:pStyle w:val="NormalHanging12a"/>
      </w:pPr>
    </w:p>
    <w:p w:rsidR="00F36797" w:rsidRPr="00DA0A96" w:rsidRDefault="00F36797" w:rsidP="00F36797"/>
    <w:p w:rsidR="00E365E1" w:rsidRPr="00DA0A96" w:rsidRDefault="00E365E1" w:rsidP="00294BDC">
      <w:bookmarkStart w:id="8" w:name="TextBodyEnd"/>
      <w:bookmarkEnd w:id="8"/>
    </w:p>
    <w:sectPr w:rsidR="00E365E1" w:rsidRPr="00DA0A96" w:rsidSect="007E46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BDC" w:rsidRPr="007E46B9" w:rsidRDefault="00294BDC">
      <w:r w:rsidRPr="007E46B9">
        <w:separator/>
      </w:r>
    </w:p>
  </w:endnote>
  <w:endnote w:type="continuationSeparator" w:id="0">
    <w:p w:rsidR="00294BDC" w:rsidRPr="007E46B9" w:rsidRDefault="00294BDC">
      <w:r w:rsidRPr="007E46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46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46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46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BDC" w:rsidRPr="007E46B9" w:rsidRDefault="00294BDC">
      <w:r w:rsidRPr="007E46B9">
        <w:separator/>
      </w:r>
    </w:p>
  </w:footnote>
  <w:footnote w:type="continuationSeparator" w:id="0">
    <w:p w:rsidR="00294BDC" w:rsidRPr="007E46B9" w:rsidRDefault="00294BDC">
      <w:r w:rsidRPr="007E46B9">
        <w:continuationSeparator/>
      </w:r>
    </w:p>
  </w:footnote>
  <w:footnote w:id="1">
    <w:p w:rsidR="00F36797" w:rsidRPr="007E46B9" w:rsidRDefault="00F36797" w:rsidP="007E46B9">
      <w:pPr>
        <w:pStyle w:val="FootnoteText"/>
        <w:ind w:left="567" w:hanging="567"/>
        <w:rPr>
          <w:sz w:val="24"/>
          <w:lang w:val="sk-SK"/>
        </w:rPr>
      </w:pPr>
      <w:r w:rsidRPr="007E46B9">
        <w:rPr>
          <w:rStyle w:val="FootnoteReference"/>
          <w:sz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 xml:space="preserve">Ú. v. EÚ L 327, 11.12.2015, s. 1. </w:t>
      </w:r>
    </w:p>
  </w:footnote>
  <w:footnote w:id="2">
    <w:p w:rsidR="00F36797" w:rsidRPr="007E46B9" w:rsidRDefault="00F36797" w:rsidP="007E46B9">
      <w:pPr>
        <w:pStyle w:val="FootnoteText"/>
        <w:ind w:left="567" w:hanging="567"/>
        <w:rPr>
          <w:sz w:val="24"/>
          <w:lang w:val="sk-SK"/>
        </w:rPr>
      </w:pPr>
      <w:r w:rsidRPr="007E46B9">
        <w:rPr>
          <w:rStyle w:val="FootnoteReference"/>
          <w:sz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 xml:space="preserve">Ú. v. </w:t>
      </w:r>
      <w:r w:rsidRPr="007E46B9">
        <w:rPr>
          <w:sz w:val="24"/>
          <w:lang w:val="sk-SK"/>
        </w:rPr>
        <w:t>EÚ L 304, 22.11.2011</w:t>
      </w:r>
      <w:r w:rsidR="00FD52E8">
        <w:rPr>
          <w:sz w:val="24"/>
          <w:lang w:val="sk-SK"/>
        </w:rPr>
        <w:t>,</w:t>
      </w:r>
      <w:r w:rsidRPr="007E46B9">
        <w:rPr>
          <w:sz w:val="24"/>
          <w:lang w:val="sk-SK"/>
        </w:rPr>
        <w:t xml:space="preserve"> s. 18.</w:t>
      </w:r>
    </w:p>
  </w:footnote>
  <w:footnote w:id="3">
    <w:p w:rsidR="00F36797" w:rsidRPr="007E46B9" w:rsidRDefault="00F36797" w:rsidP="007E46B9">
      <w:pPr>
        <w:pStyle w:val="FootnoteText"/>
        <w:ind w:left="567" w:hanging="567"/>
        <w:rPr>
          <w:sz w:val="24"/>
          <w:lang w:val="sk-SK"/>
        </w:rPr>
      </w:pPr>
      <w:r w:rsidRPr="007E46B9">
        <w:rPr>
          <w:rStyle w:val="FootnoteReference"/>
          <w:sz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Ú. v. EÚ L 354, 31.12.2008, s. 16.</w:t>
      </w:r>
    </w:p>
  </w:footnote>
  <w:footnote w:id="4">
    <w:p w:rsidR="00F36797" w:rsidRPr="007E46B9" w:rsidRDefault="00F36797" w:rsidP="007E46B9">
      <w:pPr>
        <w:pStyle w:val="FootnoteText"/>
        <w:ind w:left="567" w:hanging="567"/>
        <w:rPr>
          <w:sz w:val="24"/>
          <w:lang w:val="sk-SK"/>
        </w:rPr>
      </w:pPr>
      <w:r w:rsidRPr="007E46B9">
        <w:rPr>
          <w:rStyle w:val="FootnoteReference"/>
          <w:sz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Ú. v. EÚ L 295, 12.11.2011, s. 1.</w:t>
      </w:r>
    </w:p>
  </w:footnote>
  <w:footnote w:id="5">
    <w:p w:rsidR="00F36797" w:rsidRPr="007E46B9" w:rsidRDefault="00F36797" w:rsidP="007E46B9">
      <w:pPr>
        <w:pStyle w:val="FootnoteText"/>
        <w:ind w:left="567" w:hanging="567"/>
        <w:rPr>
          <w:sz w:val="24"/>
          <w:lang w:val="sk-SK"/>
        </w:rPr>
      </w:pPr>
      <w:r w:rsidRPr="007E46B9">
        <w:rPr>
          <w:rStyle w:val="FootnoteReference"/>
          <w:sz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Ú. v. EÚ L 295, 12.11.2011, s. 178.</w:t>
      </w:r>
    </w:p>
  </w:footnote>
  <w:footnote w:id="6">
    <w:p w:rsidR="00F36797" w:rsidRPr="007E46B9" w:rsidRDefault="00F36797" w:rsidP="007E46B9">
      <w:pPr>
        <w:pStyle w:val="FootnoteText"/>
        <w:ind w:left="567" w:hanging="567"/>
        <w:rPr>
          <w:sz w:val="24"/>
          <w:lang w:val="sk-SK"/>
        </w:rPr>
      </w:pPr>
      <w:r w:rsidRPr="007E46B9">
        <w:rPr>
          <w:rStyle w:val="FootnoteReference"/>
          <w:sz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Ú. v. EÚ L 80, 26.3.2010, s. 19.</w:t>
      </w:r>
    </w:p>
  </w:footnote>
  <w:footnote w:id="7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1" w:history="1">
        <w:r w:rsidRPr="007E46B9">
          <w:rPr>
            <w:rStyle w:val="Hyperlink"/>
            <w:color w:val="1155CC"/>
            <w:sz w:val="24"/>
            <w:lang w:val="sk-SK"/>
          </w:rPr>
          <w:t>https://www.anses.fr/fr/nanomateriaux-alimentation-premiere-application-methodologie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  <w:r w:rsidRPr="007E46B9">
        <w:rPr>
          <w:color w:val="1155CC"/>
          <w:sz w:val="24"/>
          <w:u w:val="single"/>
          <w:lang w:val="sk-SK"/>
        </w:rPr>
        <w:t xml:space="preserve"> </w:t>
      </w:r>
    </w:p>
  </w:footnote>
  <w:footnote w:id="8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2" w:history="1">
        <w:r w:rsidRPr="007E46B9">
          <w:rPr>
            <w:rStyle w:val="Hyperlink"/>
            <w:sz w:val="24"/>
            <w:lang w:val="sk-SK"/>
          </w:rPr>
          <w:t>https://www.agirpourlenvironnement.org/communiques-presse/enquete-exclusive-des-analyses-revelent-la-presence-de-nanoparticules-dans-3980/</w:t>
        </w:r>
      </w:hyperlink>
      <w:r w:rsidRPr="007E46B9">
        <w:rPr>
          <w:rStyle w:val="Hyperlink"/>
          <w:sz w:val="24"/>
          <w:lang w:val="sk-SK"/>
        </w:rPr>
        <w:t>.</w:t>
      </w:r>
    </w:p>
  </w:footnote>
  <w:footnote w:id="9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3" w:history="1">
        <w:r w:rsidRPr="007E46B9">
          <w:rPr>
            <w:rStyle w:val="Hyperlink"/>
            <w:color w:val="1155CC"/>
            <w:sz w:val="24"/>
            <w:lang w:val="sk-SK"/>
          </w:rPr>
          <w:t>https://www.quechoisir.org/enquete-nanoparticules-taille-mini-doutes-maxi-n50748/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  <w:r w:rsidRPr="007E46B9">
        <w:rPr>
          <w:color w:val="1155CC"/>
          <w:sz w:val="24"/>
          <w:u w:val="single"/>
          <w:lang w:val="sk-SK"/>
        </w:rPr>
        <w:t xml:space="preserve"> </w:t>
      </w:r>
    </w:p>
  </w:footnote>
  <w:footnote w:id="10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4" w:history="1">
        <w:r w:rsidRPr="007E46B9">
          <w:rPr>
            <w:rStyle w:val="Hyperlink"/>
            <w:color w:val="1155CC"/>
            <w:sz w:val="24"/>
            <w:lang w:val="sk-SK"/>
          </w:rPr>
          <w:t>https://bibliotheque.60millions-mag.com/detail/publication/detail-top-right/561?issue_id=113421&amp;switch_toc=archive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</w:p>
  </w:footnote>
  <w:footnote w:id="11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5" w:history="1">
        <w:r w:rsidRPr="007E46B9">
          <w:rPr>
            <w:rStyle w:val="Hyperlink"/>
            <w:color w:val="1155CC"/>
            <w:sz w:val="24"/>
            <w:lang w:val="sk-SK"/>
          </w:rPr>
          <w:t>https://veillenanos.fr/wp-content/uploads/2023/01/Rapport-test-EN-20230113.pdf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</w:p>
  </w:footnote>
  <w:footnote w:id="12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6" w:history="1">
        <w:r w:rsidRPr="007E46B9">
          <w:rPr>
            <w:rStyle w:val="Hyperlink"/>
            <w:color w:val="1155CC"/>
            <w:sz w:val="24"/>
            <w:lang w:val="sk-SK"/>
          </w:rPr>
          <w:t>https://www.foodwatch.org/de/potenziell-krebserregender-farbstoff-in-backzutaten-von-dr-oetker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</w:p>
  </w:footnote>
  <w:footnote w:id="13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7" w:history="1">
        <w:r w:rsidRPr="007E46B9">
          <w:rPr>
            <w:rStyle w:val="Hyperlink"/>
            <w:color w:val="1155CC"/>
            <w:sz w:val="24"/>
            <w:lang w:val="sk-SK"/>
          </w:rPr>
          <w:t>https://www.bund.net/fileadmin/user_upload_bund/publikationen/chemie/‌nanotechnologie_in_lebensmitteln_hintergrund.pdf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</w:p>
  </w:footnote>
  <w:footnote w:id="14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8" w:history="1">
        <w:r w:rsidRPr="007E46B9">
          <w:rPr>
            <w:rStyle w:val="Hyperlink"/>
            <w:color w:val="1155CC"/>
            <w:sz w:val="24"/>
            <w:lang w:val="sk-SK"/>
          </w:rPr>
          <w:t>https://www.test-achats.be/sante/sante-au-quotidien/produits-testes/news/nanoparticules-affichage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  <w:r w:rsidRPr="007E46B9">
        <w:rPr>
          <w:color w:val="1155CC"/>
          <w:sz w:val="24"/>
          <w:u w:val="single"/>
          <w:lang w:val="sk-SK"/>
        </w:rPr>
        <w:t xml:space="preserve"> </w:t>
      </w:r>
    </w:p>
  </w:footnote>
  <w:footnote w:id="15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9" w:history="1">
        <w:r w:rsidRPr="007E46B9">
          <w:rPr>
            <w:rStyle w:val="Hyperlink"/>
            <w:color w:val="1155CC"/>
            <w:sz w:val="24"/>
            <w:lang w:val="sk-SK"/>
          </w:rPr>
          <w:t>https://www.altroconsumo.it/alimentazione/sicurezza-alimentare/news/nanoparticelle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</w:p>
  </w:footnote>
  <w:footnote w:id="16">
    <w:p w:rsidR="00F36797" w:rsidRPr="007E46B9" w:rsidRDefault="00F36797" w:rsidP="007E46B9">
      <w:pPr>
        <w:ind w:left="567" w:hanging="567"/>
        <w:rPr>
          <w:color w:val="1155CC"/>
          <w:szCs w:val="24"/>
          <w:u w:val="single"/>
        </w:rPr>
      </w:pPr>
      <w:r w:rsidRPr="007E46B9">
        <w:rPr>
          <w:rStyle w:val="FootnoteReference"/>
          <w:szCs w:val="24"/>
        </w:rPr>
        <w:footnoteRef/>
      </w:r>
      <w:r w:rsidR="007E46B9" w:rsidRPr="007E46B9">
        <w:t xml:space="preserve"> </w:t>
      </w:r>
      <w:r w:rsidR="007E46B9" w:rsidRPr="007E46B9">
        <w:tab/>
      </w:r>
      <w:hyperlink r:id="rId10" w:history="1">
        <w:r w:rsidRPr="007E46B9">
          <w:rPr>
            <w:rStyle w:val="Hyperlink"/>
          </w:rPr>
          <w:t>https://www.ocu.org/toda-la-informacion?type=magazine-articles&amp;magazine=ocu%20compra%20maestra&amp;year=2019</w:t>
        </w:r>
      </w:hyperlink>
      <w:r w:rsidRPr="007E46B9">
        <w:rPr>
          <w:rStyle w:val="Hyperlink"/>
        </w:rPr>
        <w:t>.</w:t>
      </w:r>
    </w:p>
  </w:footnote>
  <w:footnote w:id="17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11" w:history="1">
        <w:r w:rsidRPr="007E46B9">
          <w:rPr>
            <w:rStyle w:val="Hyperlink"/>
            <w:sz w:val="24"/>
            <w:lang w:val="sk-SK"/>
          </w:rPr>
          <w:t>https://echa.europa.eu/-/what-do-eu-citizens-think-about-nanomaterials-</w:t>
        </w:r>
      </w:hyperlink>
      <w:r w:rsidRPr="007E46B9">
        <w:rPr>
          <w:rStyle w:val="Hyperlink"/>
          <w:sz w:val="24"/>
          <w:lang w:val="sk-SK"/>
        </w:rPr>
        <w:t>.</w:t>
      </w:r>
      <w:r w:rsidRPr="007E46B9">
        <w:rPr>
          <w:sz w:val="24"/>
          <w:lang w:val="sk-SK"/>
        </w:rPr>
        <w:t xml:space="preserve"> </w:t>
      </w:r>
    </w:p>
  </w:footnote>
  <w:footnote w:id="18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Ú. v. EÚ C 378, 9.11.2017, s. 92.</w:t>
      </w:r>
    </w:p>
  </w:footnote>
  <w:footnote w:id="19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Ú. v. EÚ C 395, 29.3.2021, s. 28.</w:t>
      </w:r>
    </w:p>
  </w:footnote>
  <w:footnote w:id="20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12" w:history="1">
        <w:r w:rsidRPr="007E46B9">
          <w:rPr>
            <w:rStyle w:val="Hyperlink"/>
            <w:sz w:val="24"/>
            <w:lang w:val="sk-SK"/>
          </w:rPr>
          <w:t>https://www.efsa.europa.eu/sites/default/files/assets/corporatenanotechnology121003.pdf</w:t>
        </w:r>
      </w:hyperlink>
      <w:r w:rsidRPr="007E46B9">
        <w:rPr>
          <w:rStyle w:val="Hyperlink"/>
          <w:sz w:val="24"/>
          <w:lang w:val="sk-SK"/>
        </w:rPr>
        <w:t>.</w:t>
      </w:r>
    </w:p>
  </w:footnote>
  <w:footnote w:id="21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hyperlink r:id="rId13" w:history="1">
        <w:r w:rsidRPr="007E46B9">
          <w:rPr>
            <w:rStyle w:val="Hyperlink"/>
            <w:color w:val="1155CC"/>
            <w:sz w:val="24"/>
            <w:lang w:val="sk-SK"/>
          </w:rPr>
          <w:t>https://veillenanos.fr/en/dossier/nanos-and-health/nanos-health-risks/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</w:p>
  </w:footnote>
  <w:footnote w:id="22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Stanovisko agentúry Anses (2023): Vymedzenie pojmu nanomateriálov: analýzy, výzvy a kontroverzie,</w:t>
      </w:r>
      <w:hyperlink r:id="rId14" w:history="1">
        <w:r w:rsidRPr="007E46B9">
          <w:rPr>
            <w:rStyle w:val="Hyperlink"/>
            <w:sz w:val="24"/>
            <w:lang w:val="sk-SK"/>
          </w:rPr>
          <w:t xml:space="preserve"> </w:t>
        </w:r>
      </w:hyperlink>
      <w:hyperlink r:id="rId15" w:history="1">
        <w:r w:rsidRPr="007E46B9">
          <w:rPr>
            <w:rStyle w:val="Hyperlink"/>
            <w:color w:val="1155CC"/>
            <w:sz w:val="24"/>
            <w:lang w:val="sk-SK"/>
          </w:rPr>
          <w:t>https://www.anses.fr/en/system/files/AP2018SA0168RaEN.pdf</w:t>
        </w:r>
      </w:hyperlink>
      <w:r w:rsidRPr="007E46B9">
        <w:rPr>
          <w:rStyle w:val="Hyperlink"/>
          <w:color w:val="1155CC"/>
          <w:sz w:val="24"/>
          <w:lang w:val="sk-SK"/>
        </w:rPr>
        <w:t>.</w:t>
      </w:r>
    </w:p>
  </w:footnote>
  <w:footnote w:id="23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Odporúčanie Komisie z 10. júna 2022 týkajúce sa vymedzenia pojmu nanomateriál (Ú. v. EÚ C 229, 14.6.2022, s. 1).</w:t>
      </w:r>
    </w:p>
  </w:footnote>
  <w:footnote w:id="24">
    <w:p w:rsidR="00F36797" w:rsidRPr="007E46B9" w:rsidRDefault="00F36797" w:rsidP="007E46B9">
      <w:pPr>
        <w:pStyle w:val="FootnoteText"/>
        <w:ind w:left="567" w:hanging="567"/>
        <w:rPr>
          <w:sz w:val="24"/>
          <w:szCs w:val="24"/>
          <w:lang w:val="sk-SK"/>
        </w:rPr>
      </w:pPr>
      <w:r w:rsidRPr="007E46B9">
        <w:rPr>
          <w:rStyle w:val="FootnoteReference"/>
          <w:sz w:val="24"/>
          <w:szCs w:val="24"/>
          <w:lang w:val="sk-SK"/>
        </w:rPr>
        <w:footnoteRef/>
      </w:r>
      <w:r w:rsidR="007E46B9" w:rsidRPr="007E46B9">
        <w:rPr>
          <w:sz w:val="24"/>
          <w:lang w:val="sk-SK"/>
        </w:rPr>
        <w:t xml:space="preserve"> </w:t>
      </w:r>
      <w:r w:rsidR="007E46B9" w:rsidRPr="007E46B9">
        <w:rPr>
          <w:sz w:val="24"/>
          <w:lang w:val="sk-SK"/>
        </w:rPr>
        <w:tab/>
      </w:r>
      <w:r w:rsidRPr="007E46B9">
        <w:rPr>
          <w:sz w:val="24"/>
          <w:lang w:val="sk-SK"/>
        </w:rPr>
        <w:t>Anses (2020): Nanomatériaux dans les produits destinés à l’alimentation. Rapport d’expertise collective,</w:t>
      </w:r>
      <w:hyperlink r:id="rId16" w:history="1">
        <w:r w:rsidRPr="007E46B9">
          <w:rPr>
            <w:rStyle w:val="Hyperlink"/>
            <w:sz w:val="24"/>
            <w:lang w:val="sk-SK"/>
          </w:rPr>
          <w:t xml:space="preserve"> </w:t>
        </w:r>
      </w:hyperlink>
      <w:hyperlink r:id="rId17" w:history="1">
        <w:r w:rsidRPr="007E46B9">
          <w:rPr>
            <w:rStyle w:val="Hyperlink"/>
            <w:color w:val="1155CC"/>
            <w:sz w:val="24"/>
            <w:lang w:val="sk-SK"/>
          </w:rPr>
          <w:t>https://www.anses.fr/fr/system/files/ERCA2016SA0226Ra.pdf</w:t>
        </w:r>
      </w:hyperlink>
      <w:r w:rsidRPr="007E46B9">
        <w:rPr>
          <w:sz w:val="24"/>
          <w:lang w:val="sk-SK"/>
        </w:rPr>
        <w:t xml:space="preserve"> (s.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46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46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46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SK"/>
    <w:docVar w:name="dvnumam" w:val="0"/>
    <w:docVar w:name="dvpe" w:val="760.689"/>
    <w:docVar w:name="dvtitre" w:val="Uznesenie Európskeho parlamentu z xx. apríla 2024 o delegovanom nariadení Komisie zo 14. marca 2024, ktorým sa mení nariadenie Európskeho parlamentu a Rady (EÚ) 2015/2283 o nových potravinách, pokiaľ ide o vymedzenie pojmu „umelo vyrobené nanomateriály“(C(2024)01612 – 2024/2691(DEA))"/>
  </w:docVars>
  <w:rsids>
    <w:rsidRoot w:val="00294BDC"/>
    <w:rsid w:val="00002272"/>
    <w:rsid w:val="00064002"/>
    <w:rsid w:val="000677B9"/>
    <w:rsid w:val="000831BA"/>
    <w:rsid w:val="000A42CC"/>
    <w:rsid w:val="000E7DD9"/>
    <w:rsid w:val="000E7E15"/>
    <w:rsid w:val="0010095E"/>
    <w:rsid w:val="00125B37"/>
    <w:rsid w:val="00187494"/>
    <w:rsid w:val="001F32AE"/>
    <w:rsid w:val="002767FF"/>
    <w:rsid w:val="00294BD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5F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6B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089"/>
    <w:rsid w:val="009509D8"/>
    <w:rsid w:val="00950B64"/>
    <w:rsid w:val="00981893"/>
    <w:rsid w:val="00A1687D"/>
    <w:rsid w:val="00A43E52"/>
    <w:rsid w:val="00A4678D"/>
    <w:rsid w:val="00A52743"/>
    <w:rsid w:val="00A778C7"/>
    <w:rsid w:val="00AB441E"/>
    <w:rsid w:val="00AB6293"/>
    <w:rsid w:val="00AE0928"/>
    <w:rsid w:val="00AF3B82"/>
    <w:rsid w:val="00B12E95"/>
    <w:rsid w:val="00B22876"/>
    <w:rsid w:val="00B558F0"/>
    <w:rsid w:val="00B750B3"/>
    <w:rsid w:val="00BD48FE"/>
    <w:rsid w:val="00BD7BD8"/>
    <w:rsid w:val="00BE6ADC"/>
    <w:rsid w:val="00C05BFE"/>
    <w:rsid w:val="00C23CD4"/>
    <w:rsid w:val="00C61C0C"/>
    <w:rsid w:val="00C941CB"/>
    <w:rsid w:val="00CC2357"/>
    <w:rsid w:val="00CE0C03"/>
    <w:rsid w:val="00CF071A"/>
    <w:rsid w:val="00D058B8"/>
    <w:rsid w:val="00D56C11"/>
    <w:rsid w:val="00D834A0"/>
    <w:rsid w:val="00D872DF"/>
    <w:rsid w:val="00D91E21"/>
    <w:rsid w:val="00DA0A9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797"/>
    <w:rsid w:val="00F5134D"/>
    <w:rsid w:val="00F74202"/>
    <w:rsid w:val="00F87713"/>
    <w:rsid w:val="00FB4360"/>
    <w:rsid w:val="00FD0C70"/>
    <w:rsid w:val="00FD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5870B"/>
  <w15:chartTrackingRefBased/>
  <w15:docId w15:val="{A1BEC0DE-C5B8-474E-A79B-35EEB7CF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6797"/>
    <w:pPr>
      <w:spacing w:before="480" w:after="240"/>
    </w:pPr>
  </w:style>
  <w:style w:type="paragraph" w:customStyle="1" w:styleId="NormalHanging12a">
    <w:name w:val="NormalHanging12a"/>
    <w:basedOn w:val="Normal"/>
    <w:rsid w:val="00F3679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367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17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6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en/system/files/AP2018SA0168RaEN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en/system/files/AP2018SA0168Ra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779CE-59DC-4D88-A9DF-CC7FA1F0F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1557</Words>
  <Characters>9397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2024-06-24T07:20:00Z</dcterms:created>
  <dcterms:modified xsi:type="dcterms:W3CDTF">2024-06-24T07:20:00Z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